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Title of the invention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Method and System for Energy-Optimal, Risk-Bounded Autonomous Actuation in Ambient-Intelligence IoT Using a Conformal Sensing Cascade with Optimised Risk-Budget Allocation (AmI-CC)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Field / Area of invention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Ambient Intelligence (AmI) for AI-native Internet of Things; context-aware multimodal sensing; energy-efficient edge AI; trustworthy (statistically guaranteed) autonomous actuation in smart homes, buildings, assisted living and Industry 5.0. (Responds to the IEEE IoT Journal special-issue CFP on "Ambient Intelligence for AI-Native IoT: Invisible, Context-Aware, and Autonomous Experiences": topics – AmI architectures, context-aware sensing, edge AI, explainable/trustworthy AmI, energy-efficient AI-native IoT.)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Prior patents and publications from literature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"/>
        <w:gridCol w:w="2948"/>
        <w:gridCol w:w="2722"/>
        <w:gridCol w:w="4139"/>
      </w:tblGrid>
      <w:tr>
        <w:trPr>
          <w:cantSplit/>
          <w:tblHeader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#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Reference (verify before filing)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What it teaches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Gap vs. present invention</w:t>
            </w:r>
          </w:p>
        </w:tc>
      </w:tr>
      <w:tr>
        <w:trPr>
          <w:cantSplit/>
          <w:tblHeader w:val="off"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 9,159,208, “Energy efficient cascade of sensors for automatic presence detection” (USPTO)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Cascade of sensors, cheaper sensors gate costlier ones to save power.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Gate is heuristic/threshold based; no distribution-free bound on wrong-actuation; no budget split; no deferral semantics.</w:t>
            </w:r>
          </w:p>
        </w:tc>
      </w:tr>
      <w:tr>
        <w:trPr>
          <w:cantSplit/>
          <w:tblHeader w:val="off"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Angelopoulos, Bates, Fisch, Lei, Schuster, “Conformal Risk Control”, ICLR 2024 (arXiv:2208.02814)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Calibrating a single threshold to bound expected monotone loss.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Single model/stage; not a multi-sensor, energy-costed cascade; no allocation of a global budget across stages.</w:t>
            </w:r>
          </w:p>
        </w:tc>
      </w:tr>
      <w:tr>
        <w:trPr>
          <w:cantSplit/>
          <w:tblHeader w:val="off"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“Fast yet Safe: Early-Exiting with Risk Control”, arXiv:2405.20915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Risk-controlled early exit in neural networks.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Exits inside one network (compute saving); does not power physical sensor tiers, no energy-optimal per-tier budget split, no actuate/escalate/defer policy.</w:t>
            </w:r>
          </w:p>
        </w:tc>
      </w:tr>
      <w:tr>
        <w:trPr>
          <w:cantSplit/>
          <w:tblHeader w:val="off"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“Efficient Conformal Prediction via Cascaded Inference with Expanded Admission”, arXiv:2007.03114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Cascaded models to cheapen conformal sets.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Model cascade for set size; no sensing-hardware wake-up, no actuation risk.</w:t>
            </w:r>
          </w:p>
        </w:tc>
      </w:tr>
      <w:tr>
        <w:trPr>
          <w:cantSplit/>
          <w:tblHeader w:val="off"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Gibbs &amp; Candès, “Adaptive Conformal Inference Under Distribution Shift”, NeurIPS 2021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Online adaptation of miscoverage level under shift.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Generic; not applied to per-tier budgets of a sensing cascade.</w:t>
            </w:r>
          </w:p>
        </w:tc>
      </w:tr>
      <w:tr>
        <w:trPr>
          <w:cantSplit/>
          <w:tblHeader w:val="off"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Jitkrittum et al., “When Does Confidence-Based Cascade Deferral Suffice?”, NeurIPS 2023 (arXiv:2307.02764)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Analysis of confidence-threshold deferral in model cascades.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Heuristic confidence rules, no finite-sample guarantee (our baseline behaves this way).</w:t>
            </w:r>
          </w:p>
        </w:tc>
      </w:tr>
      <w:tr>
        <w:trPr>
          <w:cantSplit/>
          <w:tblHeader w:val="off"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“Sensor-Aware Classifiers for Energy-Efficient Time Series Applications on IoT Devices”, arXiv:2407.08715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Early-exit classifiers exploiting sensor structure for energy.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statistical guarantee on wrong decisions; no joint budget allocation.</w:t>
            </w:r>
          </w:p>
        </w:tc>
      </w:tr>
      <w:tr>
        <w:trPr>
          <w:cantSplit/>
          <w:tblHeader w:val="off"/>
        </w:trPr>
        <w:tc>
          <w:tcPr>
            <w:tcW w:type="dxa" w:w="3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9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“Early Time Classification with Accumulated Accuracy Gap Control”, arXiv:2402.00857</w:t>
            </w:r>
          </w:p>
        </w:tc>
        <w:tc>
          <w:tcPr>
            <w:tcW w:type="dxa" w:w="2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Stopping-time classification with accuracy-gap control.</w:t>
            </w:r>
          </w:p>
        </w:tc>
        <w:tc>
          <w:tcPr>
            <w:tcW w:type="dxa" w:w="41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Time-series stopping, not multi-tier hardware sensing, no energy-optimal allocation.</w:t>
            </w:r>
          </w:p>
        </w:tc>
      </w:tr>
    </w:tbl>
    <w:p>
      <w:pPr>
        <w:spacing w:after="40"/>
      </w:pP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Note: a professional patent-database search (Espacenet/Google Patents/InPASS, CPC G06N 20/00, G16Y, H04W 52/02, G05B 13) must confirm this table before filing. References 1–8 were identified by web search on 30-Sep-2026; only titles/abstract-level content was reviewed.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Summary and background of the invention (gap / novelty)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Background.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Ambient IoT must act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invisibly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(no user prompts), yet a wrong autonomous action (unlocking a door, switching a heater, dismissing a fall alert) is costly, while always-on rich sensors (camera, mmWave radar) drain batteries and raise privacy exposure. Existing systems either (a) run all sensors and a single classifier (high energy, and softmax confidence is uncalibrated), or (b) use heuristic confidence-threshold sensor cascades that give no assurance on how often they act wrongly, especially for unseen occupants.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Gap.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No known system couples a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physical sensing-tier wake-up cascade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with a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finite-sample, distribution-free bound on wrong autonomous actuation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while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choosing how that bound is spent across tiers to minimise energy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Invention.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At each tier a split-conformal prediction set over candidate intents is computed. A singleton set triggers actuation and stops (higher-energy sensors stay asleep); a non-singleton set wakes the next tier; ambiguity at the last tier defers to the user (or a safe default). A wrong actuation implies the true intent was outside the stopping tier's set, so the wrong-actuation probability is bounded by the sum of per-tier miscoverage levels (union bound) – the </w:t>
      </w: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risk budget 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. The novel </w:t>
      </w: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budget-allocation step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searches the split of α over tiers that minimises expected energy + λ·deferral-rate on one data split, and calibrates the thresholds on a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disjoint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split, so the guarantee stays valid. On-site recalibration with few labelled samples restores the bound under occupant shift.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5. Objective(s) of the invention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(i) Bound the rate of erroneous autonomous actuation by a user/operator-set budget α without distributional assumptions; (ii) minimise sensing energy by waking high-power / privacy-intrusive modalities only when cheaper ones are ambiguous; (iii) provide a principled abstain (“ask user”) behaviour instead of forced decisions; (iv) make the guarantee portable to new occupants/homes through lightweight recalibration; (v) run on edge hardware (logistic/linear heads suffice; cost of allocation is a small grid search).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6. Working principle (in brief)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Tier-t score s=1−p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(y|x); threshold q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= ceil((n+1)(1−α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))-th smallest calibration score; set 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(x)={k: 1−p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t,k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(x) ≤ q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}. Rule: |C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|=1 → actuate &amp; stop; else escalate; last tier non-singleton → defer. P(wrong actuation) ≤ Σα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≤ α. Allocation: (α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1..T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)* = argmin E[energy]+λP(defer) s.t. Σα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≤α (grid search on allocation split), thresholds from a disjoint calibration split.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7. Description of the invention in detail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7.1 Architecture.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(a) Sensing tiers T1 passive low-power (PIR, door contact, ambient light, time-of-day; 1 energy unit), T2 medium (plug power, audio level, BLE RSSI; 6 units), T3 high (camera / mmWave embedding; 40 units); (b) per-tier classifiers over cumulative features (edge MCU / gateway); (c) conformal calibrator storing per-tier score quantiles; (d) budget allocator; (e) actuation controller with escalate / actuate / defer outputs; (f) optional on-site recalibration module fed by user overrides.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7.2 Procedure.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Offline: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1) train tier classifiers on training occupants; 2) on allocation split run the cascade for each candidate split (α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,…,α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) with Σ=α and keep the split minimising J=E[cumulative energy]+λ·P(defer); 3) on a disjoint calibration split compute q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.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Online: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power tier 1, compute set; if singleton → actuate; else power tier 2 … ; at the last tier defer if not singleton.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7.3 Why the bound holds.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If the cascade actuates wrongly at tier t then 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={ŷ} with ŷ≠y, hence y∉C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; split-conformal gives P(y∉C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)≤α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under exchangeability; union over tiers gives ≤Σα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. Because the allocation uses data disjoint from the calibration data, the q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remain valid.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7.4 Implementation.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Reference implementation in Python (repository: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amicg/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: simulator.py, cascade.py; experiments/run_experiments.py; tests/test_cascade.py, unit tests pass). Drawing (block diagram):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464"/>
        <w:gridCol w:w="3189"/>
        <w:gridCol w:w="464"/>
        <w:gridCol w:w="4059"/>
      </w:tblGrid>
      <w:tr>
        <w:trPr>
          <w:cantSplit/>
          <w:tblHeader w:val="off"/>
        </w:trPr>
        <w:tc>
          <w:tcPr>
            <w:tcW w:type="dxa" w:w="2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Sensors T1 (1u)</w:t>
            </w:r>
          </w:p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→</w:t>
            </w:r>
          </w:p>
        </w:tc>
        <w:tc>
          <w:tcPr>
            <w:tcW w:type="dxa" w:w="3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Classifier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+ conformal set 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1</w:t>
            </w:r>
          </w:p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→</w:t>
            </w:r>
          </w:p>
        </w:tc>
        <w:tc>
          <w:tcPr>
            <w:tcW w:type="dxa" w:w="4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|C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|=1 ?  yes → ACTUATE (stop)</w:t>
            </w:r>
          </w:p>
        </w:tc>
      </w:tr>
      <w:tr>
        <w:trPr>
          <w:cantSplit/>
          <w:tblHeader w:val="off"/>
        </w:trPr>
        <w:tc>
          <w:tcPr>
            <w:tcW w:type="dxa" w:w="2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↓ wake T2 (6u)</w:t>
            </w:r>
          </w:p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4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  <w:tblHeader w:val="off"/>
        </w:trPr>
        <w:tc>
          <w:tcPr>
            <w:tcW w:type="dxa" w:w="2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Sensors T2 (+6u)</w:t>
            </w:r>
          </w:p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→</w:t>
            </w:r>
          </w:p>
        </w:tc>
        <w:tc>
          <w:tcPr>
            <w:tcW w:type="dxa" w:w="3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Classifier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+ set 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2</w:t>
            </w:r>
          </w:p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→</w:t>
            </w:r>
          </w:p>
        </w:tc>
        <w:tc>
          <w:tcPr>
            <w:tcW w:type="dxa" w:w="4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|C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|=1 ? yes → ACTUATE</w:t>
            </w:r>
          </w:p>
        </w:tc>
      </w:tr>
      <w:tr>
        <w:trPr>
          <w:cantSplit/>
          <w:tblHeader w:val="off"/>
        </w:trPr>
        <w:tc>
          <w:tcPr>
            <w:tcW w:type="dxa" w:w="2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↓ wake T3 (40u)</w:t>
            </w:r>
          </w:p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4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  <w:tblHeader w:val="off"/>
        </w:trPr>
        <w:tc>
          <w:tcPr>
            <w:tcW w:type="dxa" w:w="20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Sensors T3 (+40u)</w:t>
            </w:r>
          </w:p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→</w:t>
            </w:r>
          </w:p>
        </w:tc>
        <w:tc>
          <w:tcPr>
            <w:tcW w:type="dxa" w:w="31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Classifier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 + set 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3</w:t>
            </w:r>
          </w:p>
        </w:tc>
        <w:tc>
          <w:tcPr>
            <w:tcW w:type="dxa" w:w="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→</w:t>
            </w:r>
          </w:p>
        </w:tc>
        <w:tc>
          <w:tcPr>
            <w:tcW w:type="dxa" w:w="40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|C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  <w:vertAlign w:val="subscript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|=1 ? yes → ACTUATE ; no → DEFER to user</w:t>
            </w:r>
          </w:p>
        </w:tc>
      </w:tr>
    </w:tbl>
    <w:p>
      <w:pPr>
        <w:spacing w:after="40"/>
      </w:pP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Fig. 1 – Conformal sensing cascade. Budget allocator chooses 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  <w:vertAlign w:val="subscript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+α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  <w:vertAlign w:val="subscript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+α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  <w:vertAlign w:val="subscript"/>
        </w:rPr>
        <w:t xml:space="preserve">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 ≤ α; wrong actuation ≤ α.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8. Experimental validation results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Setup (simulation; no real-deployment data yet).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Synthetic multi-tier smart-home benchmark with 8 intents (idle, enter home, cooking, TV, sleep, leave, exercise, fall-risk), 3 cumulative sensing tiers (6/14/26 features, energy 1/6/40 units), per-occupant offsets (inter-occupant covariate shift) and deliberately confusable intent pairs at low tiers. Per seed: 24 training occupants, 10 allocation, 14 calibration, 24 unseen test occupants × 150 samples; 30 random seeds; mean values shown. Tier accuracies (single seed): T1 67%, T2 80%, T3 99.6%. Baselines: always-all-sensors argmax; tier-1 only; single-stage conformal with always-full sensing; confidence-threshold cascade (single threshold tuned on the same calibration split to hit α, forced decision at last tier); ablation: equal budget split.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"/>
        <w:gridCol w:w="2436"/>
        <w:gridCol w:w="1972"/>
        <w:gridCol w:w="1740"/>
        <w:gridCol w:w="1624"/>
        <w:gridCol w:w="1738"/>
      </w:tblGrid>
      <w:tr>
        <w:trPr>
          <w:cantSplit/>
          <w:tblHeader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α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Method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False-actuation rate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Energy / decision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Deferral rate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Seeds with FA&gt;α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AmI-CC (proposed)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0.0067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32.3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AmI-CC, equal split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0.0043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33.6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Conformal, full sensing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0.0011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Conf.-threshold cascade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0.0109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31.7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57%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sensors, argmax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0.0032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AmI-CC (proposed)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0.0141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29.8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AmI-CC, equal split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0.0073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31.9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0.005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Conformal, full sensing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0.0005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Conf.-threshold cascade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0.0196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29.2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sensors, argmax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0.0032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0.05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AmI-CC (proposed)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0.0417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24.1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0.002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0.05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AmI-CC, equal split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0.0164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28.9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0.014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0.05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Conformal, full sensing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0.0002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0.051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0.05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Conf.-threshold cascade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0.0481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23.6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0.05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sensors, argmax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0.0032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AmI-CC (proposed)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0.0900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17.6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0.002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AmI-CC, equal split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0.0359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0.023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Conformal, full sensing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0.0001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0.102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Conf.-threshold cascade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0.0967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40%</w:t>
            </w:r>
          </w:p>
        </w:tc>
      </w:tr>
      <w:tr>
        <w:trPr>
          <w:cantSplit/>
          <w:tblHeader w:val="off"/>
        </w:trPr>
        <w:tc>
          <w:tcPr>
            <w:tcW w:type="dxa" w:w="6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sensors, argmax</w:t>
            </w:r>
          </w:p>
        </w:tc>
        <w:tc>
          <w:tcPr>
            <w:tcW w:type="dxa" w:w="19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0.0032</w:t>
            </w:r>
          </w:p>
        </w:tc>
        <w:tc>
          <w:tcPr>
            <w:tcW w:type="dxa" w:w="17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47.0</w:t>
            </w:r>
          </w:p>
        </w:tc>
        <w:tc>
          <w:tcPr>
            <w:tcW w:type="dxa" w:w="1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</w:t>
            </w:r>
          </w:p>
        </w:tc>
      </w:tr>
    </w:tbl>
    <w:p>
      <w:pPr>
        <w:spacing w:after="40"/>
      </w:pP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Table 1 – mean over 30 seeds (std. in results/results.json). Tier-1-only: FA=0.330, energy 1.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Findings.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(1) The mean false-actuation rate of AmI-CC is below the budget for every α (e.g. 0.042 at α=0.05; 0.090 at α=0.10), as the bound predicts (per-seed violations, 7–17%, are finite-sample fluctuation of a bound that holds in expectation). (2) At α=0.05 AmI-CC uses 24.1 energy units vs 47.0 for always-full sensing: </w:t>
      </w: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49% saving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(63% at α=0.10: 17.6 vs 47.0) with FA 0.042 vs 0.0032 for the full-sensing argmax at its fixed operating point – i.e. the operator trades risk for energy in a controlled, tunable way. (3) Budget optimisation reduces energy by 17% vs equal split at α=0.05 (24.1 vs 28.9) and allocates almost all the budget to tier 2 (mean split 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/α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/α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= [0.001, 0.046, 0.003]). (4) The tuned confidence-threshold cascade reaches similar mean energy (23.6) but has no guarantee: it exceeds α in 47% of seeds at α=0.05 (40–57% across α) versus 10% for AmI-CC, and cannot defer. </w:t>
      </w: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Honest limitation: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energy is on par with that heuristic baseline, the benefit is the guarantee and the defer option.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Robustness to occupant shift (α=0.05).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The exchangeability assumption fails when test occupants are more heterogeneous than calibration occupants: the bound is exceeded (Table 2). On-site recalibration with 800 labelled samples from the new environment restores it, paying with more deferrals/energy (the system safely asks more).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552"/>
        <w:gridCol w:w="3119"/>
        <w:gridCol w:w="2267"/>
      </w:tblGrid>
      <w:tr>
        <w:trPr>
          <w:cantSplit/>
          <w:tblHeader/>
        </w:trPr>
        <w:tc>
          <w:tcPr>
            <w:tcW w:type="dxa" w:w="2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Occupant-shift severity</w:t>
            </w:r>
          </w:p>
        </w:tc>
        <w:tc>
          <w:tcPr>
            <w:tcW w:type="dxa" w:w="2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FA, calibrated pre-deployment</w:t>
            </w:r>
          </w:p>
        </w:tc>
        <w:tc>
          <w:tcPr>
            <w:tcW w:type="dxa" w:w="31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FA, + on-site recalibration (800 labelled)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Deferral after recalibration</w:t>
            </w:r>
          </w:p>
        </w:tc>
      </w:tr>
      <w:tr>
        <w:trPr>
          <w:cantSplit/>
          <w:tblHeader w:val="off"/>
        </w:trPr>
        <w:tc>
          <w:tcPr>
            <w:tcW w:type="dxa" w:w="2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×1.0</w:t>
            </w:r>
          </w:p>
        </w:tc>
        <w:tc>
          <w:tcPr>
            <w:tcW w:type="dxa" w:w="2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0.042</w:t>
            </w:r>
          </w:p>
        </w:tc>
        <w:tc>
          <w:tcPr>
            <w:tcW w:type="dxa" w:w="31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0.044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0.00</w:t>
            </w:r>
          </w:p>
        </w:tc>
      </w:tr>
      <w:tr>
        <w:trPr>
          <w:cantSplit/>
          <w:tblHeader w:val="off"/>
        </w:trPr>
        <w:tc>
          <w:tcPr>
            <w:tcW w:type="dxa" w:w="2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×1.5</w:t>
            </w:r>
          </w:p>
        </w:tc>
        <w:tc>
          <w:tcPr>
            <w:tcW w:type="dxa" w:w="2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0.062</w:t>
            </w:r>
          </w:p>
        </w:tc>
        <w:tc>
          <w:tcPr>
            <w:tcW w:type="dxa" w:w="31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0.041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</w:t>
            </w:r>
          </w:p>
        </w:tc>
      </w:tr>
      <w:tr>
        <w:trPr>
          <w:cantSplit/>
          <w:tblHeader w:val="off"/>
        </w:trPr>
        <w:tc>
          <w:tcPr>
            <w:tcW w:type="dxa" w:w="2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×2.0</w:t>
            </w:r>
          </w:p>
        </w:tc>
        <w:tc>
          <w:tcPr>
            <w:tcW w:type="dxa" w:w="2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0.092</w:t>
            </w:r>
          </w:p>
        </w:tc>
        <w:tc>
          <w:tcPr>
            <w:tcW w:type="dxa" w:w="31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0.035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0.07</w:t>
            </w:r>
          </w:p>
        </w:tc>
      </w:tr>
      <w:tr>
        <w:trPr>
          <w:cantSplit/>
          <w:tblHeader w:val="off"/>
        </w:trPr>
        <w:tc>
          <w:tcPr>
            <w:tcW w:type="dxa" w:w="2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×3.0</w:t>
            </w:r>
          </w:p>
        </w:tc>
        <w:tc>
          <w:tcPr>
            <w:tcW w:type="dxa" w:w="25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0.178</w:t>
            </w:r>
          </w:p>
        </w:tc>
        <w:tc>
          <w:tcPr>
            <w:tcW w:type="dxa" w:w="31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0.027</w:t>
            </w:r>
          </w:p>
        </w:tc>
        <w:tc>
          <w:tcPr>
            <w:tcW w:type="dxa" w:w="22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0.32</w:t>
            </w:r>
          </w:p>
        </w:tc>
      </w:tr>
    </w:tbl>
    <w:p>
      <w:pPr>
        <w:spacing w:after="40"/>
      </w:pP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Table 2.</w:t>
      </w:r>
    </w:p>
    <w:p>
      <w:pPr>
        <w:jc w:val="center"/>
      </w:pPr>
      <w:r>
        <w:drawing>
          <wp:inline distT="0" distB="0" distL="0" distR="0">
            <wp:extent cx="6296025" cy="1743075"/>
            <wp:effectExtent t="0" r="0" b="0" l="0"/>
            <wp:docPr id="1" name="fig_main.png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Fig. 2 – Risk-budget sweep: false-actuation, energy, deferral (30 seeds).</w:t>
      </w:r>
    </w:p>
    <w:p>
      <w:pPr>
        <w:jc w:val="center"/>
      </w:pPr>
      <w:r>
        <w:drawing>
          <wp:inline distT="0" distB="0" distL="0" distR="0">
            <wp:extent cx="3057525" cy="2076450"/>
            <wp:effectExtent t="0" r="0" b="0" l="0"/>
            <wp:docPr id="2" name="fig_shift.png" descr="experiment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Fig. 3 – Effect of occupant shift with/without recalibration.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Reproduce: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6"/>
          <w:szCs w:val="16"/>
        </w:rPr>
        <w:t xml:space="preserve">python experiments/run_experiments.py; python experiments/make_figures.py; python tests/test_cascade.py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. </w:t>
      </w: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 results are from a simulator, not field data; a pilot on a public smart-home dataset / campus testbed is planned before TRL≥4 claims and is recommended before the IoTJ submission.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9. What aspect(s) need protection?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Independent claim 1 (method):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controlling actuation in an ambient IoT system comprising: powering a first sensing tier; computing with a first classifier a conformal prediction set of candidate intents whose threshold is calibrated to a first miscoverage level 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; actuating if the set is a singleton and otherwise powering a higher-energy tier and repeating; deferring if the last-tier set is not a singleton; wherein the miscoverage levels satisfy Σα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  <w:vertAlign w:val="subscript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≤ α, a predetermined actuation-risk budget, and are selected by minimising an objective comprising expected sensing energy on a data split disjoint from the split used to calibrate the thresholds.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Dependent aspects: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(2) objective includes deferral (user-interruption) cost λ; (3) grid/convex search of the allocation; (4) per-tier classifiers on cumulative features; (5) on-site recalibration from user overrides when a drift detector fires, raising deferral to preserve the bound; (6) tiers including PIR/door/light → plug-power/audio/BLE → camera/mmWave, so privacy-intrusive sensors are powered only on ambiguity; (7) class-conditional (per-action criticality) budgets [not yet validated]; (8) system, and (9) non-transitory medium claims. </w:t>
      </w: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Technical effect emphasised for eligibility (e.g. Indian Patents Act s.3(k) / 35 USC §101): reduced power consumption of sensor hardware and a bounded rate of erroneous physical actuation.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10. Technology readiness level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1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2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3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4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5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6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7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8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TRL 9</w:t>
            </w:r>
          </w:p>
        </w:tc>
      </w:tr>
      <w:tr>
        <w:trPr>
          <w:cantSplit/>
          <w:tblHeader w:val="off"/>
        </w:trPr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Basic principles observed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Concept formulated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[X] Experimental proof of concept (simulation, this work)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Validated in lab (planned: testbed)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Relevant environment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Demonstrated in relevant env.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Prototype in operational env.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System complete &amp; qualified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Proven in operational env.</w:t>
            </w:r>
          </w:p>
        </w:tc>
      </w:tr>
    </w:tbl>
    <w:p>
      <w:pPr>
        <w:spacing w:after="40"/>
      </w:pP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Ticked: </w:t>
      </w: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TRL 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 (experimental proof of concept). Target: TRL 4 after a lab testbed run.</w:t>
      </w:r>
    </w:p>
    <w:p>
      <w:pPr>
        <w:keepNext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Declaration of Technical Integrity and IP Origin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We, the undersigned, declare that to the best of our knowledge the following is true: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1. The experimental results in Section 8 were obtained by running the accompanying reference implementation on a </w:t>
      </w: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synthetic (simulated) smart-home benchmark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. No laboratory, prototype or field measurements are reported, and no simulated result is presented as empirical data.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2. The Technology Readiness Level claimed is </w:t>
      </w: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TRL 3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(experimental proof of concept). No higher TRL is claimed.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3. A generative AI assistant was used in ideation, software implementation, experiment design and drafting of this disclosure. The inventors have reviewed the content, re-run the code and results, and take responsibility for their accuracy. Use of AI tools is disclosed in line with institutional policy.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4. The prior-art list in Section 3 was compiled by web search and has not yet been confirmed by a professional patent search.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5. Prior publication / disclosure: ______________________________________________ (inventors to state whether any part of this work has been published, submitted or disclosed elsewhere).</w:t>
      </w: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6. Inventor contributions to conception: ______________________________________________ (inventors to complete).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3969"/>
        <w:gridCol w:w="2268"/>
      </w:tblGrid>
      <w:tr>
        <w:trPr>
          <w:cantSplit/>
          <w:tblHeader/>
        </w:trPr>
        <w:tc>
          <w:tcPr>
            <w:tcW w:type="dxa" w:w="3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Inventor name</w:t>
            </w:r>
          </w:p>
        </w:tc>
        <w:tc>
          <w:tcPr>
            <w:tcW w:type="dxa" w:w="3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Signature</w:t>
            </w:r>
          </w:p>
        </w:tc>
        <w:tc>
          <w:tcPr>
            <w:tcW w:type="dxa" w:w="2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Date</w:t>
            </w:r>
          </w:p>
        </w:tc>
      </w:tr>
      <w:tr>
        <w:trPr>
          <w:cantSplit/>
          <w:tblHeader w:val="off"/>
        </w:trPr>
        <w:tc>
          <w:tcPr>
            <w:tcW w:type="dxa" w:w="3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  <w:tblHeader w:val="off"/>
        </w:trPr>
        <w:tc>
          <w:tcPr>
            <w:tcW w:type="dxa" w:w="3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3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</w:tbl>
    <w:p>
      <w:pPr>
        <w:spacing w:after="40"/>
      </w:pPr>
    </w:p>
    <w:p>
      <w:pPr>
        <w:keepNext w:val="false"/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---------------------- END OF THE DOCUMENT -----------------------------</w:t>
      </w:r>
    </w:p>
    <w:sectPr>
      <w:headerReference w:type="default" r:id="rId6"/>
      <w:footerReference w:type="default" r:id="rId7"/>
      <w:pgSz w:w="11906" w:h="16838" w:orient="portrait"/>
      <w:pgMar w:top="100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sz w:val="15"/>
        <w:szCs w:val="15"/>
      </w:rPr>
      <w:t xml:space="preserve">©VIT IPR&amp;TT CELL</w:t>
    </w:r>
  </w:p>
  <w:p>
    <w:pPr>
      <w:jc w:val="center"/>
    </w:pPr>
    <w:r>
      <w:rPr>
        <w:rFonts w:ascii="Arial" w:cs="Arial" w:eastAsia="Arial" w:hAnsi="Arial"/>
        <w:sz w:val="15"/>
        <w:szCs w:val="15"/>
      </w:rPr>
      <w:t xml:space="preserve">Invention Disclosure Format (IDF)-B</w:t>
    </w:r>
  </w:p>
  <w:p>
    <w:pPr>
      <w:jc w:val="right"/>
    </w:pPr>
    <w:r>
      <w:rPr>
        <w:rFonts w:ascii="Arial" w:cs="Arial" w:eastAsia="Arial" w:hAnsi="Arial"/>
        <w:sz w:val="15"/>
        <w:szCs w:val="15"/>
      </w:rPr>
      <w:t xml:space="preserve">Doc. No. 02-IPR-R003 | Issue No/Date 2/01.02.2024 | Amd. No/Date 0/00.00.0000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1013a4be0108c49b6b17a8ac0634b185488693c.png"/><Relationship Id="rId10" Type="http://schemas.openxmlformats.org/officeDocument/2006/relationships/image" Target="media/3aec39c1da1429e06993ffdf84e8f49e262fe0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Invention Disclosure Format (IDF)-B - AmI-CC</dc:title>
  <dc:creator>Inventor(s) - to be completed</dc:creator>
  <cp:lastModifiedBy>Un-named</cp:lastModifiedBy>
  <cp:revision>1</cp:revision>
  <dcterms:created xsi:type="dcterms:W3CDTF">2026-09-30T17:42:33.333Z</dcterms:created>
  <dcterms:modified xsi:type="dcterms:W3CDTF">2026-09-30T17:42:33.334Z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