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1. Title of the invention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Method and System for Energy-Optimal, Risk-Bounded Autonomous Actuation in Ambient-Intelligence IoT Using a Conformal Sensing Cascade with Optimised Risk-Budget Allocation (AmI-CC)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2. Field / Area of invention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Ambient Intelligence (AmI) for AI-native Internet of Things; context-aware multimodal sensing; energy-efficient edge AI; trustworthy (statistically guaranteed) autonomous actuation in smart homes, buildings, assisted living and Industry 5.0. (Responds to the IEEE IoT Journal special-issue CFP on "Ambient Intelligence for AI-Native IoT: Invisible, Context-Aware, and Autonomous Experiences": topics – AmI architectures, context-aware sensing, edge AI, explainable/trustworthy AmI, energy-efficient AI-native IoT.)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3. Prior patents and publications from literature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"/>
        <w:gridCol w:w="2948"/>
        <w:gridCol w:w="2722"/>
        <w:gridCol w:w="4139"/>
      </w:tblGrid>
      <w:tr>
        <w:trPr>
          <w:cantSplit/>
          <w:tblHeader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#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Reference (verify before filing)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What it teaches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Gap vs. present invention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US 9,159,208, “Energy efficient cascade of sensors for automatic presence detection” (USPTO)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Cascade of sensors, cheaper sensors gate costlier ones to save power.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Gate is heuristic/threshold based; no distribution-free bound on wrong-actuation; no budget split; no deferral semantics.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Angelopoulos, Bates, Fisch, Lei, Schuster, “Conformal Risk Control”, ICLR 2024 (arXiv:2208.02814)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Calibrating a single threshold to bound expected monotone loss.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Single model/stage; not a multi-sensor, energy-costed cascade; no allocation of a global budget across stages.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“Fast yet Safe: Early-Exiting with Risk Control”, arXiv:2405.20915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Risk-controlled early exit in neural networks.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Exits inside one network (compute saving); does not power physical sensor tiers, no energy-optimal per-tier budget split, no actuate/escalate/defer policy.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“Efficient Conformal Prediction via Cascaded Inference with Expanded Admission”, arXiv:2007.03114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Cascaded models to cheapen conformal sets.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Model cascade for set size; no sensing-hardware wake-up, no actuation risk.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Gibbs &amp; Candès, “Adaptive Conformal Inference Under Distribution Shift”, NeurIPS 2021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Online adaptation of miscoverage level under shift.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Generic; not applied to per-tier budgets of a sensing cascade.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Jitkrittum et al., “When Does Confidence-Based Cascade Deferral Suffice?”, NeurIPS 2023 (arXiv:2307.02764)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Analysis of confidence-threshold deferral in model cascades.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Heuristic confidence rules, no finite-sample guarantee (our baseline behaves this way).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“Sensor-Aware Classifiers for Energy-Efficient Time Series Applications on IoT Devices”, arXiv:2407.08715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Early-exit classifiers exploiting sensor structure for energy.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 statistical guarantee on wrong decisions; no joint budget allocation.</w:t>
            </w:r>
          </w:p>
        </w:tc>
      </w:tr>
      <w:tr>
        <w:trPr>
          <w:cantSplit/>
          <w:tblHeader w:val="off"/>
        </w:trPr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29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“Early Time Classification with Accumulated Accuracy Gap Control”, arXiv:2402.00857</w:t>
            </w:r>
          </w:p>
        </w:tc>
        <w:tc>
          <w:tcPr>
            <w:tcW w:type="dxa" w:w="272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Stopping-time classification with accuracy-gap control.</w:t>
            </w:r>
          </w:p>
        </w:tc>
        <w:tc>
          <w:tcPr>
            <w:tcW w:type="dxa" w:w="41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Time-series stopping, not multi-tier hardware sensing, no energy-optimal allocation.</w:t>
            </w:r>
          </w:p>
        </w:tc>
      </w:tr>
    </w:tbl>
    <w:p>
      <w:pPr>
        <w:spacing w:after="40"/>
      </w:pP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Note: a professional patent-database search (Espacenet/Google Patents/InPASS, CPC G06N 20/00, G16Y, H04W 52/02, G05B 13) must confirm this table before filing. References 1–8 were identified by web search on 30-Sep-2026; only titles/abstract-level content was reviewed.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4. Summary and background of the invention (gap / novelty)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Background.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Ambient IoT must act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invisibly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(no user prompts), yet a wrong autonomous action (unlocking a door, switching a heater, dismissing a fall alert) is costly, while always-on rich sensors (camera, mmWave radar) drain batteries and raise privacy exposure. Existing systems either (a) run all sensors and a single classifier (high energy, and softmax confidence is uncalibrated), or (b) use heuristic confidence-threshold sensor cascades that give no assurance on how often they act wrongly, especially for unseen occupants.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Gap.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No known system couples a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physical sensing-tier wake-up cascade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with a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finite-sample, distribution-free bound on wrong autonomous actuation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while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choosing how that bound is spent across tiers to minimise energy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Invention.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At each tier a split-conformal prediction set over candidate intents is computed. A singleton set triggers actuation and stops (higher-energy sensors stay asleep); a non-singleton set wakes the next tier; ambiguity at the last tier defers to the user (or a safe default). A wrong actuation implies the true intent was outside the stopping tier's set, so the wrong-actuation probability is bounded by the sum of per-tier miscoverage levels (union bound) – the </w:t>
      </w: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risk budget 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. The novel </w:t>
      </w: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budget-allocation step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searches the split of α over tiers that minimises expected energy + λ·deferral-rate on one data split, and calibrates the thresholds on a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disjoint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split, so the guarantee stays valid. On-site recalibration with few labelled samples restores the bound under occupant shift.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5. Objective(s) of the invention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(i) Bound the rate of erroneous autonomous actuation by a user/operator-set budget α without distributional assumptions; (ii) minimise sensing energy by waking high-power / privacy-intrusive modalities only when cheaper ones are ambiguous; (iii) provide a principled abstain (“ask user”) behaviour instead of forced decisions; (iv) make the guarantee portable to new occupants/homes through lightweight recalibration; (v) run on edge hardware (logistic/linear heads suffice; cost of allocation is a small grid search).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6. Working principle (in brief)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Tier-t score s=1−p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(y|x); threshold q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= ceil((n+1)(1−α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))-th smallest calibration score; set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(x)={k: 1−p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t,k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(x) ≤ q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}. Rule: |C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|=1 → actuate &amp; stop; else escalate; last tier non-singleton → defer. P(wrong actuation) ≤ Σα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≤ α. Allocation: (α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1..T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)* = argmin E[energy]+λP(defer) s.t. Σα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≤α (grid search on allocation split), thresholds from a disjoint calibration split.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7. Description of the invention in detail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7.1 Architecture.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(a) Sensing tiers T1 passive low-power (PIR, door contact, ambient light, time-of-day; 1 energy unit), T2 medium (plug power, audio level, BLE RSSI; 6 units), T3 high (camera / mmWave embedding; 40 units); (b) per-tier classifiers over cumulative features (edge MCU / gateway); (c) conformal calibrator storing per-tier score quantiles; (d) budget allocator; (e) actuation controller with escalate / actuate / defer outputs; (f) optional on-site recalibration module fed by user overrides.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7.2 Procedure.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Offline: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1) train tier classifiers on training occupants; 2) on allocation split run the cascade for each candidate split (α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,…,α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) with Σ=α and keep the split minimising J=E[cumulative energy]+λ·P(defer); 3) on a disjoint calibration split compute q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.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Online: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power tier 1, compute set; if singleton → actuate; else power tier 2 … ; at the last tier defer if not singleton.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7.3 Why the bound holds.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If the cascade actuates wrongly at tier t then 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={ŷ} with ŷ≠y, hence y∉C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; split-conformal gives P(y∉C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)≤α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under exchangeability; union over tiers gives ≤Σα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. Because the allocation uses data disjoint from the calibration data, the q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remain valid.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7.4 Implementation.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Reference implementation in Python (repository: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amicg/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: simulator.py, cascade.py; experiments/run_experiments.py; tests/test_cascade.py, unit tests pass). Drawing (block diagram):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0"/>
        <w:gridCol w:w="464"/>
        <w:gridCol w:w="3189"/>
        <w:gridCol w:w="464"/>
        <w:gridCol w:w="4059"/>
      </w:tblGrid>
      <w:tr>
        <w:trPr>
          <w:cantSplit/>
          <w:tblHeader w:val="off"/>
        </w:trPr>
        <w:tc>
          <w:tcPr>
            <w:tcW w:type="dxa" w:w="20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Sensors T1 (1u)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→</w:t>
            </w:r>
          </w:p>
        </w:tc>
        <w:tc>
          <w:tcPr>
            <w:tcW w:type="dxa" w:w="3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Classifier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+ conformal set 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1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→</w:t>
            </w:r>
          </w:p>
        </w:tc>
        <w:tc>
          <w:tcPr>
            <w:tcW w:type="dxa" w:w="40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|C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|=1 ?  yes → ACTUATE (stop)</w:t>
            </w:r>
          </w:p>
        </w:tc>
      </w:tr>
      <w:tr>
        <w:trPr>
          <w:cantSplit/>
          <w:tblHeader w:val="off"/>
        </w:trPr>
        <w:tc>
          <w:tcPr>
            <w:tcW w:type="dxa" w:w="20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3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 ↓ wake T2 (6u)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40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  <w:tblHeader w:val="off"/>
        </w:trPr>
        <w:tc>
          <w:tcPr>
            <w:tcW w:type="dxa" w:w="20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Sensors T2 (+6u)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→</w:t>
            </w:r>
          </w:p>
        </w:tc>
        <w:tc>
          <w:tcPr>
            <w:tcW w:type="dxa" w:w="3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Classifier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+ set 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2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→</w:t>
            </w:r>
          </w:p>
        </w:tc>
        <w:tc>
          <w:tcPr>
            <w:tcW w:type="dxa" w:w="40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|C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|=1 ? yes → ACTUATE</w:t>
            </w:r>
          </w:p>
        </w:tc>
      </w:tr>
      <w:tr>
        <w:trPr>
          <w:cantSplit/>
          <w:tblHeader w:val="off"/>
        </w:trPr>
        <w:tc>
          <w:tcPr>
            <w:tcW w:type="dxa" w:w="20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3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 ↓ wake T3 (40u)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W w:type="dxa" w:w="40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  <w:tblHeader w:val="off"/>
        </w:trPr>
        <w:tc>
          <w:tcPr>
            <w:tcW w:type="dxa" w:w="20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Sensors T3 (+40u)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→</w:t>
            </w:r>
          </w:p>
        </w:tc>
        <w:tc>
          <w:tcPr>
            <w:tcW w:type="dxa" w:w="318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Classifier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 + set 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3</w:t>
            </w:r>
          </w:p>
        </w:tc>
        <w:tc>
          <w:tcPr>
            <w:tcW w:type="dxa" w:w="4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→</w:t>
            </w:r>
          </w:p>
        </w:tc>
        <w:tc>
          <w:tcPr>
            <w:tcW w:type="dxa" w:w="40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|C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  <w:vertAlign w:val="subscript"/>
              </w:rPr>
              <w:t xml:space="preserve">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|=1 ? yes → ACTUATE ; no → DEFER to user</w:t>
            </w:r>
          </w:p>
        </w:tc>
      </w:tr>
    </w:tbl>
    <w:p>
      <w:pPr>
        <w:spacing w:after="40"/>
      </w:pP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Fig. 1 – Conformal sensing cascade. Budget allocator chooses 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  <w:vertAlign w:val="subscript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+α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  <w:vertAlign w:val="subscript"/>
        </w:rPr>
        <w:t xml:space="preserve">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+α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  <w:vertAlign w:val="subscript"/>
        </w:rPr>
        <w:t xml:space="preserve">3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≤ α; wrong actuation ≤ α.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8. Experimental validation results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Setup (simulation; no real-deployment data yet).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Synthetic multi-tier smart-home benchmark with 8 intents (idle, enter home, cooking, TV, sleep, leave, exercise, fall-risk), 3 cumulative sensing tiers (6/14/26 features, energy 1/6/40 units), per-occupant offsets (inter-occupant covariate shift) and deliberately confusable intent pairs at low tiers. Per seed: 24 training occupants, 10 allocation, 14 calibration, 24 unseen test occupants × 150 samples; 30 random seeds; mean values shown. Tier accuracies (single seed): T1 67%, T2 80%, T3 99.6%. Baselines: always-all-sensors argmax; tier-1 only; single-stage conformal with always-full sensing; confidence-threshold cascade (single threshold tuned on the same calibration split to hit α, forced decision at last tier); ablation: equal budget split.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"/>
        <w:gridCol w:w="2436"/>
        <w:gridCol w:w="1972"/>
        <w:gridCol w:w="1740"/>
        <w:gridCol w:w="1624"/>
        <w:gridCol w:w="1738"/>
      </w:tblGrid>
      <w:tr>
        <w:trPr>
          <w:cantSplit/>
          <w:tblHeader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α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Method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False-actuation rate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Energy / decision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Deferral rate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Seeds with FA&gt;α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 (proposed)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0.0067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32.3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0.009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AmI-CC, equal split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0.0043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33.6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0.003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Conformal, full sensing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0.0011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0.009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Conf.-threshold cascade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0.0109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31.7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57%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All sensors, argmax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0.0032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 (proposed)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0.0141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29.8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0.009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7%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AmI-CC, equal split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0.0073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31.9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0.005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Conformal, full sensing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0.0005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Conf.-threshold cascade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0.0196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29.2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50%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All sensors, argmax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0.0032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 (proposed)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0.0417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24.1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0.002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AmI-CC, equal split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0.0164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28.9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0.014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Conformal, full sensing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0.0002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0.051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Conf.-threshold cascade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0.0481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23.6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All sensors, argmax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0.0032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 (proposed)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0.0900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17.6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0.002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AmI-CC, equal split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0.0359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25.0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0.023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Conformal, full sensing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0.0001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0.102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Conf.-threshold cascade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0.0967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40%</w:t>
            </w:r>
          </w:p>
        </w:tc>
      </w:tr>
      <w:tr>
        <w:trPr>
          <w:cantSplit/>
          <w:tblHeader w:val="off"/>
        </w:trPr>
        <w:tc>
          <w:tcPr>
            <w:tcW w:type="dxa" w:w="6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All sensors, argmax</w:t>
            </w:r>
          </w:p>
        </w:tc>
        <w:tc>
          <w:tcPr>
            <w:tcW w:type="dxa" w:w="1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0.0032</w:t>
            </w:r>
          </w:p>
        </w:tc>
        <w:tc>
          <w:tcPr>
            <w:tcW w:type="dxa" w:w="17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47.0</w:t>
            </w:r>
          </w:p>
        </w:tc>
        <w:tc>
          <w:tcPr>
            <w:tcW w:type="dxa" w:w="16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0.000</w:t>
            </w:r>
          </w:p>
        </w:tc>
        <w:tc>
          <w:tcPr>
            <w:tcW w:type="dxa" w:w="1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0%</w:t>
            </w:r>
          </w:p>
        </w:tc>
      </w:tr>
    </w:tbl>
    <w:p>
      <w:pPr>
        <w:spacing w:after="40"/>
      </w:pP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Table 1 – mean over 30 seeds (std. in results/results.json). Tier-1-only: FA=0.330, energy 1.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Findings.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(1) The mean false-actuation rate of AmI-CC is below the budget for every α (e.g. 0.042 at α=0.05; 0.090 at α=0.10), as the bound predicts (per-seed violations, 7–17%, are finite-sample fluctuation of a bound that holds in expectation). (2) At α=0.05 AmI-CC uses 24.1 energy units vs 47.0 for always-full sensing: </w:t>
      </w: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49% saving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(63% at α=0.10: 17.6 vs 47.0) with FA 0.042 vs 0.0032 for the full-sensing argmax at its fixed operating point – i.e. the operator trades risk for energy in a controlled, tunable way. (3) Budget optimisation reduces energy by 17% vs equal split at α=0.05 (24.1 vs 28.9) and allocates almost all the budget to tier 2 (mean split 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/α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2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/α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3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= [0.001, 0.046, 0.003]). (4) The tuned confidence-threshold cascade reaches similar mean energy (23.6) but has no guarantee: it exceeds α in 47% of seeds at α=0.05 (40–57% across α) versus 10% for AmI-CC, and cannot defer. </w:t>
      </w: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Honest limitation: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energy is on par with that heuristic baseline, the benefit is the guarantee and the defer option.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Robustness to occupant shift (α=0.05).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The exchangeability assumption fails when test occupants are more heterogeneous than calibration occupants: the bound is exceeded (Table 2). On-site recalibration with 800 labelled samples from the new environment restores it, paying with more deferrals/energy (the system safely asks more).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552"/>
        <w:gridCol w:w="3119"/>
        <w:gridCol w:w="2267"/>
      </w:tblGrid>
      <w:tr>
        <w:trPr>
          <w:cantSplit/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Occupant-shift severity</w:t>
            </w:r>
          </w:p>
        </w:tc>
        <w:tc>
          <w:tcPr>
            <w:tcW w:type="dxa" w:w="2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FA, calibrated pre-deployment</w:t>
            </w:r>
          </w:p>
        </w:tc>
        <w:tc>
          <w:tcPr>
            <w:tcW w:type="dxa" w:w="31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FA, + on-site recalibration (800 labelled)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Deferral after recalibration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×1.0</w:t>
            </w:r>
          </w:p>
        </w:tc>
        <w:tc>
          <w:tcPr>
            <w:tcW w:type="dxa" w:w="2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0.042</w:t>
            </w:r>
          </w:p>
        </w:tc>
        <w:tc>
          <w:tcPr>
            <w:tcW w:type="dxa" w:w="31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0.044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0.00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×1.5</w:t>
            </w:r>
          </w:p>
        </w:tc>
        <w:tc>
          <w:tcPr>
            <w:tcW w:type="dxa" w:w="2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0.062</w:t>
            </w:r>
          </w:p>
        </w:tc>
        <w:tc>
          <w:tcPr>
            <w:tcW w:type="dxa" w:w="31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0.041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×2.0</w:t>
            </w:r>
          </w:p>
        </w:tc>
        <w:tc>
          <w:tcPr>
            <w:tcW w:type="dxa" w:w="2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0.092</w:t>
            </w:r>
          </w:p>
        </w:tc>
        <w:tc>
          <w:tcPr>
            <w:tcW w:type="dxa" w:w="31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0.035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0.07</w:t>
            </w:r>
          </w:p>
        </w:tc>
      </w:tr>
      <w:tr>
        <w:trPr>
          <w:cantSplit/>
          <w:tblHeader w:val="off"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×3.0</w:t>
            </w:r>
          </w:p>
        </w:tc>
        <w:tc>
          <w:tcPr>
            <w:tcW w:type="dxa" w:w="25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0.178</w:t>
            </w:r>
          </w:p>
        </w:tc>
        <w:tc>
          <w:tcPr>
            <w:tcW w:type="dxa" w:w="31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0.027</w:t>
            </w:r>
          </w:p>
        </w:tc>
        <w:tc>
          <w:tcPr>
            <w:tcW w:type="dxa" w:w="22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0.32</w:t>
            </w:r>
          </w:p>
        </w:tc>
      </w:tr>
    </w:tbl>
    <w:p>
      <w:pPr>
        <w:spacing w:after="40"/>
      </w:pP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Table 2.</w:t>
      </w:r>
    </w:p>
    <w:p>
      <w:pPr>
        <w:jc w:val="center"/>
      </w:pPr>
      <w:r>
        <w:drawing>
          <wp:inline distT="0" distB="0" distL="0" distR="0">
            <wp:extent cx="6296025" cy="1743075"/>
            <wp:effectExtent t="0" r="0" b="0" l="0"/>
            <wp:docPr id="1" name="fig_main.png" descr="experiment 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Fig. 2 – Risk-budget sweep: false-actuation, energy, deferral (30 seeds).</w:t>
      </w:r>
    </w:p>
    <w:p>
      <w:pPr>
        <w:jc w:val="center"/>
      </w:pPr>
      <w:r>
        <w:drawing>
          <wp:inline distT="0" distB="0" distL="0" distR="0">
            <wp:extent cx="3057525" cy="2076450"/>
            <wp:effectExtent t="0" r="0" b="0" l="0"/>
            <wp:docPr id="2" name="fig_shift.png" descr="experiment figure" title="fig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Fig. 3 – Effect of occupant shift with/without recalibration.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Reproduce: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16"/>
          <w:szCs w:val="16"/>
        </w:rPr>
        <w:t xml:space="preserve">python experiments/run_experiments.py; python experiments/make_figures.py; python tests/test_cascade.py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Status: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results are from a simulator, not field data; a pilot on a public smart-home dataset / campus testbed is planned before TRL≥4 claims and is recommended before the IoTJ submission.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9. What aspect(s) need protection?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Independent claim 1 (method):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controlling actuation in an ambient IoT system comprising: powering a first sensing tier; computing with a first classifier a conformal prediction set of candidate intents whose threshold is calibrated to a first miscoverage level 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; actuating if the set is a singleton and otherwise powering a higher-energy tier and repeating; deferring if the last-tier set is not a singleton; wherein the miscoverage levels satisfy Σα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  <w:vertAlign w:val="subscript"/>
        </w:rPr>
        <w:t xml:space="preserve">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≤ α, a predetermined actuation-risk budget, and are selected by minimising an objective comprising expected sensing energy on a data split disjoint from the split used to calibrate the thresholds.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/>
          <w:bCs/>
          <w:i w:val="false"/>
          <w:iCs w:val="false"/>
          <w:sz w:val="19"/>
          <w:szCs w:val="19"/>
        </w:rPr>
        <w:t xml:space="preserve">Dependent aspects: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 (2) objective includes deferral (user-interruption) cost λ; (3) grid/convex search of the allocation; (4) per-tier classifiers on cumulative features; (5) on-site recalibration from user overrides when a drift detector fires, raising deferral to preserve the bound; (6) tiers including PIR/door/light → plug-power/audio/BLE → camera/mmWave, so privacy-intrusive sensors are powered only on ambiguity; (7) class-conditional (per-action criticality) budgets [not yet validated]; (8) system, and (9) non-transitory medium claims. </w:t>
      </w:r>
      <w:r>
        <w:rPr>
          <w:rFonts w:ascii="Arial" w:cs="Arial" w:eastAsia="Arial" w:hAnsi="Arial"/>
          <w:b w:val="false"/>
          <w:bCs w:val="false"/>
          <w:i/>
          <w:iCs/>
          <w:sz w:val="19"/>
          <w:szCs w:val="19"/>
        </w:rPr>
        <w:t xml:space="preserve">Technical effect emphasised for eligibility (e.g. Indian Patents Act s.3(k) / 35 USC §101): reduced power consumption of sensor hardware and a bounded rate of erroneous physical actuation.</w:t>
      </w:r>
    </w:p>
    <w:p>
      <w:pPr>
        <w:keepNext/>
        <w:spacing w:after="60" w:before="200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10. Technology readiness level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1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2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3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4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5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6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7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8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TRL 9</w:t>
            </w:r>
          </w:p>
        </w:tc>
      </w:tr>
      <w:tr>
        <w:trPr>
          <w:cantSplit/>
          <w:tblHeader w:val="off"/>
        </w:trPr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Basic principles observed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Concept formulated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[X] Experimental proof of concept (simulation, this work)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Validated in lab (planned: testbed)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Relevant environment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Demonstrated in relevant env.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Prototype in operational env.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System complete &amp; qualified</w:t>
            </w:r>
          </w:p>
        </w:tc>
        <w:tc>
          <w:tcPr>
            <w:tcW w:type="dxa" w:w="113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Proven in operational env.</w:t>
            </w:r>
          </w:p>
        </w:tc>
      </w:tr>
    </w:tbl>
    <w:p>
      <w:pPr>
        <w:spacing w:after="40"/>
      </w:pP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Ticked: </w:t>
      </w:r>
      <w:r>
        <w:rPr>
          <w:rFonts w:ascii="Arial" w:cs="Arial" w:eastAsia="Arial" w:hAnsi="Arial"/>
          <w:b/>
          <w:bCs/>
          <w:i w:val="false"/>
          <w:iCs w:val="false"/>
          <w:sz w:val="16"/>
          <w:szCs w:val="16"/>
        </w:rPr>
        <w:t xml:space="preserve">TRL 3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 (experimental proof of concept). Target: TRL 4 after a lab testbed run.</w:t>
      </w:r>
    </w:p>
    <w:p>
      <w:pPr>
        <w:keepNext w:val="false"/>
        <w:spacing w:after="8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---------------------- END OF THE DOCUMENT -----------------------------</w:t>
      </w:r>
    </w:p>
    <w:sectPr>
      <w:headerReference w:type="default" r:id="rId6"/>
      <w:footerReference w:type="default" r:id="rId7"/>
      <w:pgSz w:w="11906" w:h="16838" w:orient="portrait"/>
      <w:pgMar w:top="100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Arial" w:cs="Arial" w:eastAsia="Arial" w:hAnsi="Arial"/>
        <w:sz w:val="15"/>
        <w:szCs w:val="15"/>
      </w:rPr>
      <w:t xml:space="preserve">©VIT IPR&amp;TT CELL</w:t>
    </w:r>
  </w:p>
  <w:p>
    <w:pPr>
      <w:jc w:val="center"/>
    </w:pPr>
    <w:r>
      <w:rPr>
        <w:rFonts w:ascii="Arial" w:cs="Arial" w:eastAsia="Arial" w:hAnsi="Arial"/>
        <w:sz w:val="15"/>
        <w:szCs w:val="15"/>
      </w:rPr>
      <w:t xml:space="preserve">Invention Disclosure Format (IDF)-B</w:t>
    </w:r>
  </w:p>
  <w:p>
    <w:pPr>
      <w:jc w:val="right"/>
    </w:pPr>
    <w:r>
      <w:rPr>
        <w:rFonts w:ascii="Arial" w:cs="Arial" w:eastAsia="Arial" w:hAnsi="Arial"/>
        <w:sz w:val="15"/>
        <w:szCs w:val="15"/>
      </w:rPr>
      <w:t xml:space="preserve">Doc. No. 02-IPR-R003 | Issue No/Date 2/01.02.2024 | Amd. No/Date 0/00.00.0000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1013a4be0108c49b6b17a8ac0634b185488693c.png"/><Relationship Id="rId10" Type="http://schemas.openxmlformats.org/officeDocument/2006/relationships/image" Target="media/3aec39c1da1429e06993ffdf84e8f49e262fe0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Invention Disclosure Format (IDF)-B - AmI-CC</dc:title>
  <dc:creator>Inventor(s) - to be completed</dc:creator>
  <cp:lastModifiedBy>Un-named</cp:lastModifiedBy>
  <cp:revision>1</cp:revision>
  <dcterms:created xsi:type="dcterms:W3CDTF">2026-09-30T17:34:00.136Z</dcterms:created>
  <dcterms:modified xsi:type="dcterms:W3CDTF">2026-09-30T17:34:00.136Z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