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Operating Procedure — SOP-PROC-01</w:t>
      </w:r>
    </w:p>
    <w:p>
      <w:r>
        <w:t>Title: Corporate Procurement Process</w:t>
      </w:r>
    </w:p>
    <w:p>
      <w:r>
        <w:t>Owner: Procurement Office</w:t>
      </w:r>
    </w:p>
    <w:p/>
    <w:p>
      <w:r>
        <w:t>Step 1: Requester submits a purchase request with amount, cost centre, and supplier.</w:t>
      </w:r>
    </w:p>
    <w:p>
      <w:r>
        <w:t>Step 2: Line manager approves if amount is below the policy threshold of USD 5,000.</w:t>
      </w:r>
    </w:p>
    <w:p>
      <w:r>
        <w:t>Step 3: Buyer creates a purchase order and sends to the approved vendor.</w:t>
      </w:r>
    </w:p>
    <w:p>
      <w:r>
        <w:t>Step 4: Receiving confirms goods against the PO.</w:t>
      </w:r>
    </w:p>
    <w:p>
      <w:r>
        <w:t>Step 5: Accounts payable matches invoice to PO and processes payment.</w:t>
      </w:r>
    </w:p>
    <w:p/>
    <w:p>
      <w:r>
        <w:t>Policy threshold: USD 5,000 for standard purchases.</w:t>
      </w:r>
    </w:p>
    <w:p>
      <w:r>
        <w:t>Supplier: Acme Supplies Ltd may be engaged for IT hardware.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