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bidi w:val="1"/>
      </w:pPr>
      <w:r>
        <w:drawing>
          <wp:inline xmlns:a="http://schemas.openxmlformats.org/drawingml/2006/main" xmlns:pic="http://schemas.openxmlformats.org/drawingml/2006/picture">
            <wp:extent cx="3383280" cy="845820"/>
            <wp:docPr id="1" name="Picture 1"/>
            <wp:cNvGraphicFramePr>
              <a:graphicFrameLocks noChangeAspect="1"/>
            </wp:cNvGraphicFramePr>
            <a:graphic>
              <a:graphicData uri="http://schemas.openxmlformats.org/drawingml/2006/picture">
                <pic:pic>
                  <pic:nvPicPr>
                    <pic:cNvPr id="0" name="lumera-logo-landscape.png"/>
                    <pic:cNvPicPr/>
                  </pic:nvPicPr>
                  <pic:blipFill>
                    <a:blip r:embed="rId11"/>
                    <a:stretch>
                      <a:fillRect/>
                    </a:stretch>
                  </pic:blipFill>
                  <pic:spPr>
                    <a:xfrm>
                      <a:off x="0" y="0"/>
                      <a:ext cx="3383280" cy="845820"/>
                    </a:xfrm>
                    <a:prstGeom prst="rect"/>
                  </pic:spPr>
                </pic:pic>
              </a:graphicData>
            </a:graphic>
          </wp:inline>
        </w:drawing>
      </w:r>
    </w:p>
    <w:p>
      <w:pPr>
        <w:spacing w:after="40" w:line="276" w:lineRule="auto"/>
        <w:jc w:val="center"/>
        <w:bidi w:val="1"/>
      </w:pPr>
      <w:r>
        <w:rPr>
          <w:rFonts w:ascii="Arial" w:hAnsi="Arial"/>
          <w:b/>
          <w:color w:val="1F2A24"/>
          <w:sz w:val="54"/>
        </w:rPr>
        <w:t>פרסום בגוגל</w:t>
      </w:r>
    </w:p>
    <w:p>
      <w:pPr>
        <w:spacing w:after="360" w:line="276" w:lineRule="auto"/>
        <w:jc w:val="center"/>
        <w:bidi w:val="1"/>
      </w:pPr>
      <w:r>
        <w:rPr>
          <w:rFonts w:ascii="Arial" w:hAnsi="Arial"/>
          <w:b w:val="0"/>
          <w:color w:val="5F7D68"/>
          <w:sz w:val="26"/>
        </w:rPr>
        <w:t>מטלת סיום · סמסטר ב׳ · תשפ״ו 2026</w:t>
      </w:r>
    </w:p>
    <w:p>
      <w:pPr>
        <w:spacing w:after="320" w:line="276" w:lineRule="auto"/>
        <w:jc w:val="center"/>
        <w:bidi w:val="1"/>
      </w:pPr>
      <w:r>
        <w:rPr>
          <w:color w:val="C9A45C"/>
          <w:sz w:val="24"/>
        </w:rPr>
        <w:t>━━━━━━━━━━━━━━━━━━━━━━━━━━━━</w:t>
      </w:r>
    </w:p>
    <w:p>
      <w:pPr>
        <w:spacing w:after="40" w:line="276" w:lineRule="auto"/>
        <w:jc w:val="center"/>
        <w:bidi w:val="1"/>
      </w:pPr>
      <w:r>
        <w:rPr>
          <w:rFonts w:ascii="Arial" w:hAnsi="Arial"/>
          <w:b/>
          <w:color w:val="C9A45C"/>
          <w:sz w:val="40"/>
        </w:rPr>
        <w:t>LUMERA</w:t>
      </w:r>
    </w:p>
    <w:p>
      <w:pPr>
        <w:spacing w:after="500" w:line="276" w:lineRule="auto"/>
        <w:jc w:val="center"/>
        <w:bidi w:val="1"/>
      </w:pPr>
      <w:r>
        <w:rPr>
          <w:rFonts w:ascii="Arial" w:hAnsi="Arial"/>
          <w:b w:val="0"/>
          <w:color w:val="6F706A"/>
          <w:sz w:val="28"/>
        </w:rPr>
        <w:t>סטודיו לפילאטיס בוטיק בנתניה</w:t>
      </w:r>
    </w:p>
    <w:tbl>
      <w:tblPr>
        <w:tblStyle w:val="TableGrid"/>
        <w:tblW w:type="auto" w:w="0"/>
        <w:jc w:val="center"/>
        <w:tblLook w:firstColumn="1" w:firstRow="1" w:lastColumn="0" w:lastRow="0" w:noHBand="0" w:noVBand="1" w:val="04A0"/>
      </w:tblPr>
      <w:tblGrid>
        <w:gridCol w:w="5112"/>
        <w:gridCol w:w="5112"/>
      </w:tblGrid>
      <w:tr>
        <w:tc>
          <w:tcPr>
            <w:tcW w:type="dxa" w:w="5112"/>
            <w:shd w:fill="5F7D68"/>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color w:val="FFFFFF"/>
                <w:sz w:val="21"/>
              </w:rPr>
              <w:t>פרט</w:t>
            </w:r>
          </w:p>
        </w:tc>
        <w:tc>
          <w:tcPr>
            <w:tcW w:type="dxa" w:w="5112"/>
            <w:shd w:fill="5F7D68"/>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color w:val="FFFFFF"/>
                <w:sz w:val="21"/>
              </w:rPr>
              <w:t>מידע</w:t>
            </w:r>
          </w:p>
        </w:tc>
      </w:tr>
      <w:tr>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סטודנט</w:t>
            </w:r>
          </w:p>
        </w:tc>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עמית סולימן</w:t>
            </w:r>
          </w:p>
        </w:tc>
      </w:tr>
      <w:tr>
        <w:tc>
          <w:tcPr>
            <w:tcW w:type="dxa" w:w="5112"/>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מרצה</w:t>
            </w:r>
          </w:p>
        </w:tc>
        <w:tc>
          <w:tcPr>
            <w:tcW w:type="dxa" w:w="5112"/>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אבישי פרוינד</w:t>
            </w:r>
          </w:p>
        </w:tc>
      </w:tr>
      <w:tr>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קורס</w:t>
            </w:r>
          </w:p>
        </w:tc>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פרסום בגוגל</w:t>
            </w:r>
          </w:p>
        </w:tc>
      </w:tr>
      <w:tr>
        <w:tc>
          <w:tcPr>
            <w:tcW w:type="dxa" w:w="5112"/>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מספר חשבון Google Ads</w:t>
            </w:r>
          </w:p>
        </w:tc>
        <w:tc>
          <w:tcPr>
            <w:tcW w:type="dxa" w:w="5112"/>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580-214-1692</w:t>
            </w:r>
          </w:p>
        </w:tc>
      </w:tr>
      <w:tr>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תאריך הגשה</w:t>
            </w:r>
          </w:p>
        </w:tc>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12/07/2026</w:t>
            </w:r>
          </w:p>
        </w:tc>
      </w:tr>
    </w:tbl>
    <w:p>
      <w:pPr>
        <w:spacing w:after="20" w:line="276" w:lineRule="auto"/>
        <w:jc w:val="right"/>
        <w:bidi w:val="1"/>
      </w:pPr>
    </w:p>
    <w:p>
      <w:pPr>
        <w:spacing w:after="0" w:line="276" w:lineRule="auto"/>
        <w:jc w:val="center"/>
        <w:bidi w:val="1"/>
      </w:pPr>
      <w:r>
        <w:rPr>
          <w:rFonts w:ascii="Arial" w:hAnsi="Arial"/>
          <w:b w:val="0"/>
          <w:color w:val="6F706A"/>
          <w:sz w:val="22"/>
        </w:rPr>
        <w:t>מסמך זה מציג את הארגון, דפי הנחיתה ומבנה הפעילות הפרסומית שנבנתה עבור LUMERA.</w:t>
      </w:r>
    </w:p>
    <w:p>
      <w:r>
        <w:br w:type="page"/>
      </w:r>
    </w:p>
    <w:p>
      <w:pPr>
        <w:spacing w:before="300" w:after="140"/>
        <w:jc w:val="right"/>
        <w:bidi w:val="1"/>
      </w:pPr>
      <w:r>
        <w:rPr>
          <w:rFonts w:ascii="Arial" w:hAnsi="Arial"/>
          <w:b/>
          <w:color w:val="5F7D68"/>
          <w:sz w:val="36"/>
        </w:rPr>
        <w:t>1. תיאור הארגון</w:t>
      </w:r>
    </w:p>
    <w:p>
      <w:pPr>
        <w:spacing w:after="140" w:line="276" w:lineRule="auto"/>
        <w:jc w:val="right"/>
        <w:bidi w:val="1"/>
      </w:pPr>
      <w:r>
        <w:rPr>
          <w:rFonts w:ascii="Arial" w:hAnsi="Arial"/>
          <w:b w:val="0"/>
          <w:color w:val="1F2A24"/>
          <w:sz w:val="22"/>
        </w:rPr>
        <w:t>LUMERA הוא סטודיו בוטיק לפילאטיס בנתניה ובאזור השרון. הסטודיו מציע אימוני רפורמר, שיעורי פילאטיס רצפה ואימונים פרטיים. המותג פונה למתאמנים ומתאמנות שמחפשים מסגרת מקצועית, יחס אישי ואימון שניתן להתאים לרמה ולמטרה שלהם.</w:t>
      </w:r>
    </w:p>
    <w:p>
      <w:pPr>
        <w:spacing w:after="140" w:line="276" w:lineRule="auto"/>
        <w:jc w:val="right"/>
        <w:bidi w:val="1"/>
      </w:pPr>
      <w:r>
        <w:rPr>
          <w:rFonts w:ascii="Arial" w:hAnsi="Arial"/>
          <w:b w:val="0"/>
          <w:color w:val="1F2A24"/>
          <w:sz w:val="22"/>
        </w:rPr>
        <w:t>האתר נבנה כדף נחיתה רב־עמודי. בכל דף קיים טופס השארת פרטים, והשלמת הטופס מעבירה את המשתמש לדף תודה. בדף התודה מופעל אירוע המרה של Google Ads.</w:t>
      </w:r>
    </w:p>
    <w:p>
      <w:pPr>
        <w:spacing w:before="180" w:after="140"/>
        <w:jc w:val="right"/>
        <w:bidi w:val="1"/>
      </w:pPr>
      <w:r>
        <w:rPr>
          <w:rFonts w:ascii="Arial" w:hAnsi="Arial"/>
          <w:b/>
          <w:color w:val="1F2A24"/>
          <w:sz w:val="26"/>
        </w:rPr>
        <w:t>2. המוצרים שנבחרו</w:t>
      </w:r>
    </w:p>
    <w:p>
      <w:pPr>
        <w:spacing w:after="60" w:line="276" w:lineRule="auto"/>
        <w:jc w:val="right"/>
        <w:bidi w:val="1"/>
      </w:pPr>
      <w:r>
        <w:rPr>
          <w:rFonts w:ascii="Arial" w:hAnsi="Arial"/>
          <w:b/>
          <w:color w:val="5F7D68"/>
          <w:sz w:val="24"/>
        </w:rPr>
        <w:t>א. פילאטיס מכשירים / רפורמר</w:t>
      </w:r>
    </w:p>
    <w:p>
      <w:pPr>
        <w:spacing w:after="140" w:line="276" w:lineRule="auto"/>
        <w:jc w:val="right"/>
        <w:bidi w:val="1"/>
      </w:pPr>
      <w:r>
        <w:rPr>
          <w:rFonts w:ascii="Arial" w:hAnsi="Arial"/>
          <w:b w:val="0"/>
          <w:color w:val="1F2A24"/>
          <w:sz w:val="21"/>
        </w:rPr>
        <w:t>אימון על מכשיר רפורמר המשלב התנגדות, שליטה ודיוק. המסלול מתאים למתחילים ולמתאמנים מנוסים, ויכול לשמש לחיזוק שרירי הליבה, לשיפור היציבה, להגדלת טווחי תנועה ולבניית הרגלי תנועה נכונים. העבודה בקבוצה קטנה מאפשרת למדריך לתת תיקונים והתאמות במהלך השיעור.</w:t>
      </w:r>
    </w:p>
    <w:p>
      <w:pPr>
        <w:spacing w:after="60" w:line="276" w:lineRule="auto"/>
        <w:jc w:val="right"/>
        <w:bidi w:val="1"/>
      </w:pPr>
      <w:r>
        <w:rPr>
          <w:rFonts w:ascii="Arial" w:hAnsi="Arial"/>
          <w:b/>
          <w:color w:val="5F7D68"/>
          <w:sz w:val="24"/>
        </w:rPr>
        <w:t>ב. אימון פילאטיס פרטי 1 על 1</w:t>
      </w:r>
    </w:p>
    <w:p>
      <w:pPr>
        <w:spacing w:after="140" w:line="276" w:lineRule="auto"/>
        <w:jc w:val="right"/>
        <w:bidi w:val="1"/>
      </w:pPr>
      <w:r>
        <w:rPr>
          <w:rFonts w:ascii="Arial" w:hAnsi="Arial"/>
          <w:b w:val="0"/>
          <w:color w:val="1F2A24"/>
          <w:sz w:val="21"/>
        </w:rPr>
        <w:t>מסלול אישי שבו תוכן האימון, הקצב והתרגילים נבנים סביב המטרות והצרכים של המתאמן. האימון מתאים למי שמעדיף ליווי צמוד, למי שחוזר לפעילות לאחר הפסקה או פציעה, ולמי שמעוניין בתוכנית גמישה וממוקדת יותר.</w:t>
      </w:r>
    </w:p>
    <w:p>
      <w:pPr>
        <w:spacing w:before="300" w:after="140"/>
        <w:jc w:val="right"/>
        <w:bidi w:val="1"/>
      </w:pPr>
      <w:r>
        <w:rPr>
          <w:rFonts w:ascii="Arial" w:hAnsi="Arial"/>
          <w:b/>
          <w:color w:val="5F7D68"/>
          <w:sz w:val="36"/>
        </w:rPr>
        <w:t>3. דפי הנחיתה</w:t>
      </w:r>
    </w:p>
    <w:tbl>
      <w:tblPr>
        <w:tblStyle w:val="TableGrid"/>
        <w:tblW w:type="auto" w:w="0"/>
        <w:jc w:val="center"/>
        <w:tblLook w:firstColumn="1" w:firstRow="1" w:lastColumn="0" w:lastRow="0" w:noHBand="0" w:noVBand="1" w:val="04A0"/>
      </w:tblPr>
      <w:tblGrid>
        <w:gridCol w:w="5112"/>
        <w:gridCol w:w="5112"/>
      </w:tblGrid>
      <w:tr>
        <w:tc>
          <w:tcPr>
            <w:tcW w:type="dxa" w:w="5112"/>
            <w:shd w:fill="5F7D68"/>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color w:val="FFFFFF"/>
                <w:sz w:val="21"/>
              </w:rPr>
              <w:t>דף</w:t>
            </w:r>
          </w:p>
        </w:tc>
        <w:tc>
          <w:tcPr>
            <w:tcW w:type="dxa" w:w="5112"/>
            <w:shd w:fill="5F7D68"/>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color w:val="FFFFFF"/>
                <w:sz w:val="21"/>
              </w:rPr>
              <w:t>כתובת</w:t>
            </w:r>
          </w:p>
        </w:tc>
      </w:tr>
      <w:tr>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דף הבית</w:t>
            </w:r>
          </w:p>
        </w:tc>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https://avitheuser1-ship-it.github.io/pilates-landing/</w:t>
            </w:r>
          </w:p>
        </w:tc>
      </w:tr>
      <w:tr>
        <w:tc>
          <w:tcPr>
            <w:tcW w:type="dxa" w:w="5112"/>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פילאטיס מכשירים / רפורמר</w:t>
            </w:r>
          </w:p>
        </w:tc>
        <w:tc>
          <w:tcPr>
            <w:tcW w:type="dxa" w:w="5112"/>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https://avitheuser1-ship-it.github.io/pilates-landing/product1.html</w:t>
            </w:r>
          </w:p>
        </w:tc>
      </w:tr>
      <w:tr>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חוג פילאטיס רצפה</w:t>
            </w:r>
          </w:p>
        </w:tc>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https://avitheuser1-ship-it.github.io/pilates-landing/product2.html</w:t>
            </w:r>
          </w:p>
        </w:tc>
      </w:tr>
      <w:tr>
        <w:tc>
          <w:tcPr>
            <w:tcW w:type="dxa" w:w="5112"/>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אימון פרטי 1 על 1</w:t>
            </w:r>
          </w:p>
        </w:tc>
        <w:tc>
          <w:tcPr>
            <w:tcW w:type="dxa" w:w="5112"/>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https://avitheuser1-ship-it.github.io/pilates-landing/product3.html</w:t>
            </w:r>
          </w:p>
        </w:tc>
      </w:tr>
      <w:tr>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דף תודה</w:t>
            </w:r>
          </w:p>
        </w:tc>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https://avitheuser1-ship-it.github.io/pilates-landing/thank-you.html</w:t>
            </w:r>
          </w:p>
        </w:tc>
      </w:tr>
    </w:tbl>
    <w:p>
      <w:pPr>
        <w:spacing w:after="140" w:line="276" w:lineRule="auto"/>
        <w:jc w:val="right"/>
        <w:bidi w:val="1"/>
      </w:pPr>
      <w:r>
        <w:rPr>
          <w:rFonts w:ascii="Arial" w:hAnsi="Arial"/>
          <w:b w:val="0"/>
          <w:color w:val="6F706A"/>
          <w:sz w:val="21"/>
        </w:rPr>
        <w:t>האתר אינו כולל תפריט ניווט, טלפון או הפניות לרשתות חברתיות. בדפים משולב הלוגו של LUMERA, והטופס מוביל לדף תודה לאחר שליחה.</w:t>
      </w:r>
    </w:p>
    <w:p>
      <w:r>
        <w:br w:type="page"/>
      </w:r>
    </w:p>
    <w:p>
      <w:pPr>
        <w:spacing w:before="300" w:after="140"/>
        <w:jc w:val="right"/>
        <w:bidi w:val="1"/>
      </w:pPr>
      <w:r>
        <w:rPr>
          <w:rFonts w:ascii="Arial" w:hAnsi="Arial"/>
          <w:b/>
          <w:color w:val="5F7D68"/>
          <w:sz w:val="36"/>
        </w:rPr>
        <w:t>4. מבנה חשבון Google Ads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5F7D68"/>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color w:val="FFFFFF"/>
                <w:sz w:val="21"/>
              </w:rPr>
              <w:t>קמפיין</w:t>
            </w:r>
          </w:p>
        </w:tc>
        <w:tc>
          <w:tcPr>
            <w:tcW w:type="dxa" w:w="2556"/>
            <w:shd w:fill="5F7D68"/>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color w:val="FFFFFF"/>
                <w:sz w:val="21"/>
              </w:rPr>
              <w:t>סוג</w:t>
            </w:r>
          </w:p>
        </w:tc>
        <w:tc>
          <w:tcPr>
            <w:tcW w:type="dxa" w:w="2556"/>
            <w:shd w:fill="5F7D68"/>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color w:val="FFFFFF"/>
                <w:sz w:val="21"/>
              </w:rPr>
              <w:t>תקציב יומי</w:t>
            </w:r>
          </w:p>
        </w:tc>
        <w:tc>
          <w:tcPr>
            <w:tcW w:type="dxa" w:w="2556"/>
            <w:shd w:fill="5F7D68"/>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color w:val="FFFFFF"/>
                <w:sz w:val="21"/>
              </w:rPr>
              <w:t>סטטוס</w:t>
            </w:r>
          </w:p>
        </w:tc>
      </w:tr>
      <w:tr>
        <w:tc>
          <w:tcPr>
            <w:tcW w:type="dxa" w:w="2556"/>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קמפיין חיפוש</w:t>
            </w:r>
          </w:p>
        </w:tc>
        <w:tc>
          <w:tcPr>
            <w:tcW w:type="dxa" w:w="2556"/>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Search</w:t>
            </w:r>
          </w:p>
        </w:tc>
        <w:tc>
          <w:tcPr>
            <w:tcW w:type="dxa" w:w="2556"/>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30 ₪</w:t>
            </w:r>
          </w:p>
        </w:tc>
        <w:tc>
          <w:tcPr>
            <w:tcW w:type="dxa" w:w="2556"/>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מושהה</w:t>
            </w:r>
          </w:p>
        </w:tc>
      </w:tr>
      <w:tr>
        <w:tc>
          <w:tcPr>
            <w:tcW w:type="dxa" w:w="2556"/>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קמפיין מותג</w:t>
            </w:r>
          </w:p>
        </w:tc>
        <w:tc>
          <w:tcPr>
            <w:tcW w:type="dxa" w:w="2556"/>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Search</w:t>
            </w:r>
          </w:p>
        </w:tc>
        <w:tc>
          <w:tcPr>
            <w:tcW w:type="dxa" w:w="2556"/>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50 ₪</w:t>
            </w:r>
          </w:p>
        </w:tc>
        <w:tc>
          <w:tcPr>
            <w:tcW w:type="dxa" w:w="2556"/>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מושהה</w:t>
            </w:r>
          </w:p>
        </w:tc>
      </w:tr>
      <w:tr>
        <w:tc>
          <w:tcPr>
            <w:tcW w:type="dxa" w:w="2556"/>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קמפיין GDN</w:t>
            </w:r>
          </w:p>
        </w:tc>
        <w:tc>
          <w:tcPr>
            <w:tcW w:type="dxa" w:w="2556"/>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Display</w:t>
            </w:r>
          </w:p>
        </w:tc>
        <w:tc>
          <w:tcPr>
            <w:tcW w:type="dxa" w:w="2556"/>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40 ₪</w:t>
            </w:r>
          </w:p>
        </w:tc>
        <w:tc>
          <w:tcPr>
            <w:tcW w:type="dxa" w:w="2556"/>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מושהה</w:t>
            </w:r>
          </w:p>
        </w:tc>
      </w:tr>
      <w:tr>
        <w:tc>
          <w:tcPr>
            <w:tcW w:type="dxa" w:w="2556"/>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קמפיין וידאו</w:t>
            </w:r>
          </w:p>
        </w:tc>
        <w:tc>
          <w:tcPr>
            <w:tcW w:type="dxa" w:w="2556"/>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Demand Gen / נכסי וידאו</w:t>
            </w:r>
          </w:p>
        </w:tc>
        <w:tc>
          <w:tcPr>
            <w:tcW w:type="dxa" w:w="2556"/>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30 ₪</w:t>
            </w:r>
          </w:p>
        </w:tc>
        <w:tc>
          <w:tcPr>
            <w:tcW w:type="dxa" w:w="2556"/>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מושהה</w:t>
            </w:r>
          </w:p>
        </w:tc>
      </w:tr>
      <w:tr>
        <w:tc>
          <w:tcPr>
            <w:tcW w:type="dxa" w:w="2556"/>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קמפיין התקשרות בלבד</w:t>
            </w:r>
          </w:p>
        </w:tc>
        <w:tc>
          <w:tcPr>
            <w:tcW w:type="dxa" w:w="2556"/>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Search</w:t>
            </w:r>
          </w:p>
        </w:tc>
        <w:tc>
          <w:tcPr>
            <w:tcW w:type="dxa" w:w="2556"/>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40 ₪</w:t>
            </w:r>
          </w:p>
        </w:tc>
        <w:tc>
          <w:tcPr>
            <w:tcW w:type="dxa" w:w="2556"/>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מושהה</w:t>
            </w:r>
          </w:p>
        </w:tc>
      </w:tr>
    </w:tbl>
    <w:p>
      <w:pPr>
        <w:spacing w:after="140" w:line="276" w:lineRule="auto"/>
        <w:jc w:val="right"/>
        <w:bidi w:val="1"/>
      </w:pPr>
      <w:r>
        <w:rPr>
          <w:rFonts w:ascii="Arial" w:hAnsi="Arial"/>
          <w:b w:val="0"/>
          <w:color w:val="1F2A24"/>
          <w:sz w:val="21"/>
        </w:rPr>
        <w:t>הקמפיינים נבנו במבנה הנדרש למטלה ונשמרו במצב מושהה, כך שלא יפעלו בפועל בזמן ההגשה.</w:t>
      </w:r>
    </w:p>
    <w:p>
      <w:pPr>
        <w:spacing w:before="300" w:after="140"/>
        <w:jc w:val="right"/>
        <w:bidi w:val="1"/>
      </w:pPr>
      <w:r>
        <w:rPr>
          <w:rFonts w:ascii="Arial" w:hAnsi="Arial"/>
          <w:b/>
          <w:color w:val="5F7D68"/>
          <w:sz w:val="36"/>
        </w:rPr>
        <w:t>5. קמפיין החיפוש והקמפיין הממותג</w:t>
      </w:r>
    </w:p>
    <w:p>
      <w:pPr>
        <w:spacing w:after="140" w:line="276" w:lineRule="auto"/>
        <w:jc w:val="right"/>
        <w:bidi w:val="1"/>
      </w:pPr>
      <w:r>
        <w:rPr>
          <w:rFonts w:ascii="Arial" w:hAnsi="Arial"/>
          <w:b w:val="0"/>
          <w:color w:val="1F2A24"/>
          <w:sz w:val="21"/>
        </w:rPr>
        <w:t>בקמפיין החיפוש קיימות שתי קבוצות מודעות, כאשר החלוקה ביניהן מבוססת על צורך או אופן פנייה שונים. נעשה שימוש במילות מפתח בהתאמות מדויקת וביטוי, ללא התאמה רחבה וללא מילות מפתח כלליות בעלות מילה אחת בלבד.</w:t>
      </w:r>
    </w:p>
    <w:p>
      <w:pPr>
        <w:spacing w:after="140" w:line="276" w:lineRule="auto"/>
        <w:jc w:val="right"/>
        <w:bidi w:val="1"/>
      </w:pPr>
      <w:r>
        <w:rPr>
          <w:rFonts w:ascii="Arial" w:hAnsi="Arial"/>
          <w:b w:val="0"/>
          <w:color w:val="1F2A24"/>
          <w:sz w:val="21"/>
        </w:rPr>
        <w:t>קמפיין המותג מיועד לחיפושים הקשורים ל־LUMERA. במודעות שולבה התאמה דינמית של מילת המפתח (DKI), כדי להתאים את נוסח המודעה לחיפוש המשתמש.</w:t>
      </w:r>
    </w:p>
    <w:p>
      <w:pPr>
        <w:spacing w:before="300" w:after="140"/>
        <w:jc w:val="right"/>
        <w:bidi w:val="1"/>
      </w:pPr>
      <w:r>
        <w:rPr>
          <w:rFonts w:ascii="Arial" w:hAnsi="Arial"/>
          <w:b/>
          <w:color w:val="5F7D68"/>
          <w:sz w:val="36"/>
        </w:rPr>
        <w:t>6. קהלים ורימרקטינג</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5F7D68"/>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color w:val="FFFFFF"/>
                <w:sz w:val="21"/>
              </w:rPr>
              <w:t>שם הקהל</w:t>
            </w:r>
          </w:p>
        </w:tc>
        <w:tc>
          <w:tcPr>
            <w:tcW w:type="dxa" w:w="3408"/>
            <w:shd w:fill="5F7D68"/>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color w:val="FFFFFF"/>
                <w:sz w:val="21"/>
              </w:rPr>
              <w:t>תנאי עיקרי</w:t>
            </w:r>
          </w:p>
        </w:tc>
        <w:tc>
          <w:tcPr>
            <w:tcW w:type="dxa" w:w="3408"/>
            <w:shd w:fill="5F7D68"/>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color w:val="FFFFFF"/>
                <w:sz w:val="21"/>
              </w:rPr>
              <w:t>שימוש</w:t>
            </w:r>
          </w:p>
        </w:tc>
      </w:tr>
      <w:tr>
        <w:tc>
          <w:tcPr>
            <w:tcW w:type="dxa" w:w="3408"/>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גולשים למוצר הראשון שלא המירו</w:t>
            </w:r>
          </w:p>
        </w:tc>
        <w:tc>
          <w:tcPr>
            <w:tcW w:type="dxa" w:w="3408"/>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ביקור ב־product1.html ללא ביקור בדף התודה</w:t>
            </w:r>
          </w:p>
        </w:tc>
        <w:tc>
          <w:tcPr>
            <w:tcW w:type="dxa" w:w="3408"/>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קבוצת GDN-לא-המירו</w:t>
            </w:r>
          </w:p>
        </w:tc>
      </w:tr>
      <w:tr>
        <w:tc>
          <w:tcPr>
            <w:tcW w:type="dxa" w:w="3408"/>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ביצעו המרה למוצר הראשון</w:t>
            </w:r>
          </w:p>
        </w:tc>
        <w:tc>
          <w:tcPr>
            <w:tcW w:type="dxa" w:w="3408"/>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ביקור ב־thank-you.html</w:t>
            </w:r>
          </w:p>
        </w:tc>
        <w:tc>
          <w:tcPr>
            <w:tcW w:type="dxa" w:w="3408"/>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קבוצת GDN-אפסייל</w:t>
            </w:r>
          </w:p>
        </w:tc>
      </w:tr>
    </w:tbl>
    <w:p>
      <w:pPr>
        <w:spacing w:after="140" w:line="276" w:lineRule="auto"/>
        <w:jc w:val="right"/>
        <w:bidi w:val="1"/>
      </w:pPr>
      <w:r>
        <w:rPr>
          <w:rFonts w:ascii="Arial" w:hAnsi="Arial"/>
          <w:b w:val="0"/>
          <w:color w:val="1F2A24"/>
          <w:sz w:val="21"/>
        </w:rPr>
        <w:t>הקהל הראשון מיועד לחזרה למשתמשים שביקרו בדף הרפורמר אך לא השלימו טופס. הקהל השני מיועד למשתמשים שהשלימו את הטופס, ולכן ניתן לפנות אליהם בהצעת המשך או אפסייל.</w:t>
      </w:r>
    </w:p>
    <w:p>
      <w:pPr>
        <w:spacing w:before="300" w:after="140"/>
        <w:jc w:val="right"/>
        <w:bidi w:val="1"/>
      </w:pPr>
      <w:r>
        <w:rPr>
          <w:rFonts w:ascii="Arial" w:hAnsi="Arial"/>
          <w:b/>
          <w:color w:val="5F7D68"/>
          <w:sz w:val="36"/>
        </w:rPr>
        <w:t>7. קמפיין GDN וקמפיין הווידאו</w:t>
      </w:r>
    </w:p>
    <w:p>
      <w:pPr>
        <w:spacing w:after="140" w:line="276" w:lineRule="auto"/>
        <w:jc w:val="right"/>
        <w:bidi w:val="1"/>
      </w:pPr>
      <w:r>
        <w:rPr>
          <w:rFonts w:ascii="Arial" w:hAnsi="Arial"/>
          <w:b w:val="0"/>
          <w:color w:val="1F2A24"/>
          <w:sz w:val="21"/>
        </w:rPr>
        <w:t>בקמפיין GDN קיימות שתי קבוצות מודעות: קבוצה למבקרים שלא המירו וקבוצה למשתמשים שביצעו המרה. לכל קבוצה הוגדר קהל הרימרקטינג המתאים.</w:t>
      </w:r>
    </w:p>
    <w:p>
      <w:pPr>
        <w:spacing w:after="140" w:line="276" w:lineRule="auto"/>
        <w:jc w:val="right"/>
        <w:bidi w:val="1"/>
      </w:pPr>
      <w:r>
        <w:rPr>
          <w:rFonts w:ascii="Arial" w:hAnsi="Arial"/>
          <w:b w:val="0"/>
          <w:color w:val="1F2A24"/>
          <w:sz w:val="21"/>
        </w:rPr>
        <w:t>קמפיין הווידאו כולל קבוצת מודעות אחת ושני סרטוני YouTube מתאימים. בממשק החדש של Google Ads הקמפיין מופיע כ־Demand Gen עם נכסי וידאו, ומצב הטירגוט האופטימלי הוגדר כמושבת.</w:t>
      </w:r>
    </w:p>
    <w:p>
      <w:pPr>
        <w:spacing w:after="140" w:line="276" w:lineRule="auto"/>
        <w:jc w:val="right"/>
        <w:bidi w:val="1"/>
      </w:pPr>
      <w:r>
        <w:rPr>
          <w:rFonts w:ascii="Arial" w:hAnsi="Arial"/>
          <w:b/>
          <w:color w:val="1F2A24"/>
          <w:sz w:val="21"/>
        </w:rPr>
        <w:t>סרטוני YouTube שנבחרו:</w:t>
      </w:r>
    </w:p>
    <w:p>
      <w:pPr>
        <w:pStyle w:val="ListBullet"/>
        <w:spacing w:after="60"/>
        <w:jc w:val="right"/>
        <w:bidi w:val="1"/>
      </w:pPr>
      <w:r>
        <w:rPr>
          <w:rFonts w:ascii="Arial" w:hAnsi="Arial"/>
          <w:color w:val="1F2A24"/>
          <w:sz w:val="21"/>
        </w:rPr>
        <w:t>Pilates Reformer Workout | Full Body | Intermediate — Dez Fit</w:t>
      </w:r>
    </w:p>
    <w:p>
      <w:pPr>
        <w:pStyle w:val="ListBullet"/>
        <w:spacing w:after="60"/>
        <w:jc w:val="right"/>
        <w:bidi w:val="1"/>
      </w:pPr>
      <w:r>
        <w:rPr>
          <w:rFonts w:ascii="Arial" w:hAnsi="Arial"/>
          <w:color w:val="1F2A24"/>
          <w:sz w:val="21"/>
        </w:rPr>
        <w:t>Full Body Reformer Pilates Workout 40 Minutes — Alysia Pope Pilates</w:t>
      </w:r>
    </w:p>
    <w:p>
      <w:pPr>
        <w:spacing w:before="300" w:after="140"/>
        <w:jc w:val="right"/>
        <w:bidi w:val="1"/>
      </w:pPr>
      <w:r>
        <w:rPr>
          <w:rFonts w:ascii="Arial" w:hAnsi="Arial"/>
          <w:b/>
          <w:color w:val="5F7D68"/>
          <w:sz w:val="36"/>
        </w:rPr>
        <w:t>8. נכסים ותוספים</w:t>
      </w:r>
    </w:p>
    <w:tbl>
      <w:tblPr>
        <w:tblStyle w:val="TableGrid"/>
        <w:tblW w:type="auto" w:w="0"/>
        <w:jc w:val="center"/>
        <w:tblLook w:firstColumn="1" w:firstRow="1" w:lastColumn="0" w:lastRow="0" w:noHBand="0" w:noVBand="1" w:val="04A0"/>
      </w:tblPr>
      <w:tblGrid>
        <w:gridCol w:w="5112"/>
        <w:gridCol w:w="5112"/>
      </w:tblGrid>
      <w:tr>
        <w:tc>
          <w:tcPr>
            <w:tcW w:type="dxa" w:w="5112"/>
            <w:shd w:fill="5F7D68"/>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color w:val="FFFFFF"/>
                <w:sz w:val="21"/>
              </w:rPr>
              <w:t>נכס / תוסף</w:t>
            </w:r>
          </w:p>
        </w:tc>
        <w:tc>
          <w:tcPr>
            <w:tcW w:type="dxa" w:w="5112"/>
            <w:shd w:fill="5F7D68"/>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color w:val="FFFFFF"/>
                <w:sz w:val="21"/>
              </w:rPr>
              <w:t>יישום / מצב</w:t>
            </w:r>
          </w:p>
        </w:tc>
      </w:tr>
      <w:tr>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Sitelinks</w:t>
            </w:r>
          </w:p>
        </w:tc>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קישורים לדף יצירת קשר ולדפי המוצרים — נכללו בייצוא</w:t>
            </w:r>
          </w:p>
        </w:tc>
      </w:tr>
      <w:tr>
        <w:tc>
          <w:tcPr>
            <w:tcW w:type="dxa" w:w="5112"/>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Callouts</w:t>
            </w:r>
          </w:p>
        </w:tc>
        <w:tc>
          <w:tcPr>
            <w:tcW w:type="dxa" w:w="5112"/>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הדגשת יתרונות, יחס אישי וקבוצות קטנות — נכללו בייצוא</w:t>
            </w:r>
          </w:p>
        </w:tc>
      </w:tr>
      <w:tr>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Structured snippets</w:t>
            </w:r>
          </w:p>
        </w:tc>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הצגת סוגי השירותים — נכללו בייצוא</w:t>
            </w:r>
          </w:p>
        </w:tc>
      </w:tr>
      <w:tr>
        <w:tc>
          <w:tcPr>
            <w:tcW w:type="dxa" w:w="5112"/>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Call asset</w:t>
            </w:r>
          </w:p>
        </w:tc>
        <w:tc>
          <w:tcPr>
            <w:tcW w:type="dxa" w:w="5112"/>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מספר הטלפון 0525381648, ישראל — קיים וממתין לבדיקה</w:t>
            </w:r>
          </w:p>
        </w:tc>
      </w:tr>
      <w:tr>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Countdown</w:t>
            </w:r>
          </w:p>
        </w:tc>
        <w:tc>
          <w:tcPr>
            <w:tcW w:type="dxa" w:w="5112"/>
            <w:shd w:fill="F8F3EA"/>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תוסף שנדרש להשלמה בחשבון לפני ההגשה הסופית</w:t>
            </w:r>
          </w:p>
        </w:tc>
      </w:tr>
      <w:tr>
        <w:tc>
          <w:tcPr>
            <w:tcW w:type="dxa" w:w="5112"/>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מילים שליליות</w:t>
            </w:r>
          </w:p>
        </w:tc>
        <w:tc>
          <w:tcPr>
            <w:tcW w:type="dxa" w:w="5112"/>
            <w:shd w:fill="FFFFFF"/>
            <w:vAlign w:val="center"/>
            <w:tcBorders>
              <w:top w:val="single" w:sz="5" w:color="D8D1C3"/>
              <w:left w:val="single" w:sz="5" w:color="D8D1C3"/>
              <w:bottom w:val="single" w:sz="5" w:color="D8D1C3"/>
              <w:right w:val="single" w:sz="5" w:color="D8D1C3"/>
            </w:tcBorders>
          </w:tcPr>
          <w:p>
            <w:pPr>
              <w:spacing w:after="40"/>
              <w:jc w:val="right"/>
            </w:pPr>
            <w:r/>
            <w:r>
              <w:rPr>
                <w:rFonts w:ascii="Arial" w:hAnsi="Arial"/>
                <w:b w:val="0"/>
                <w:color w:val="1F2A24"/>
                <w:sz w:val="20"/>
              </w:rPr>
              <w:t>סינון חיפושים שאינם רלוונטיים</w:t>
            </w:r>
          </w:p>
        </w:tc>
      </w:tr>
    </w:tbl>
    <w:p>
      <w:pPr>
        <w:spacing w:before="300" w:after="140"/>
        <w:jc w:val="right"/>
        <w:bidi w:val="1"/>
      </w:pPr>
      <w:r>
        <w:rPr>
          <w:rFonts w:ascii="Arial" w:hAnsi="Arial"/>
          <w:b/>
          <w:color w:val="5F7D68"/>
          <w:sz w:val="36"/>
        </w:rPr>
        <w:t>9. מדידה והמרות</w:t>
      </w:r>
    </w:p>
    <w:p>
      <w:pPr>
        <w:spacing w:after="140" w:line="276" w:lineRule="auto"/>
        <w:jc w:val="right"/>
        <w:bidi w:val="1"/>
      </w:pPr>
      <w:r>
        <w:rPr>
          <w:rFonts w:ascii="Arial" w:hAnsi="Arial"/>
          <w:b w:val="0"/>
          <w:color w:val="1F2A24"/>
          <w:sz w:val="21"/>
        </w:rPr>
        <w:t>באתר משולב Google tag עם מזהה המדידה AW-18101301732. בדף thank-you.html מופעל אירוע ההמרה:</w:t>
      </w:r>
    </w:p>
    <w:p>
      <w:pPr>
        <w:spacing w:after="140" w:line="276" w:lineRule="auto"/>
        <w:jc w:val="center"/>
        <w:bidi w:val="1"/>
      </w:pPr>
      <w:r>
        <w:rPr>
          <w:rFonts w:ascii="Arial" w:hAnsi="Arial"/>
          <w:b/>
          <w:color w:val="C9A45C"/>
          <w:sz w:val="22"/>
        </w:rPr>
        <w:t>AW-18101301732/7DiCCKiD0s4cEOTjr7dD</w:t>
      </w:r>
    </w:p>
    <w:p>
      <w:pPr>
        <w:spacing w:after="140" w:line="276" w:lineRule="auto"/>
        <w:jc w:val="right"/>
        <w:bidi w:val="1"/>
      </w:pPr>
      <w:r>
        <w:rPr>
          <w:rFonts w:ascii="Arial" w:hAnsi="Arial"/>
          <w:b w:val="0"/>
          <w:color w:val="1F2A24"/>
          <w:sz w:val="21"/>
        </w:rPr>
        <w:t>ההמרה נספרת לאחר שליחת הטופס והגעה לדף התודה. כך ניתן למדוד לא רק כניסות לדף, אלא גם פעולה עסקית של השארת פרטים.</w:t>
      </w:r>
    </w:p>
    <w:p>
      <w:pPr>
        <w:spacing w:before="300" w:after="140"/>
        <w:jc w:val="right"/>
        <w:bidi w:val="1"/>
      </w:pPr>
      <w:r>
        <w:rPr>
          <w:rFonts w:ascii="Arial" w:hAnsi="Arial"/>
          <w:b/>
          <w:color w:val="5F7D68"/>
          <w:sz w:val="36"/>
        </w:rPr>
        <w:t>10. סיכום</w:t>
      </w:r>
    </w:p>
    <w:p>
      <w:pPr>
        <w:spacing w:after="140" w:line="276" w:lineRule="auto"/>
        <w:jc w:val="right"/>
        <w:bidi w:val="1"/>
      </w:pPr>
      <w:r>
        <w:rPr>
          <w:rFonts w:ascii="Arial" w:hAnsi="Arial"/>
          <w:b w:val="0"/>
          <w:color w:val="1F2A24"/>
          <w:sz w:val="22"/>
        </w:rPr>
        <w:t>העבודה מציגה תהליך של הקמת פעילות פרסום עבור עסק שירותי: אתר עם דפי נחיתה וטופס, מדידת המרות, קמפיין חיפוש וקמפיין מותג, קמפיין מדיה עם רימרקטינג וקמפיין וידאו. כל הקמפיינים בחשבון נשמרו במצב מושהה בהתאם להנחיות המטלה. לפני שליחת ההגשה יש להשלים ולוודא בחשבון את תוסף הספירה לאחור, את מודעת ההתקשרות בלבד ואת ארבעת מיקומי ערוצי YouTube.</w:t>
      </w:r>
    </w:p>
    <w:p>
      <w:pPr>
        <w:spacing w:before="360" w:after="0"/>
        <w:jc w:val="right"/>
        <w:bidi w:val="1"/>
      </w:pPr>
      <w:r>
        <w:rPr>
          <w:rFonts w:ascii="Arial" w:hAnsi="Arial"/>
          <w:b/>
          <w:color w:val="5F7D68"/>
          <w:sz w:val="21"/>
        </w:rPr>
        <w:t xml:space="preserve">פרטי קשר להגשה: </w:t>
      </w:r>
      <w:r>
        <w:rPr>
          <w:rFonts w:ascii="Arial" w:hAnsi="Arial"/>
          <w:color w:val="1F2A24"/>
          <w:sz w:val="21"/>
        </w:rPr>
        <w:t>עמית סולימן · 0587477769 · amitsuliman12@gmail.com</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F706A"/>
        <w:sz w:val="16"/>
      </w:rPr>
      <w:t>LUMERA  ·  פרסום בגוגל  ·  עמית סולימן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325880" cy="331470"/>
          <wp:docPr id="1" name="Picture 1"/>
          <wp:cNvGraphicFramePr>
            <a:graphicFrameLocks noChangeAspect="1"/>
          </wp:cNvGraphicFramePr>
          <a:graphic>
            <a:graphicData uri="http://schemas.openxmlformats.org/drawingml/2006/picture">
              <pic:pic>
                <pic:nvPicPr>
                  <pic:cNvPr id="0" name="lumera-logo-landscape.png"/>
                  <pic:cNvPicPr/>
                </pic:nvPicPr>
                <pic:blipFill>
                  <a:blip r:embed="rId1"/>
                  <a:stretch>
                    <a:fillRect/>
                  </a:stretch>
                </pic:blipFill>
                <pic:spPr>
                  <a:xfrm>
                    <a:off x="0" y="0"/>
                    <a:ext cx="1325880" cy="33147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A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