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395.0" w:type="dxa"/>
        <w:jc w:val="center"/>
        <w:tblLayout w:type="fixed"/>
        <w:tblLook w:val="0600"/>
      </w:tblPr>
      <w:tblGrid>
        <w:gridCol w:w="2280"/>
        <w:gridCol w:w="2085"/>
        <w:gridCol w:w="1500"/>
        <w:gridCol w:w="1185"/>
        <w:gridCol w:w="1230"/>
        <w:gridCol w:w="2115"/>
        <w:tblGridChange w:id="0">
          <w:tblGrid>
            <w:gridCol w:w="2280"/>
            <w:gridCol w:w="2085"/>
            <w:gridCol w:w="1500"/>
            <w:gridCol w:w="1185"/>
            <w:gridCol w:w="1230"/>
            <w:gridCol w:w="2115"/>
          </w:tblGrid>
        </w:tblGridChange>
      </w:tblGrid>
      <w:tr>
        <w:trPr>
          <w:trHeight w:val="440" w:hRule="atLeast"/>
        </w:trPr>
        <w:tc>
          <w:tcPr>
            <w:gridSpan w:val="6"/>
            <w:tcBorders>
              <w:top w:color="ffffff" w:space="0" w:sz="8" w:val="single"/>
              <w:left w:color="ffffff" w:space="0" w:sz="8" w:val="single"/>
              <w:bottom w:color="000000" w:space="0" w:sz="1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Arial Hebrew" w:cs="Arial Hebrew" w:eastAsia="Arial Hebrew" w:hAnsi="Arial Hebr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קורות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חיים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: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עורך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דין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טל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8"/>
                <w:szCs w:val="28"/>
                <w:rtl w:val="1"/>
              </w:rPr>
              <w:t xml:space="preserve">סיטלקול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18" w:val="single"/>
              <w:left w:color="efefef" w:space="0" w:sz="12" w:val="single"/>
              <w:bottom w:color="efefef" w:space="0" w:sz="12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LL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משפטים</w:t>
            </w:r>
          </w:p>
        </w:tc>
        <w:tc>
          <w:tcPr>
            <w:tcBorders>
              <w:top w:color="000000" w:space="0" w:sz="18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כלכלה</w:t>
            </w:r>
          </w:p>
        </w:tc>
        <w:tc>
          <w:tcPr>
            <w:tcBorders>
              <w:top w:color="000000" w:space="0" w:sz="18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(.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)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ניהול</w:t>
            </w:r>
          </w:p>
        </w:tc>
        <w:tc>
          <w:tcPr>
            <w:gridSpan w:val="2"/>
            <w:tcBorders>
              <w:top w:color="000000" w:space="0" w:sz="18" w:val="single"/>
              <w:left w:color="ffffff" w:space="0" w:sz="8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עורך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דין</w:t>
            </w:r>
          </w:p>
        </w:tc>
        <w:tc>
          <w:tcPr>
            <w:tcBorders>
              <w:top w:color="000000" w:space="0" w:sz="18" w:val="single"/>
              <w:left w:color="ffffff" w:space="0" w:sz="8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מגשר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efefef" w:space="0" w:sz="12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המכללה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למנהל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עתודה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אקדמית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הפרקליטות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הצבאית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fffff" w:space="0" w:sz="8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אוניברסיטת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א</w:t>
            </w:r>
          </w:p>
        </w:tc>
        <w:tc>
          <w:tcPr>
            <w:gridSpan w:val="2"/>
            <w:tcBorders>
              <w:top w:color="efefef" w:space="0" w:sz="12" w:val="single"/>
              <w:left w:color="ffffff" w:space="0" w:sz="8" w:val="single"/>
              <w:bottom w:color="ffffff" w:space="0" w:sz="8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לשכת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עו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דצמבר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2016</w:t>
            </w:r>
          </w:p>
        </w:tc>
        <w:tc>
          <w:tcPr>
            <w:tcBorders>
              <w:top w:color="efefef" w:space="0" w:sz="12" w:val="single"/>
              <w:left w:color="ffffff" w:space="0" w:sz="8" w:val="single"/>
              <w:bottom w:color="ffffff" w:space="0" w:sz="8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המרכז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הישראלי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לגישור</w:t>
            </w:r>
          </w:p>
        </w:tc>
      </w:tr>
      <w:tr>
        <w:trPr>
          <w:trHeight w:val="440" w:hRule="atLeast"/>
        </w:trPr>
        <w:tc>
          <w:tcPr>
            <w:tcBorders>
              <w:top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1"/>
              </w:rPr>
              <w:t xml:space="preserve">ידין</w:t>
            </w:r>
            <w:r w:rsidDel="00000000" w:rsidR="00000000" w:rsidRPr="00000000">
              <w:rPr>
                <w:color w:val="ffffff"/>
                <w:sz w:val="20"/>
                <w:szCs w:val="20"/>
                <w:rtl w:val="1"/>
              </w:rPr>
              <w:t xml:space="preserve"> 11 </w:t>
            </w:r>
            <w:r w:rsidDel="00000000" w:rsidR="00000000" w:rsidRPr="00000000">
              <w:rPr>
                <w:color w:val="ffffff"/>
                <w:sz w:val="20"/>
                <w:szCs w:val="20"/>
                <w:rtl w:val="1"/>
              </w:rPr>
              <w:t xml:space="preserve">ראשון</w:t>
            </w:r>
            <w:r w:rsidDel="00000000" w:rsidR="00000000" w:rsidRPr="00000000">
              <w:rPr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color w:val="ffffff"/>
                <w:sz w:val="20"/>
                <w:szCs w:val="20"/>
                <w:rtl w:val="1"/>
              </w:rPr>
              <w:t xml:space="preserve">לציון</w:t>
            </w:r>
          </w:p>
        </w:tc>
        <w:tc>
          <w:tcPr>
            <w:tcBorders>
              <w:top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052-4311877</w:t>
            </w:r>
          </w:p>
        </w:tc>
        <w:tc>
          <w:tcPr>
            <w:tcBorders>
              <w:top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8" w:val="single"/>
              <w:bottom w:color="d9d9d9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color w:val="ffffff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ffffff"/>
                  <w:sz w:val="20"/>
                  <w:szCs w:val="20"/>
                  <w:u w:val="single"/>
                  <w:rtl w:val="0"/>
                </w:rPr>
                <w:t xml:space="preserve">tal_stilkol@hotmail.com</w:t>
              </w:r>
            </w:hyperlink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ניסיון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תעסוקתי</w:t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קורסים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והסמכות</w:t>
            </w:r>
          </w:p>
        </w:tc>
      </w:tr>
      <w:tr>
        <w:trPr>
          <w:trHeight w:val="4.9804687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1"/>
              </w:rPr>
              <w:t xml:space="preserve">2020- 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1"/>
              </w:rPr>
              <w:t xml:space="preserve">היום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רכז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רכש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והתקשרויות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קבלניות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רכבת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ישראל</w:t>
            </w:r>
          </w:p>
        </w:tc>
        <w:tc>
          <w:tcPr>
            <w:gridSpan w:val="2"/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סדנת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לשופטים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קורס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קציני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משפטים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גישור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בסיסי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משא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ומתן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תורת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המשחקים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פטנטים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קניין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רוחני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היבטים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בנדליין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תכנוני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בחברות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טק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ניירות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ערך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אופציות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ומכשירים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דוחות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כספיים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יזמות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וחברות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הזנקה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פילנתרופיה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ויזמות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יזמות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מרעיון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לביצוע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מכירות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עסקי</w:t>
            </w:r>
          </w:p>
        </w:tc>
      </w:tr>
      <w:tr>
        <w:trPr>
          <w:trHeight w:val="361.6406249999998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הכנת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מסמכי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מכרז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בתחום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תשתיות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תחבורה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ופיתוח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אפיון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טכני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תנאי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כלכליים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מקצועיות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מסמכי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המכרז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הזמנה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נספחים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והחוזה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סיכום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פרוטוקולים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וועדת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המכרזים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ליווי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וקידום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ההליך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המכרזי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היבטיו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המשפטיים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הכלכליים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והמקצועיים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תוך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אינטגרציה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גורמי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המקצוע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והחטיבות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השונות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לחתימת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החוזה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הדרכה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וליווי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הספקים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בחתימת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ובמימוש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אופציות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.9804687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2018-2020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עורך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דין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משרד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גינדי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ושות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'.</w:t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.55859375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פיצויי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פיטורים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ומנוחה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שימוע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פנסיה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חופשה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אמון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התיישנות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מיסים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חוזים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והתקשרויות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תרופות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בחוזה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אחיד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הטעיה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מכר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מרחוק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צרכנות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תקשורת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ותיירות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היי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קניין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רוחני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ופטנטים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סטרטאפים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יזמות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תקנון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מיסוי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bidi w:val="1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2014-2017</w:t>
            </w:r>
          </w:p>
        </w:tc>
        <w:tc>
          <w:tcPr>
            <w:gridSpan w:val="3"/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bidi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עוזר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משפטי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בתי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הצבאיים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באיו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’'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</w:t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.98046875" w:hRule="atLeast"/>
        </w:trPr>
        <w:tc>
          <w:tcPr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בתי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הצבאיים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יהודה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ושומרון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ערכאה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ראשונה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):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הכרעות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וגזרי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בנושאים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גרימת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בכוונה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חטיפה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דריסה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אונס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תקיפה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דקירה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מגע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מדינת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אויב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סיוע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לארגון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טרור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מקרקעין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נוער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אחריות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פלילית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דרכי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ענישה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מסגרות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ושיקום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3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מעצרים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מעצרים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מנהליים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עיכוב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תפיסה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וחילוט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דיני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העונשין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בישראל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תחיקת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הביטחון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והחקיקה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הירדנית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bidi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פרויקטים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חברתיים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</w:p>
        </w:tc>
      </w:tr>
      <w:t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7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תעודת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מצוינות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חברתית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7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מנהיגות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טכנולוגית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CTM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חברת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נס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טכנולוגיות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7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יזמים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צעירים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בישראל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״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7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תוכנית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״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נוער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מוכשר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במתמטיקה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״</w:t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אוניברסיטת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אילן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</w:tc>
      </w:tr>
      <w:tr>
        <w:tc>
          <w:tcPr>
            <w:gridSpan w:val="4"/>
            <w:vMerge w:val="restart"/>
            <w:tcBorders>
              <w:bottom w:color="000000" w:space="0" w:sz="2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הצבאי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לערעורים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באיו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8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בינלאומי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פומבי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אמנות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נבה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אמנת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זכויות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האדם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8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ראיות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וסדר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דין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פסלות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חיסיון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העברת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חומרי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חקירה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צווי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הגבלה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סמכות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מקומית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/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בינלאומית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פרשנות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עבירות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הלבנת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כספי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טרור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שידול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והסתה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ברשת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גבולות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חופש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הביטוי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הגנה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הצדק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אכיפה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בררנית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חסינות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פרלמנטרית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•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הוועדה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לבחינת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הפרת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תנאי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הקלה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בעונש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דעת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וסקירות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משפטיות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גורמים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צבאיים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שופטי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מילואים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וגורמי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חוץ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8"/>
              </w:numPr>
              <w:bidi w:val="1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עריכה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והקמה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אתר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האינטרנט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היחידה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בגרסתו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הנוכחית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</w:t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bidi w:val="1"/>
              <w:spacing w:after="0"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4.2578125" w:hRule="atLeast"/>
        </w:trPr>
        <w:tc>
          <w:tcPr>
            <w:gridSpan w:val="4"/>
            <w:vMerge w:val="continue"/>
            <w:tcBorders>
              <w:bottom w:color="000000" w:space="0" w:sz="24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bidi w:val="1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ידע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נוסף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שוק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ההון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ישראל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אירופה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וול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סטריט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אג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אופציות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וחוזים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עתידיים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ניתוח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טכני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נרות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יפנים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לוחות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פיבונצ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'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נדל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bidi w:val="1"/>
              <w:ind w:left="425.1968503937008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תכנות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++,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HTML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עריכה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Photoshop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Adobe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Premiere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Excel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sap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כתיבת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אתרים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AdSense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</w:p>
        </w:tc>
      </w:tr>
      <w:tr>
        <w:tc>
          <w:tcPr>
            <w:gridSpan w:val="4"/>
            <w:vMerge w:val="restart"/>
            <w:tcBorders>
              <w:top w:color="000000" w:space="0" w:sz="24" w:val="dotted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bidi w:val="1"/>
              <w:rPr>
                <w:rFonts w:ascii="Arial Hebrew" w:cs="Arial Hebrew" w:eastAsia="Arial Hebrew" w:hAnsi="Arial Hebr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יכולות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sz w:val="20"/>
                <w:szCs w:val="20"/>
                <w:rtl w:val="1"/>
              </w:rPr>
              <w:t xml:space="preserve">: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ליטיגציה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ניהול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משא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ומתן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ייצוג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וליווי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משפטי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במגוון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ערכאות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והליכים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דינמיות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למידה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נושאים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חדשים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במהירות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עבודה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שוטפת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12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שופטים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-5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ערכאות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במקביל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ראשונה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ערעורים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מקרקעין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נוער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וערעורים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תפקוד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בתנאי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לחץ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גלי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טרור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אילוצים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צבאיים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bidi w:val="1"/>
              <w:ind w:left="720" w:hanging="360"/>
              <w:rPr>
                <w:rFonts w:ascii="Arial Hebrew" w:cs="Arial Hebrew" w:eastAsia="Arial Hebrew" w:hAnsi="Arial Hebrew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יוזמה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דועצמאיות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: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חקר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דין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זר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לפסיקה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תקדימית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בערכאת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sz w:val="20"/>
                <w:szCs w:val="20"/>
                <w:rtl w:val="1"/>
              </w:rPr>
              <w:t xml:space="preserve">עליונה</w:t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bidi w:val="1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vMerge w:val="continue"/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bidi w:val="1"/>
              <w:spacing w:after="0" w:before="0" w:line="240" w:lineRule="auto"/>
              <w:ind w:lef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שפות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עברית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שפת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אנגלית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שפת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אם</w:t>
            </w:r>
          </w:p>
        </w:tc>
      </w:tr>
      <w:tr>
        <w:tc>
          <w:tcPr>
            <w:gridSpan w:val="4"/>
            <w:vMerge w:val="continue"/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bidi w:val="1"/>
              <w:spacing w:after="0" w:before="0" w:line="240" w:lineRule="auto"/>
              <w:ind w:left="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bidi w:val="1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.98046875" w:hRule="atLeast"/>
        </w:trPr>
        <w:tc>
          <w:tcPr>
            <w:gridSpan w:val="4"/>
            <w:vMerge w:val="continue"/>
            <w:tcBorders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bidi w:val="1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bidi w:val="1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Merge w:val="continue"/>
            <w:tcBorders>
              <w:top w:color="000000" w:space="0" w:sz="24" w:val="single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bidi w:val="1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בגרות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מלאה</w:t>
            </w:r>
            <w:r w:rsidDel="00000000" w:rsidR="00000000" w:rsidRPr="00000000">
              <w:rPr>
                <w:b w:val="1"/>
                <w:sz w:val="20"/>
                <w:szCs w:val="20"/>
                <w:rtl w:val="1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יחידות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מחשבים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יחידות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מתמטיקה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, 5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יחידות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אנגלית</w:t>
            </w:r>
          </w:p>
        </w:tc>
      </w:tr>
      <w:tr>
        <w:trPr>
          <w:trHeight w:val="400" w:hRule="atLeast"/>
        </w:trPr>
        <w:tc>
          <w:tcPr>
            <w:gridSpan w:val="6"/>
            <w:tcBorders>
              <w:top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bidi w:val="1"/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המלצות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:                           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סא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צבי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היילברון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נשיא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הצבאי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ביהודה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ומאמן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בהתמחות</w:t>
            </w:r>
            <w:r w:rsidDel="00000000" w:rsidR="00000000" w:rsidRPr="00000000">
              <w:rPr>
                <w:rFonts w:ascii="Arial Hebrew" w:cs="Arial Hebrew" w:eastAsia="Arial Hebrew" w:hAnsi="Arial Hebrew"/>
                <w:b w:val="1"/>
                <w:color w:val="ffffff"/>
                <w:sz w:val="20"/>
                <w:szCs w:val="20"/>
                <w:rtl w:val="1"/>
              </w:rPr>
              <w:t xml:space="preserve">. </w:t>
            </w:r>
          </w:p>
        </w:tc>
      </w:tr>
      <w:tr>
        <w:trPr>
          <w:trHeight w:val="2.99999999999993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אל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נתנאל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בנישו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נשיא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הצבאי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לערעורים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עו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ליאת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גינדי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בר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מייסדת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: 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גינדי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בר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ושות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'.</w:t>
            </w:r>
          </w:p>
        </w:tc>
      </w:tr>
      <w:tr>
        <w:trPr>
          <w:trHeight w:val="4.98046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סא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דליה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קאופמן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נשיאת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הצבאי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בשומרון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עו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נעמה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רומנו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רכבת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ישראל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</w:p>
        </w:tc>
      </w:tr>
      <w:tr>
        <w:trPr>
          <w:trHeight w:val="2.99999999999993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סא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ראני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עמאר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סגן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נשיא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הצבאי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ביהודה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עו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לירון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פורל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אל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מ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יאיר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תירוש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שופט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בית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המשפט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הצבאי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לערעורים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bidi w:val="1"/>
              <w:rPr>
                <w:rFonts w:ascii="Arial Hebrew" w:cs="Arial Hebrew" w:eastAsia="Arial Hebrew" w:hAnsi="Arial Hebrew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עו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״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ד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יוסף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 Hebrew" w:cs="Arial Hebrew" w:eastAsia="Arial Hebrew" w:hAnsi="Arial Hebrew"/>
                <w:color w:val="ffffff"/>
                <w:sz w:val="20"/>
                <w:szCs w:val="20"/>
                <w:rtl w:val="1"/>
              </w:rPr>
              <w:t xml:space="preserve">קרטה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bidi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Hebr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l_stilko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