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1.NEBULA隐私政策</w:t>
      </w:r>
    </w:p>
    <w:p>
      <w:pPr>
        <w:spacing w:before="120" w:after="120" w:line="288" w:lineRule="auto"/>
        <w:ind w:left="0"/>
        <w:jc w:val="left"/>
      </w:pPr>
      <w:r>
        <w:rPr>
          <w:rFonts w:eastAsia="等线" w:ascii="Arial" w:cs="Arial" w:hAnsi="Arial"/>
          <w:sz w:val="22"/>
        </w:rPr>
        <w:t>重要信息</w:t>
      </w:r>
    </w:p>
    <w:p>
      <w:pPr>
        <w:spacing w:before="120" w:after="120" w:line="288" w:lineRule="auto"/>
        <w:ind w:left="0"/>
        <w:jc w:val="left"/>
      </w:pPr>
      <w:r>
        <w:rPr>
          <w:rFonts w:eastAsia="等线" w:ascii="Arial" w:cs="Arial" w:hAnsi="Arial"/>
          <w:sz w:val="22"/>
        </w:rPr>
        <w:t>为了使用本服务，我们可能会要求您输入您的性别、出生日期、出生地点和出生时间。我们还会自动从您的设备收集语言设置、IP 地址、时区、设备类型和型号、设备设置、操作系统、互联网服务提供商、移动运营商、硬件 ID、Facebook ID 以及其他唯一标识符（例如 IDFA 和 GAID）。我们需要这些数据来提供服务、分析客户如何使用本服务以及投放广告。</w:t>
      </w:r>
    </w:p>
    <w:p>
      <w:pPr>
        <w:spacing w:before="120" w:after="120" w:line="288" w:lineRule="auto"/>
        <w:ind w:left="0"/>
        <w:jc w:val="left"/>
      </w:pPr>
      <w:r>
        <w:rPr>
          <w:rFonts w:eastAsia="等线" w:ascii="Arial" w:cs="Arial" w:hAnsi="Arial"/>
          <w:sz w:val="22"/>
        </w:rPr>
        <w:t>为了改进服务并投放广告，我们可能会与第三方共享这些数据。这些第三方包括Meta、TikTok、Google、Apple、Appsflyer、Amplitude、Firebase和Twillio。通过与第三方共享这些数据，我们可以 (1) 分析不同的互动方式（例如，用户订阅的频率）；(2) 投放广告（并仅向特定用户群体展示，例如订阅用户）。</w:t>
      </w:r>
    </w:p>
    <w:p>
      <w:pPr>
        <w:spacing w:before="120" w:after="120" w:line="288" w:lineRule="auto"/>
        <w:ind w:left="0"/>
        <w:jc w:val="left"/>
      </w:pPr>
      <w:r>
        <w:rPr>
          <w:rFonts w:eastAsia="等线" w:ascii="Arial" w:cs="Arial" w:hAnsi="Arial"/>
          <w:sz w:val="22"/>
        </w:rPr>
        <w:t>请阅读下方的隐私政策，了解更多关于我们如何处理数据（</w:t>
      </w:r>
      <w:hyperlink r:id="rId4">
        <w:r>
          <w:rPr>
            <w:rFonts w:eastAsia="等线" w:ascii="Arial" w:cs="Arial" w:hAnsi="Arial"/>
            <w:color w:val="3370ff"/>
            <w:sz w:val="22"/>
            <w:u w:val="single"/>
            <w:shd w:fill="bbbfc4"/>
          </w:rPr>
          <w:t>第 3 部分</w:t>
        </w:r>
      </w:hyperlink>
      <w:r>
        <w:rPr>
          <w:rFonts w:eastAsia="等线" w:ascii="Arial" w:cs="Arial" w:hAnsi="Arial"/>
          <w:sz w:val="22"/>
        </w:rPr>
        <w:t>）、您享有哪些数据隐私权利（</w:t>
      </w:r>
      <w:hyperlink r:id="rId5">
        <w:r>
          <w:rPr>
            <w:rFonts w:eastAsia="等线" w:ascii="Arial" w:cs="Arial" w:hAnsi="Arial"/>
            <w:color w:val="3370ff"/>
            <w:sz w:val="22"/>
            <w:u w:val="single"/>
            <w:shd w:fill="bbbfc4"/>
          </w:rPr>
          <w:t>第 5 部分</w:t>
        </w:r>
      </w:hyperlink>
      <w:r>
        <w:rPr>
          <w:rFonts w:eastAsia="等线" w:ascii="Arial" w:cs="Arial" w:hAnsi="Arial"/>
          <w:sz w:val="22"/>
        </w:rPr>
        <w:t>）以及谁将作为数据控制者（</w:t>
      </w:r>
      <w:hyperlink r:id="rId6">
        <w:r>
          <w:rPr>
            <w:rFonts w:eastAsia="等线" w:ascii="Arial" w:cs="Arial" w:hAnsi="Arial"/>
            <w:color w:val="3370ff"/>
            <w:sz w:val="22"/>
            <w:u w:val="single"/>
            <w:shd w:fill="bbbfc4"/>
          </w:rPr>
          <w:t>第 1 部分）的信息。如有任何疑问，请发送电子邮件至</w:t>
        </w:r>
      </w:hyperlink>
      <w:hyperlink r:id="rId7">
        <w:r>
          <w:rPr>
            <w:rFonts w:eastAsia="等线" w:ascii="Arial" w:cs="Arial" w:hAnsi="Arial"/>
            <w:color w:val="3370ff"/>
            <w:sz w:val="22"/>
            <w:u w:val="single"/>
            <w:shd w:fill="bbbfc4"/>
          </w:rPr>
          <w:t>privacy@asknebula.com</w:t>
        </w:r>
      </w:hyperlink>
      <w:r>
        <w:rPr>
          <w:rFonts w:eastAsia="等线" w:ascii="Arial" w:cs="Arial" w:hAnsi="Arial"/>
          <w:sz w:val="22"/>
        </w:rPr>
        <w:t>联系我们。</w:t>
      </w:r>
    </w:p>
    <w:p>
      <w:pPr>
        <w:pStyle w:val="2"/>
        <w:spacing w:before="320" w:after="120" w:line="288" w:lineRule="auto"/>
        <w:ind w:left="0"/>
        <w:jc w:val="left"/>
        <w:outlineLvl w:val="1"/>
      </w:pPr>
      <w:bookmarkStart w:name="heading_0" w:id="0"/>
      <w:r>
        <w:rPr>
          <w:rFonts w:eastAsia="等线" w:ascii="Arial" w:cs="Arial" w:hAnsi="Arial"/>
          <w:b w:val="true"/>
          <w:sz w:val="32"/>
        </w:rPr>
        <w:t>隐私政策</w:t>
      </w:r>
      <w:bookmarkEnd w:id="0"/>
    </w:p>
    <w:p>
      <w:pPr>
        <w:spacing w:before="120" w:after="120" w:line="288" w:lineRule="auto"/>
        <w:ind w:left="0"/>
        <w:jc w:val="left"/>
      </w:pPr>
      <w:r>
        <w:rPr>
          <w:rFonts w:eastAsia="等线" w:ascii="Arial" w:cs="Arial" w:hAnsi="Arial"/>
          <w:sz w:val="22"/>
        </w:rPr>
        <w:t>本隐私政策解释了当您使用我们的移动应用程序、网站和通过它们提供的服务（统称“应用程序”或“服务”）时收集哪些个人数据以及如何使用和共享这些个人数据。</w:t>
      </w:r>
    </w:p>
    <w:p>
      <w:pPr>
        <w:spacing w:before="120" w:after="120" w:line="288" w:lineRule="auto"/>
        <w:ind w:left="0"/>
        <w:jc w:val="left"/>
      </w:pPr>
      <w:r>
        <w:rPr>
          <w:rFonts w:eastAsia="等线" w:ascii="Arial" w:cs="Arial" w:hAnsi="Arial"/>
          <w:sz w:val="22"/>
        </w:rPr>
        <w:t>通过使用服务，您向我们承诺：(I) 您已阅读、理解并同意本隐私政策，以及 (II) 您已年满 16 周岁（或您的父母或监护人已为您阅读并同意本隐私政策）。如果您不同意或无法做出此承诺，则不得使用服务。在这种情况下，您必须 (a) 使用应用程序中“设置”中的功能删除您的帐户，或联系我们并请求删除您的数据；(b) 使用 Apple（如果您使用的是 iOS）或 Google（如果您使用的是 Android）、任何其他可能不时提供的应用商店或我们（如果您直接从我们的网站购买）提供的功能取消任何订阅；以及 (c) 从您的设备中删除该应用程序。</w:t>
      </w:r>
    </w:p>
    <w:p>
      <w:pPr>
        <w:spacing w:before="120" w:after="120" w:line="288" w:lineRule="auto"/>
        <w:ind w:left="0"/>
        <w:jc w:val="left"/>
      </w:pPr>
      <w:r>
        <w:rPr>
          <w:rFonts w:eastAsia="等线" w:ascii="Arial" w:cs="Arial" w:hAnsi="Arial"/>
          <w:sz w:val="22"/>
        </w:rPr>
        <w:t>“ GDPR ” 指欧洲议会和理事会于 2016 年 4 月 27 日颁布的关于在个人数据处理和此类数据自由流动方面保护自然人的通用数据保护条例 (EU) 2016/679。</w:t>
      </w:r>
    </w:p>
    <w:p>
      <w:pPr>
        <w:spacing w:before="120" w:after="120" w:line="288" w:lineRule="auto"/>
        <w:ind w:left="0"/>
        <w:jc w:val="left"/>
      </w:pPr>
      <w:r>
        <w:rPr>
          <w:rFonts w:eastAsia="等线" w:ascii="Arial" w:cs="Arial" w:hAnsi="Arial"/>
          <w:sz w:val="22"/>
        </w:rPr>
        <w:t>“ EEA ”包括欧盟和欧洲经济区所有现有成员国。</w:t>
      </w:r>
    </w:p>
    <w:p>
      <w:pPr>
        <w:spacing w:before="120" w:after="120" w:line="288" w:lineRule="auto"/>
        <w:ind w:left="0"/>
        <w:jc w:val="left"/>
      </w:pPr>
      <w:r>
        <w:rPr>
          <w:rFonts w:eastAsia="等线" w:ascii="Arial" w:cs="Arial" w:hAnsi="Arial"/>
          <w:sz w:val="22"/>
        </w:rPr>
        <w:t>就个人数据而言的“处理”包括收集、存储和向他人披露。</w:t>
      </w:r>
    </w:p>
    <w:p>
      <w:pPr>
        <w:pStyle w:val="4"/>
        <w:spacing w:before="260" w:after="120" w:line="288" w:lineRule="auto"/>
        <w:ind w:left="0"/>
        <w:jc w:val="left"/>
        <w:outlineLvl w:val="3"/>
      </w:pPr>
      <w:bookmarkStart w:name="heading_1" w:id="1"/>
      <w:r>
        <w:rPr>
          <w:rFonts w:eastAsia="等线" w:ascii="Arial" w:cs="Arial" w:hAnsi="Arial"/>
          <w:b w:val="true"/>
          <w:sz w:val="28"/>
        </w:rPr>
        <w:t>目录</w:t>
      </w:r>
      <w:bookmarkEnd w:id="1"/>
    </w:p>
    <w:p>
      <w:pPr>
        <w:spacing w:before="120" w:after="120" w:line="288" w:lineRule="auto"/>
        <w:ind w:left="0"/>
        <w:jc w:val="left"/>
      </w:pPr>
      <w:hyperlink r:id="rId8">
        <w:r>
          <w:rPr>
            <w:rFonts w:eastAsia="等线" w:ascii="Arial" w:cs="Arial" w:hAnsi="Arial"/>
            <w:color w:val="3370ff"/>
            <w:sz w:val="22"/>
            <w:u w:val="single"/>
            <w:shd w:fill="bbbfc4"/>
          </w:rPr>
          <w:t>个人数据控制者</w:t>
        </w:r>
      </w:hyperlink>
    </w:p>
    <w:p>
      <w:pPr>
        <w:spacing w:before="120" w:after="120" w:line="288" w:lineRule="auto"/>
        <w:ind w:left="0"/>
        <w:jc w:val="left"/>
      </w:pPr>
      <w:hyperlink r:id="rId9">
        <w:r>
          <w:rPr>
            <w:rFonts w:eastAsia="等线" w:ascii="Arial" w:cs="Arial" w:hAnsi="Arial"/>
            <w:color w:val="3370ff"/>
            <w:sz w:val="22"/>
            <w:u w:val="single"/>
            <w:shd w:fill="bbbfc4"/>
          </w:rPr>
          <w:t>我们收集的个人数据类别</w:t>
        </w:r>
      </w:hyperlink>
    </w:p>
    <w:p>
      <w:pPr>
        <w:spacing w:before="120" w:after="120" w:line="288" w:lineRule="auto"/>
        <w:ind w:left="0"/>
        <w:jc w:val="left"/>
      </w:pPr>
      <w:hyperlink r:id="rId10">
        <w:r>
          <w:rPr>
            <w:rFonts w:eastAsia="等线" w:ascii="Arial" w:cs="Arial" w:hAnsi="Arial"/>
            <w:color w:val="3370ff"/>
            <w:sz w:val="22"/>
            <w:u w:val="single"/>
            <w:shd w:fill="bbbfc4"/>
          </w:rPr>
          <w:t>处理您的个人数据的目的和法律依据</w:t>
        </w:r>
      </w:hyperlink>
    </w:p>
    <w:p>
      <w:pPr>
        <w:spacing w:before="120" w:after="120" w:line="288" w:lineRule="auto"/>
        <w:ind w:left="0"/>
        <w:jc w:val="left"/>
      </w:pPr>
      <w:hyperlink r:id="rId11">
        <w:r>
          <w:rPr>
            <w:rFonts w:eastAsia="等线" w:ascii="Arial" w:cs="Arial" w:hAnsi="Arial"/>
            <w:color w:val="3370ff"/>
            <w:sz w:val="22"/>
            <w:u w:val="single"/>
            <w:shd w:fill="bbbfc4"/>
          </w:rPr>
          <w:t>我们与谁共享您的个人数据</w:t>
        </w:r>
      </w:hyperlink>
    </w:p>
    <w:p>
      <w:pPr>
        <w:spacing w:before="120" w:after="120" w:line="288" w:lineRule="auto"/>
        <w:ind w:left="0"/>
        <w:jc w:val="left"/>
      </w:pPr>
      <w:hyperlink r:id="rId12">
        <w:r>
          <w:rPr>
            <w:rFonts w:eastAsia="等线" w:ascii="Arial" w:cs="Arial" w:hAnsi="Arial"/>
            <w:color w:val="3370ff"/>
            <w:sz w:val="22"/>
            <w:u w:val="single"/>
            <w:shd w:fill="bbbfc4"/>
          </w:rPr>
          <w:t>如何行使您的权利</w:t>
        </w:r>
      </w:hyperlink>
    </w:p>
    <w:p>
      <w:pPr>
        <w:spacing w:before="120" w:after="120" w:line="288" w:lineRule="auto"/>
        <w:ind w:left="0"/>
        <w:jc w:val="left"/>
      </w:pPr>
      <w:hyperlink r:id="rId13">
        <w:r>
          <w:rPr>
            <w:rFonts w:eastAsia="等线" w:ascii="Arial" w:cs="Arial" w:hAnsi="Arial"/>
            <w:color w:val="3370ff"/>
            <w:sz w:val="22"/>
            <w:u w:val="single"/>
            <w:shd w:fill="bbbfc4"/>
          </w:rPr>
          <w:t>年龄限制</w:t>
        </w:r>
      </w:hyperlink>
    </w:p>
    <w:p>
      <w:pPr>
        <w:spacing w:before="120" w:after="120" w:line="288" w:lineRule="auto"/>
        <w:ind w:left="0"/>
        <w:jc w:val="left"/>
      </w:pPr>
      <w:hyperlink r:id="rId14">
        <w:r>
          <w:rPr>
            <w:rFonts w:eastAsia="等线" w:ascii="Arial" w:cs="Arial" w:hAnsi="Arial"/>
            <w:color w:val="3370ff"/>
            <w:sz w:val="22"/>
            <w:u w:val="single"/>
            <w:shd w:fill="bbbfc4"/>
          </w:rPr>
          <w:t>国际数据传输</w:t>
        </w:r>
      </w:hyperlink>
    </w:p>
    <w:p>
      <w:pPr>
        <w:spacing w:before="120" w:after="120" w:line="288" w:lineRule="auto"/>
        <w:ind w:left="0"/>
        <w:jc w:val="left"/>
      </w:pPr>
      <w:hyperlink r:id="rId15">
        <w:r>
          <w:rPr>
            <w:rFonts w:eastAsia="等线" w:ascii="Arial" w:cs="Arial" w:hAnsi="Arial"/>
            <w:color w:val="3370ff"/>
            <w:sz w:val="22"/>
            <w:u w:val="single"/>
            <w:shd w:fill="bbbfc4"/>
          </w:rPr>
          <w:t>本隐私政策的变更</w:t>
        </w:r>
      </w:hyperlink>
    </w:p>
    <w:p>
      <w:pPr>
        <w:spacing w:before="120" w:after="120" w:line="288" w:lineRule="auto"/>
        <w:ind w:left="0"/>
        <w:jc w:val="left"/>
      </w:pPr>
      <w:hyperlink r:id="rId16">
        <w:r>
          <w:rPr>
            <w:rFonts w:eastAsia="等线" w:ascii="Arial" w:cs="Arial" w:hAnsi="Arial"/>
            <w:color w:val="3370ff"/>
            <w:sz w:val="22"/>
            <w:u w:val="single"/>
            <w:shd w:fill="bbbfc4"/>
          </w:rPr>
          <w:t>加州居民</w:t>
        </w:r>
      </w:hyperlink>
    </w:p>
    <w:p>
      <w:pPr>
        <w:spacing w:before="120" w:after="120" w:line="288" w:lineRule="auto"/>
        <w:ind w:left="0"/>
        <w:jc w:val="left"/>
      </w:pPr>
      <w:hyperlink r:id="rId17">
        <w:r>
          <w:rPr>
            <w:rFonts w:eastAsia="等线" w:ascii="Arial" w:cs="Arial" w:hAnsi="Arial"/>
            <w:color w:val="3370ff"/>
            <w:sz w:val="22"/>
            <w:u w:val="single"/>
            <w:shd w:fill="bbbfc4"/>
          </w:rPr>
          <w:t>弗吉尼亚州居民</w:t>
        </w:r>
      </w:hyperlink>
    </w:p>
    <w:p>
      <w:pPr>
        <w:spacing w:before="120" w:after="120" w:line="288" w:lineRule="auto"/>
        <w:ind w:left="0"/>
        <w:jc w:val="left"/>
      </w:pPr>
      <w:hyperlink r:id="rId18">
        <w:r>
          <w:rPr>
            <w:rFonts w:eastAsia="等线" w:ascii="Arial" w:cs="Arial" w:hAnsi="Arial"/>
            <w:color w:val="3370ff"/>
            <w:sz w:val="22"/>
            <w:u w:val="single"/>
            <w:shd w:fill="bbbfc4"/>
          </w:rPr>
          <w:t>数据保留</w:t>
        </w:r>
      </w:hyperlink>
    </w:p>
    <w:p>
      <w:pPr>
        <w:spacing w:before="120" w:after="120" w:line="288" w:lineRule="auto"/>
        <w:ind w:left="0"/>
        <w:jc w:val="left"/>
      </w:pPr>
      <w:hyperlink r:id="rId19">
        <w:r>
          <w:rPr>
            <w:rFonts w:eastAsia="等线" w:ascii="Arial" w:cs="Arial" w:hAnsi="Arial"/>
            <w:color w:val="3370ff"/>
            <w:sz w:val="22"/>
            <w:u w:val="single"/>
            <w:shd w:fill="bbbfc4"/>
          </w:rPr>
          <w:t>如何处理“禁止追踪”请求</w:t>
        </w:r>
      </w:hyperlink>
    </w:p>
    <w:p>
      <w:pPr>
        <w:spacing w:before="120" w:after="120" w:line="288" w:lineRule="auto"/>
        <w:ind w:left="0"/>
        <w:jc w:val="left"/>
      </w:pPr>
      <w:hyperlink r:id="rId20">
        <w:r>
          <w:rPr>
            <w:rFonts w:eastAsia="等线" w:ascii="Arial" w:cs="Arial" w:hAnsi="Arial"/>
            <w:color w:val="3370ff"/>
            <w:sz w:val="22"/>
            <w:u w:val="single"/>
            <w:shd w:fill="bbbfc4"/>
          </w:rPr>
          <w:t>联系我们</w:t>
        </w:r>
      </w:hyperlink>
    </w:p>
    <w:p>
      <w:pPr>
        <w:spacing w:before="120" w:after="120" w:line="288" w:lineRule="auto"/>
        <w:ind w:left="0"/>
        <w:jc w:val="left"/>
      </w:pPr>
      <w:r>
        <w:rPr>
          <w:rFonts w:eastAsia="等线" w:ascii="Arial" w:cs="Arial" w:hAnsi="Arial"/>
          <w:sz w:val="22"/>
        </w:rPr>
        <w:t>个人数据控制者</w:t>
      </w:r>
    </w:p>
    <w:p>
      <w:pPr>
        <w:spacing w:before="120" w:after="120" w:line="288" w:lineRule="auto"/>
        <w:ind w:left="0"/>
        <w:jc w:val="left"/>
      </w:pPr>
      <w:r>
        <w:rPr>
          <w:rFonts w:eastAsia="等线" w:ascii="Arial" w:cs="Arial" w:hAnsi="Arial"/>
          <w:sz w:val="22"/>
        </w:rPr>
        <w:t>Spiritual Nebula Limited （注册办事处位于 塞浦路斯尼科西亚斯特罗沃洛斯 2012 阿萨拉萨斯大道 62 号夹层楼）将负责控制您的个人数据。</w:t>
      </w:r>
    </w:p>
    <w:p>
      <w:pPr>
        <w:spacing w:before="120" w:after="120" w:line="288" w:lineRule="auto"/>
        <w:ind w:left="0"/>
        <w:jc w:val="left"/>
      </w:pPr>
      <w:r>
        <w:rPr>
          <w:rFonts w:eastAsia="等线" w:ascii="Arial" w:cs="Arial" w:hAnsi="Arial"/>
          <w:sz w:val="22"/>
        </w:rPr>
        <w:t>我们收集的个人数据类别</w:t>
      </w:r>
    </w:p>
    <w:p>
      <w:pPr>
        <w:spacing w:before="120" w:after="120" w:line="288" w:lineRule="auto"/>
        <w:ind w:left="0"/>
        <w:jc w:val="left"/>
      </w:pPr>
      <w:r>
        <w:rPr>
          <w:rFonts w:eastAsia="等线" w:ascii="Arial" w:cs="Arial" w:hAnsi="Arial"/>
          <w:sz w:val="22"/>
        </w:rPr>
        <w:t>我们收集有关您的以下数据；</w:t>
      </w:r>
    </w:p>
    <w:p>
      <w:pPr>
        <w:spacing w:before="120" w:after="120" w:line="288" w:lineRule="auto"/>
        <w:ind w:left="0"/>
        <w:jc w:val="left"/>
      </w:pPr>
      <w:r>
        <w:rPr>
          <w:rFonts w:eastAsia="等线" w:ascii="Arial" w:cs="Arial" w:hAnsi="Arial"/>
          <w:sz w:val="22"/>
        </w:rPr>
        <w:t>您直接提供给我们的数据（例如出生日期）。</w:t>
      </w:r>
    </w:p>
    <w:p>
      <w:pPr>
        <w:spacing w:before="120" w:after="120" w:line="288" w:lineRule="auto"/>
        <w:ind w:left="0"/>
        <w:jc w:val="left"/>
      </w:pPr>
      <w:r>
        <w:rPr>
          <w:rFonts w:eastAsia="等线" w:ascii="Arial" w:cs="Arial" w:hAnsi="Arial"/>
          <w:sz w:val="22"/>
        </w:rPr>
        <w:t>我们从第三方收到的有关您的数据（例如，当您通过 Google 登录时）。</w:t>
      </w:r>
    </w:p>
    <w:p>
      <w:pPr>
        <w:spacing w:before="120" w:after="120" w:line="288" w:lineRule="auto"/>
        <w:ind w:left="0"/>
        <w:jc w:val="left"/>
      </w:pPr>
      <w:r>
        <w:rPr>
          <w:rFonts w:eastAsia="等线" w:ascii="Arial" w:cs="Arial" w:hAnsi="Arial"/>
          <w:sz w:val="22"/>
        </w:rPr>
        <w:t>当您使用服务时，我们还会自动收集数据（例如，您的 IP 地址）。</w:t>
      </w:r>
    </w:p>
    <w:p>
      <w:pPr>
        <w:spacing w:before="120" w:after="120" w:line="288" w:lineRule="auto"/>
        <w:ind w:left="0"/>
        <w:jc w:val="left"/>
      </w:pPr>
      <w:r>
        <w:rPr>
          <w:rFonts w:eastAsia="等线" w:ascii="Arial" w:cs="Arial" w:hAnsi="Arial"/>
          <w:sz w:val="22"/>
        </w:rPr>
        <w:t>处理您的个人数据的目的和法律依据</w:t>
      </w:r>
    </w:p>
    <w:p>
      <w:pPr>
        <w:spacing w:before="120" w:after="120" w:line="288" w:lineRule="auto"/>
        <w:ind w:left="0"/>
        <w:jc w:val="left"/>
      </w:pPr>
      <w:r>
        <w:rPr>
          <w:rFonts w:eastAsia="等线" w:ascii="Arial" w:cs="Arial" w:hAnsi="Arial"/>
          <w:sz w:val="22"/>
        </w:rPr>
        <w:t>我们收集和使用您的数据主要是为了提供和改进我们的服务，并提升服务的整体质量。此外，我们的目标是吸引新客户使用我们的服务。以下详细说明了我们处理您个人数据的法律依据和目的。</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22" o:title=""/>
          </v:shape>
          <o:OLEObject DrawAspect="Icon" ObjectID="_1718471219" ProgID="Excel.Sheet.12" ShapeID="_x0000_i1025" Type="Embed" r:id="rId2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我们与谁共享您的个人数据</w:t>
      </w:r>
    </w:p>
    <w:p>
      <w:pPr>
        <w:spacing w:before="120" w:after="120" w:line="288" w:lineRule="auto"/>
        <w:ind w:left="0"/>
        <w:jc w:val="left"/>
      </w:pPr>
      <w:r>
        <w:rPr>
          <w:rFonts w:eastAsia="等线" w:ascii="Arial" w:cs="Arial" w:hAnsi="Arial"/>
          <w:sz w:val="22"/>
        </w:rPr>
        <w:t>我们与第三方共享信息，以帮助我们运营、提供、改进、集成、定制、支持和推广我们的服务。我们可能会共享某些个人数据，特别是出于本政策</w:t>
      </w:r>
      <w:hyperlink r:id="rId23">
        <w:r>
          <w:rPr>
            <w:rFonts w:eastAsia="等线" w:ascii="Arial" w:cs="Arial" w:hAnsi="Arial"/>
            <w:color w:val="3370ff"/>
            <w:sz w:val="22"/>
            <w:u w:val="single"/>
            <w:shd w:fill="bbbfc4"/>
          </w:rPr>
          <w:t>第3条</w:t>
        </w:r>
      </w:hyperlink>
      <w:r>
        <w:rPr>
          <w:rFonts w:eastAsia="等线" w:ascii="Arial" w:cs="Arial" w:hAnsi="Arial"/>
          <w:sz w:val="22"/>
        </w:rPr>
        <w:t>中指定的目的并与其中指定的相关方共享。我们致力于与所有此类相关方签订具体的数据处理协议，以制定专门代表我们处理您的数据的规则，并仅限于此。</w:t>
      </w:r>
    </w:p>
    <w:p>
      <w:pPr>
        <w:spacing w:before="120" w:after="120" w:line="288" w:lineRule="auto"/>
        <w:ind w:left="0"/>
        <w:jc w:val="left"/>
      </w:pPr>
      <w:r>
        <w:rPr>
          <w:rFonts w:eastAsia="等线" w:ascii="Arial" w:cs="Arial" w:hAnsi="Arial"/>
          <w:sz w:val="22"/>
        </w:rPr>
        <w:t>我们与之共享信息的第三方类型包括：</w:t>
      </w:r>
    </w:p>
    <w:p>
      <w:pPr>
        <w:spacing w:before="120" w:after="120" w:line="288" w:lineRule="auto"/>
        <w:ind w:left="0"/>
        <w:jc w:val="left"/>
      </w:pPr>
      <w:r>
        <w:rPr>
          <w:rFonts w:eastAsia="等线" w:ascii="Arial" w:cs="Arial" w:hAnsi="Arial"/>
          <w:sz w:val="22"/>
        </w:rPr>
        <w:t>第三方提供商。我们根据我们的指示，与我们聘请的第三方共享个人数据，这些第三方代表我们提供服务或执行业务功能。我们使用以下类型的服务提供商（在某些情况下，也包括其子处理商）处理您的个人信息：</w:t>
      </w:r>
    </w:p>
    <w:p>
      <w:pPr>
        <w:spacing w:before="120" w:after="120" w:line="288" w:lineRule="auto"/>
        <w:ind w:left="0"/>
        <w:jc w:val="left"/>
      </w:pPr>
      <w:r>
        <w:rPr>
          <w:rFonts w:eastAsia="等线" w:ascii="Arial" w:cs="Arial" w:hAnsi="Arial"/>
          <w:sz w:val="22"/>
        </w:rPr>
        <w:t>云存储</w:t>
      </w:r>
    </w:p>
    <w:p>
      <w:pPr>
        <w:spacing w:before="120" w:after="120" w:line="288" w:lineRule="auto"/>
        <w:ind w:left="0"/>
        <w:jc w:val="left"/>
      </w:pPr>
      <w:r>
        <w:rPr>
          <w:rFonts w:eastAsia="等线" w:ascii="Arial" w:cs="Arial" w:hAnsi="Arial"/>
          <w:sz w:val="22"/>
        </w:rPr>
        <w:t>：我们使用 Amazon Web Service 来托管个人数据并使我们的服务能够运行。</w:t>
      </w:r>
    </w:p>
    <w:p>
      <w:pPr>
        <w:spacing w:before="120" w:after="120" w:line="288" w:lineRule="auto"/>
        <w:ind w:left="0"/>
        <w:jc w:val="left"/>
      </w:pPr>
      <w:r>
        <w:rPr>
          <w:rFonts w:eastAsia="等线" w:ascii="Arial" w:cs="Arial" w:hAnsi="Arial"/>
          <w:sz w:val="22"/>
        </w:rPr>
        <w:t>服务监控</w:t>
      </w:r>
    </w:p>
    <w:p>
      <w:pPr>
        <w:spacing w:before="120" w:after="120" w:line="288" w:lineRule="auto"/>
        <w:ind w:left="0"/>
        <w:jc w:val="left"/>
      </w:pPr>
      <w:r>
        <w:rPr>
          <w:rFonts w:eastAsia="等线" w:ascii="Arial" w:cs="Arial" w:hAnsi="Arial"/>
          <w:sz w:val="22"/>
        </w:rPr>
        <w:t>：我们使用 Firebase 性能监控和 Firebase 崩溃报告来监控服务的基础设施和性能，识别和解决我们服务在不同平台上出现的错误和崩溃。</w:t>
      </w:r>
    </w:p>
    <w:p>
      <w:pPr>
        <w:spacing w:before="120" w:after="120" w:line="288" w:lineRule="auto"/>
        <w:ind w:left="0"/>
        <w:jc w:val="left"/>
      </w:pPr>
      <w:r>
        <w:rPr>
          <w:rFonts w:eastAsia="等线" w:ascii="Arial" w:cs="Arial" w:hAnsi="Arial"/>
          <w:sz w:val="22"/>
        </w:rPr>
        <w:t>数据分析</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我们使用 Appsflyer 来归因您的数据、研究和分析用户如何与应用程序互动以及衡量我们广告的效果。</w:t>
      </w:r>
    </w:p>
    <w:p>
      <w:pPr>
        <w:spacing w:before="120" w:after="120" w:line="288" w:lineRule="auto"/>
        <w:ind w:left="0"/>
        <w:jc w:val="left"/>
      </w:pPr>
      <w:r>
        <w:rPr>
          <w:rFonts w:eastAsia="等线" w:ascii="Arial" w:cs="Arial" w:hAnsi="Arial"/>
          <w:sz w:val="22"/>
        </w:rPr>
        <w:t>我们使用 Amplitude 来记录您如何使用和与服务互动。</w:t>
      </w:r>
    </w:p>
    <w:p>
      <w:pPr>
        <w:spacing w:before="120" w:after="120" w:line="288" w:lineRule="auto"/>
        <w:ind w:left="0"/>
        <w:jc w:val="left"/>
      </w:pPr>
      <w:r>
        <w:rPr>
          <w:rFonts w:eastAsia="等线" w:ascii="Arial" w:cs="Arial" w:hAnsi="Arial"/>
          <w:sz w:val="22"/>
        </w:rPr>
        <w:t>我们使用 Meta Pixel、TikTok Pixel 和 Google Analytics 来分析您如何使用服务并衡量某些广告的有效性。</w:t>
      </w:r>
    </w:p>
    <w:p>
      <w:pPr>
        <w:spacing w:before="120" w:after="120" w:line="288" w:lineRule="auto"/>
        <w:ind w:left="0"/>
        <w:jc w:val="left"/>
      </w:pPr>
      <w:r>
        <w:rPr>
          <w:rFonts w:eastAsia="等线" w:ascii="Arial" w:cs="Arial" w:hAnsi="Arial"/>
          <w:sz w:val="22"/>
        </w:rPr>
        <w:t>我们使用 Salesforce 的 Tableau 创建交互式仪表板、图表、报告，并可视化有关您使用和与服务交互的数据。</w:t>
      </w:r>
    </w:p>
    <w:p>
      <w:pPr>
        <w:spacing w:before="120" w:after="120" w:line="288" w:lineRule="auto"/>
        <w:ind w:left="0"/>
        <w:jc w:val="left"/>
      </w:pPr>
      <w:r>
        <w:rPr>
          <w:rFonts w:eastAsia="等线" w:ascii="Arial" w:cs="Arial" w:hAnsi="Arial"/>
          <w:sz w:val="22"/>
        </w:rPr>
        <w:t>我们使用 Microsoft Clarity 通过会话记录和热图了解您如何与服务交互。</w:t>
      </w:r>
    </w:p>
    <w:p>
      <w:pPr>
        <w:spacing w:before="120" w:after="120" w:line="288" w:lineRule="auto"/>
        <w:ind w:left="0"/>
        <w:jc w:val="left"/>
      </w:pPr>
      <w:r>
        <w:rPr>
          <w:rFonts w:eastAsia="等线" w:ascii="Arial" w:cs="Arial" w:hAnsi="Arial"/>
          <w:sz w:val="22"/>
        </w:rPr>
        <w:t>网关服务和支付处理</w:t>
      </w:r>
    </w:p>
    <w:p>
      <w:pPr>
        <w:spacing w:before="120" w:after="120" w:line="288" w:lineRule="auto"/>
        <w:ind w:left="0"/>
        <w:jc w:val="left"/>
      </w:pPr>
      <w:r>
        <w:rPr>
          <w:rFonts w:eastAsia="等线" w:ascii="Arial" w:cs="Arial" w:hAnsi="Arial"/>
          <w:sz w:val="22"/>
        </w:rPr>
        <w:t>：我们使用各种支付处理和支付网关提供商，帮助我们连接世界各地的不同银行和支付系统。由于我们合作的支付处理提供商数量众多，我们无法在此一一列出。不过，一些例子包括 Solidgate、Pay.com、Checkout 和 Worldpay。</w:t>
      </w:r>
    </w:p>
    <w:p>
      <w:pPr>
        <w:spacing w:before="120" w:after="120" w:line="288" w:lineRule="auto"/>
        <w:ind w:left="0"/>
        <w:jc w:val="left"/>
      </w:pPr>
      <w:r>
        <w:rPr>
          <w:rFonts w:eastAsia="等线" w:ascii="Arial" w:cs="Arial" w:hAnsi="Arial"/>
          <w:sz w:val="22"/>
        </w:rPr>
        <w:t>电子邮件验证和登录</w:t>
      </w:r>
    </w:p>
    <w:p>
      <w:pPr>
        <w:spacing w:before="120" w:after="120" w:line="288" w:lineRule="auto"/>
        <w:ind w:left="0"/>
        <w:jc w:val="left"/>
      </w:pPr>
      <w:r>
        <w:rPr>
          <w:rFonts w:eastAsia="等线" w:ascii="Arial" w:cs="Arial" w:hAnsi="Arial"/>
          <w:sz w:val="22"/>
        </w:rPr>
        <w:t>：我们使用 Debounce.io 来验证、检查和确认用户的电子邮件地址。我们还使用 Google、Meta 和 Apple API 来启用社交登录功能。</w:t>
      </w:r>
    </w:p>
    <w:p>
      <w:pPr>
        <w:spacing w:before="120" w:after="120" w:line="288" w:lineRule="auto"/>
        <w:ind w:left="0"/>
        <w:jc w:val="left"/>
      </w:pPr>
      <w:r>
        <w:rPr>
          <w:rFonts w:eastAsia="等线" w:ascii="Arial" w:cs="Arial" w:hAnsi="Arial"/>
          <w:sz w:val="22"/>
        </w:rPr>
        <w:t>服务功能</w:t>
      </w:r>
    </w:p>
    <w:p>
      <w:pPr>
        <w:spacing w:before="120" w:after="120" w:line="288" w:lineRule="auto"/>
        <w:ind w:left="0"/>
        <w:jc w:val="left"/>
      </w:pPr>
      <w:r>
        <w:rPr>
          <w:rFonts w:eastAsia="等线" w:ascii="Arial" w:cs="Arial" w:hAnsi="Arial"/>
          <w:sz w:val="22"/>
        </w:rPr>
        <w:t>：我们使用 AstrologyAPI、OpenAI 和 Microsoft Azure AI 解决方案为您生成读数和报告。请注意，我们仅向 OpenAI 和 Microsoft Azure AI 发送去识别化数据。</w:t>
      </w:r>
    </w:p>
    <w:p>
      <w:pPr>
        <w:spacing w:before="120" w:after="120" w:line="288" w:lineRule="auto"/>
        <w:ind w:left="0"/>
        <w:jc w:val="left"/>
      </w:pPr>
      <w:r>
        <w:rPr>
          <w:rFonts w:eastAsia="等线" w:ascii="Arial" w:cs="Arial" w:hAnsi="Arial"/>
          <w:sz w:val="22"/>
        </w:rPr>
        <w:t>通讯</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我们使用 Zendesk 作为客户服务软件，以支持我们的客户支持团队开展工作。我们还使用 Twilio 来实现客户支持团队与用户之间的电话沟通。</w:t>
      </w:r>
    </w:p>
    <w:p>
      <w:pPr>
        <w:spacing w:before="120" w:after="120" w:line="288" w:lineRule="auto"/>
        <w:ind w:left="0"/>
        <w:jc w:val="left"/>
      </w:pPr>
      <w:r>
        <w:rPr>
          <w:rFonts w:eastAsia="等线" w:ascii="Arial" w:cs="Arial" w:hAnsi="Arial"/>
          <w:sz w:val="22"/>
        </w:rPr>
        <w:t>我们使用 Customer.io（用于电子邮件）和 Twilio（用于音频通话）向您发送与服务相关的营销信息。</w:t>
      </w:r>
    </w:p>
    <w:p>
      <w:pPr>
        <w:spacing w:before="120" w:after="120" w:line="288" w:lineRule="auto"/>
        <w:ind w:left="0"/>
        <w:jc w:val="left"/>
      </w:pPr>
      <w:r>
        <w:rPr>
          <w:rFonts w:eastAsia="等线" w:ascii="Arial" w:cs="Arial" w:hAnsi="Arial"/>
          <w:sz w:val="22"/>
        </w:rPr>
        <w:t>我们使用 Firebase 和 Apple Push Notification 向您发送服务消息和通知。</w:t>
      </w:r>
    </w:p>
    <w:p>
      <w:pPr>
        <w:spacing w:before="120" w:after="120" w:line="288" w:lineRule="auto"/>
        <w:ind w:left="0"/>
        <w:jc w:val="left"/>
      </w:pPr>
      <w:r>
        <w:rPr>
          <w:rFonts w:eastAsia="等线" w:ascii="Arial" w:cs="Arial" w:hAnsi="Arial"/>
          <w:sz w:val="22"/>
        </w:rPr>
        <w:t>我们使用 OpenAI 根据对客户和专家之间有限的近期通信的去识别内容的分析来定制推送通知。</w:t>
      </w:r>
    </w:p>
    <w:p>
      <w:pPr>
        <w:spacing w:before="120" w:after="120" w:line="288" w:lineRule="auto"/>
        <w:ind w:left="0"/>
        <w:jc w:val="left"/>
      </w:pPr>
      <w:r>
        <w:rPr>
          <w:rFonts w:eastAsia="等线" w:ascii="Arial" w:cs="Arial" w:hAnsi="Arial"/>
          <w:sz w:val="22"/>
        </w:rPr>
        <w:t>安全性</w:t>
      </w:r>
    </w:p>
    <w:p>
      <w:pPr>
        <w:spacing w:before="120" w:after="120" w:line="288" w:lineRule="auto"/>
        <w:ind w:left="0"/>
        <w:jc w:val="left"/>
      </w:pPr>
      <w:r>
        <w:rPr>
          <w:rFonts w:eastAsia="等线" w:ascii="Arial" w:cs="Arial" w:hAnsi="Arial"/>
          <w:sz w:val="22"/>
        </w:rPr>
        <w:t>：我们使用 Cloudflare 作为内容交付网络提供商，以提高我们网站的安全性和性能，并保护它们免受恶意攻击。</w:t>
      </w:r>
    </w:p>
    <w:p>
      <w:pPr>
        <w:spacing w:before="120" w:after="120" w:line="288" w:lineRule="auto"/>
        <w:ind w:left="0"/>
        <w:jc w:val="left"/>
      </w:pPr>
      <w:r>
        <w:rPr>
          <w:rFonts w:eastAsia="等线" w:ascii="Arial" w:cs="Arial" w:hAnsi="Arial"/>
          <w:sz w:val="22"/>
        </w:rPr>
        <w:t>营销和广告</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我们使用 Meta Ads Manager 和 MetaMeta Custom Audience、TikTok Ads Manager 和 Pinterest Ads Manager 来选择将看到我们的广告并在 Meta、TikTok 和 Pinterest 平台上投放广告的受众。</w:t>
      </w:r>
    </w:p>
    <w:p>
      <w:pPr>
        <w:spacing w:before="120" w:after="120" w:line="288" w:lineRule="auto"/>
        <w:ind w:left="0"/>
        <w:jc w:val="left"/>
      </w:pPr>
      <w:r>
        <w:rPr>
          <w:rFonts w:eastAsia="等线" w:ascii="Arial" w:cs="Arial" w:hAnsi="Arial"/>
          <w:sz w:val="22"/>
        </w:rPr>
        <w:t>我们使用 Google Ads 和 Bing Ads 向 Google 和 Bing 浏览器中的用户投放广告。</w:t>
      </w:r>
    </w:p>
    <w:p>
      <w:pPr>
        <w:spacing w:before="120" w:after="120" w:line="288" w:lineRule="auto"/>
        <w:ind w:left="0"/>
        <w:jc w:val="left"/>
      </w:pPr>
      <w:r>
        <w:rPr>
          <w:rFonts w:eastAsia="等线" w:ascii="Arial" w:cs="Arial" w:hAnsi="Arial"/>
          <w:sz w:val="22"/>
        </w:rPr>
        <w:t>有时，我们可能会使用第三方广告网络、广告代理商和直接发布商为我们提供广告解决方案，以便在各种网站和应用程序上展示我们的广告。</w:t>
      </w:r>
    </w:p>
    <w:p>
      <w:pPr>
        <w:spacing w:before="120" w:after="120" w:line="288" w:lineRule="auto"/>
        <w:ind w:left="0"/>
        <w:jc w:val="left"/>
      </w:pPr>
      <w:r>
        <w:rPr>
          <w:rFonts w:eastAsia="等线" w:ascii="Arial" w:cs="Arial" w:hAnsi="Arial"/>
          <w:sz w:val="22"/>
        </w:rPr>
        <w:t>执法机构和其他公共机构。我们可能会使用和披露个人数据，以执行我们的使用条款和条件，保护我们和/或我们的关联公司、您或其他人的权利、隐私、安全或财产，并响应法院、执法机构、监管机构和其他公共和政府机构的请求，或在法律规定的其他情况下。</w:t>
      </w:r>
    </w:p>
    <w:p>
      <w:pPr>
        <w:spacing w:before="120" w:after="120" w:line="288" w:lineRule="auto"/>
        <w:ind w:left="0"/>
        <w:jc w:val="left"/>
      </w:pPr>
      <w:r>
        <w:rPr>
          <w:rFonts w:eastAsia="等线" w:ascii="Arial" w:cs="Arial" w:hAnsi="Arial"/>
          <w:sz w:val="22"/>
        </w:rPr>
        <w:t>作为合并或收购的一部分，第三方。随着我们业务的发展，我们可能会买卖资产或业务产品。在此类交易中，客户信息通常是被转移的业务资产之一。我们也可能与任何关联实体（例如母公司或子公司）共享此类信息，并可能在公司交易过程中转移此类信息，例如出售我们的业务、资产剥离、合并、整合或资产出售，或在不太可能发生的破产情况下。</w:t>
      </w:r>
    </w:p>
    <w:p>
      <w:pPr>
        <w:spacing w:before="120" w:after="120" w:line="288" w:lineRule="auto"/>
        <w:ind w:left="0"/>
        <w:jc w:val="left"/>
      </w:pPr>
      <w:r>
        <w:rPr>
          <w:rFonts w:eastAsia="等线" w:ascii="Arial" w:cs="Arial" w:hAnsi="Arial"/>
          <w:sz w:val="22"/>
        </w:rPr>
        <w:t>关联公司。我们可能会与我们集团旗下的合作伙伴机构共享您的个人信息——这些公司由我们拥有、拥有或与我们共同拥有。这些合作伙伴机构将以符合本政策的方式使用这些信息，确保您的隐私在我们所有关联服务中得到尊重和保护。</w:t>
      </w:r>
    </w:p>
    <w:p>
      <w:pPr>
        <w:spacing w:before="120" w:after="120" w:line="288" w:lineRule="auto"/>
        <w:ind w:left="0"/>
        <w:jc w:val="left"/>
      </w:pPr>
      <w:r>
        <w:rPr>
          <w:rFonts w:eastAsia="等线" w:ascii="Arial" w:cs="Arial" w:hAnsi="Arial"/>
          <w:sz w:val="22"/>
        </w:rPr>
        <w:t>如何行使您的权利针对 EEA 用户的附加信息</w:t>
      </w:r>
    </w:p>
    <w:p>
      <w:pPr>
        <w:spacing w:before="120" w:after="120" w:line="288" w:lineRule="auto"/>
        <w:ind w:left="0"/>
        <w:jc w:val="left"/>
      </w:pPr>
      <w:r>
        <w:rPr>
          <w:rFonts w:eastAsia="等线" w:ascii="Arial" w:cs="Arial" w:hAnsi="Arial"/>
          <w:sz w:val="22"/>
        </w:rPr>
        <w:t>为了控制您的个人数据，您拥有以下权利：</w:t>
      </w:r>
    </w:p>
    <w:p>
      <w:pPr>
        <w:spacing w:before="120" w:after="120" w:line="288" w:lineRule="auto"/>
        <w:ind w:left="0"/>
        <w:jc w:val="left"/>
      </w:pPr>
      <w:r>
        <w:rPr>
          <w:rFonts w:eastAsia="等线" w:ascii="Arial" w:cs="Arial" w:hAnsi="Arial"/>
          <w:sz w:val="22"/>
        </w:rPr>
        <w:t>访问/查看/更新/更正您的个人数据。您可以在应用程序的设置部分查看、编辑或更改您之前在应用程序中提供的个人数据。</w:t>
      </w:r>
    </w:p>
    <w:p>
      <w:pPr>
        <w:spacing w:before="120" w:after="120" w:line="288" w:lineRule="auto"/>
        <w:ind w:left="0"/>
        <w:jc w:val="left"/>
      </w:pPr>
      <w:hyperlink r:id="rId24">
        <w:r>
          <w:rPr>
            <w:rFonts w:eastAsia="等线" w:ascii="Arial" w:cs="Arial" w:hAnsi="Arial"/>
            <w:color w:val="3370ff"/>
            <w:sz w:val="22"/>
            <w:u w:val="single"/>
            <w:shd w:fill="bbbfc4"/>
          </w:rPr>
          <w:t>您还可以通过privacy@asknebula.com</w:t>
        </w:r>
      </w:hyperlink>
      <w:r>
        <w:rPr>
          <w:rFonts w:eastAsia="等线" w:ascii="Arial" w:cs="Arial" w:hAnsi="Arial"/>
          <w:sz w:val="22"/>
        </w:rPr>
        <w:t>索取您在使用应用程序期间收集的个人数据的副本。</w:t>
      </w:r>
    </w:p>
    <w:p>
      <w:pPr>
        <w:spacing w:before="120" w:after="120" w:line="288" w:lineRule="auto"/>
        <w:ind w:left="0"/>
        <w:jc w:val="left"/>
      </w:pPr>
      <w:r>
        <w:rPr>
          <w:rFonts w:eastAsia="等线" w:ascii="Arial" w:cs="Arial" w:hAnsi="Arial"/>
          <w:sz w:val="22"/>
        </w:rPr>
        <w:t>删除您的个人数据。您可以通过发送电子邮件至</w:t>
      </w:r>
      <w:hyperlink r:id="rId25">
        <w:r>
          <w:rPr>
            <w:rFonts w:eastAsia="等线" w:ascii="Arial" w:cs="Arial" w:hAnsi="Arial"/>
            <w:color w:val="3370ff"/>
            <w:sz w:val="22"/>
            <w:u w:val="single"/>
            <w:shd w:fill="bbbfc4"/>
          </w:rPr>
          <w:t>privacy@asknebula.com</w:t>
        </w:r>
      </w:hyperlink>
      <w:r>
        <w:rPr>
          <w:rFonts w:eastAsia="等线" w:ascii="Arial" w:cs="Arial" w:hAnsi="Arial"/>
          <w:sz w:val="22"/>
        </w:rPr>
        <w:t>请求删除您的个人数据。</w:t>
      </w:r>
    </w:p>
    <w:p>
      <w:pPr>
        <w:spacing w:before="120" w:after="120" w:line="288" w:lineRule="auto"/>
        <w:ind w:left="0"/>
        <w:jc w:val="left"/>
      </w:pPr>
      <w:r>
        <w:rPr>
          <w:rFonts w:eastAsia="等线" w:ascii="Arial" w:cs="Arial" w:hAnsi="Arial"/>
          <w:sz w:val="22"/>
        </w:rPr>
        <w:t>当您请求删除您的个人数据时，我们将尽合理努力满足您的请求。在某些情况下，我们可能依法需要在履行法律义务、解决争议和执行协议所需的一定时间内保留部分数据；在这种情况下，我们将在履行义务后满足您的请求。</w:t>
      </w:r>
    </w:p>
    <w:p>
      <w:pPr>
        <w:spacing w:before="120" w:after="120" w:line="288" w:lineRule="auto"/>
        <w:ind w:left="0"/>
        <w:jc w:val="left"/>
      </w:pPr>
      <w:r>
        <w:rPr>
          <w:rFonts w:eastAsia="等线" w:ascii="Arial" w:cs="Arial" w:hAnsi="Arial"/>
          <w:sz w:val="22"/>
        </w:rPr>
        <w:t>反对或限制使用您的个人数据。您可以通过向 privacy@asknebula.com 发送请求，要求我们停止使用您的全部或部分个人数据，或限制我们对其的使用。</w:t>
      </w:r>
    </w:p>
    <w:p>
      <w:pPr>
        <w:spacing w:before="120" w:after="120" w:line="288" w:lineRule="auto"/>
        <w:ind w:left="0"/>
        <w:jc w:val="left"/>
      </w:pPr>
      <w:r>
        <w:rPr>
          <w:rFonts w:eastAsia="等线" w:ascii="Arial" w:cs="Arial" w:hAnsi="Arial"/>
          <w:sz w:val="22"/>
        </w:rPr>
        <w:t>如果您位于欧洲经济区，除上述权利外，您还拥有以下权利：</w:t>
      </w:r>
    </w:p>
    <w:p>
      <w:pPr>
        <w:spacing w:before="120" w:after="120" w:line="288" w:lineRule="auto"/>
        <w:ind w:left="0"/>
        <w:jc w:val="left"/>
      </w:pPr>
      <w:r>
        <w:rPr>
          <w:rFonts w:eastAsia="等线" w:ascii="Arial" w:cs="Arial" w:hAnsi="Arial"/>
          <w:sz w:val="22"/>
        </w:rPr>
        <w:t>向监管机构投诉的权利。我们希望您直接联系我们，以便我们解答您的疑问。但是，您仍然有权向主管数据保护监管机构投诉，尤其是在您居住、工作或涉嫌侵权行为发生地所在的欧盟成员国。您可以在以下网址找到欧盟国家数据保护机构的列表：</w:t>
      </w:r>
      <w:hyperlink r:id="rId26">
        <w:r>
          <w:rPr>
            <w:rFonts w:eastAsia="等线" w:ascii="Arial" w:cs="Arial" w:hAnsi="Arial"/>
            <w:color w:val="3370ff"/>
            <w:sz w:val="22"/>
            <w:u w:val="single"/>
            <w:shd w:fill="bbbfc4"/>
          </w:rPr>
          <w:t>https://www.edpb.europa.eu/about-edpb/about-edpb/members_en</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数据可携权。如果您希望以机器可读的格式接收您的个人数据，您可以向</w:t>
      </w:r>
      <w:hyperlink r:id="rId27">
        <w:r>
          <w:rPr>
            <w:rFonts w:eastAsia="等线" w:ascii="Arial" w:cs="Arial" w:hAnsi="Arial"/>
            <w:color w:val="3370ff"/>
            <w:sz w:val="22"/>
            <w:u w:val="single"/>
            <w:shd w:fill="bbbfc4"/>
          </w:rPr>
          <w:t>privacy@asknebula.com</w:t>
        </w:r>
      </w:hyperlink>
      <w:r>
        <w:rPr>
          <w:rFonts w:eastAsia="等线" w:ascii="Arial" w:cs="Arial" w:hAnsi="Arial"/>
          <w:sz w:val="22"/>
        </w:rPr>
        <w:t>发送相应的请求。</w:t>
      </w:r>
    </w:p>
    <w:p>
      <w:pPr>
        <w:spacing w:before="120" w:after="120" w:line="288" w:lineRule="auto"/>
        <w:ind w:left="0"/>
        <w:jc w:val="left"/>
      </w:pPr>
      <w:r>
        <w:rPr>
          <w:rFonts w:eastAsia="等线" w:ascii="Arial" w:cs="Arial" w:hAnsi="Arial"/>
          <w:sz w:val="22"/>
        </w:rPr>
        <w:t>年龄限制</w:t>
      </w:r>
    </w:p>
    <w:p>
      <w:pPr>
        <w:spacing w:before="120" w:after="120" w:line="288" w:lineRule="auto"/>
        <w:ind w:left="0"/>
        <w:jc w:val="left"/>
      </w:pPr>
      <w:r>
        <w:rPr>
          <w:rFonts w:eastAsia="等线" w:ascii="Arial" w:cs="Arial" w:hAnsi="Arial"/>
          <w:sz w:val="22"/>
        </w:rPr>
        <w:t>我们不会故意处理 16 岁以下人士的个人数据。如果您发现有 16 岁以下人士向我们提供了个人数据，请通过</w:t>
      </w:r>
      <w:hyperlink r:id="rId28">
        <w:r>
          <w:rPr>
            <w:rFonts w:eastAsia="等线" w:ascii="Arial" w:cs="Arial" w:hAnsi="Arial"/>
            <w:color w:val="3370ff"/>
            <w:sz w:val="22"/>
            <w:u w:val="single"/>
            <w:shd w:fill="bbbfc4"/>
          </w:rPr>
          <w:t>privacy@asknebula.com</w:t>
        </w:r>
      </w:hyperlink>
      <w:r>
        <w:rPr>
          <w:rFonts w:eastAsia="等线" w:ascii="Arial" w:cs="Arial" w:hAnsi="Arial"/>
          <w:sz w:val="22"/>
        </w:rPr>
        <w:t>与我们联系。</w:t>
      </w:r>
    </w:p>
    <w:p>
      <w:pPr>
        <w:spacing w:before="120" w:after="120" w:line="288" w:lineRule="auto"/>
        <w:ind w:left="0"/>
        <w:jc w:val="left"/>
      </w:pPr>
      <w:r>
        <w:rPr>
          <w:rFonts w:eastAsia="等线" w:ascii="Arial" w:cs="Arial" w:hAnsi="Arial"/>
          <w:sz w:val="22"/>
        </w:rPr>
        <w:t>国际数据传输</w:t>
      </w:r>
    </w:p>
    <w:p>
      <w:pPr>
        <w:spacing w:before="120" w:after="120" w:line="288" w:lineRule="auto"/>
        <w:ind w:left="0"/>
        <w:jc w:val="left"/>
      </w:pPr>
      <w:r>
        <w:rPr>
          <w:rFonts w:eastAsia="等线" w:ascii="Arial" w:cs="Arial" w:hAnsi="Arial"/>
          <w:sz w:val="22"/>
        </w:rPr>
        <w:t>我们可能会将个人数据传输至最初收集数据的国家/地区以外的国家/地区，以便提供</w:t>
      </w:r>
      <w:hyperlink r:id="rId29">
        <w:r>
          <w:rPr>
            <w:rFonts w:eastAsia="等线" w:ascii="Arial" w:cs="Arial" w:hAnsi="Arial"/>
            <w:color w:val="3370ff"/>
            <w:sz w:val="22"/>
            <w:u w:val="single"/>
            <w:shd w:fill="bbbfc4"/>
          </w:rPr>
          <w:t>《使用条款和条件》</w:t>
        </w:r>
      </w:hyperlink>
      <w:r>
        <w:rPr>
          <w:rFonts w:eastAsia="等线" w:ascii="Arial" w:cs="Arial" w:hAnsi="Arial"/>
          <w:sz w:val="22"/>
        </w:rPr>
        <w:t>中规定的服务以及用于本隐私政策中所述的目的。如果这些国家/地区没有与您最初提供信息的国家/地区相同的数据保护法律，我们将部署特殊的保护措施。</w:t>
      </w:r>
    </w:p>
    <w:p>
      <w:pPr>
        <w:spacing w:before="120" w:after="120" w:line="288" w:lineRule="auto"/>
        <w:ind w:left="0"/>
        <w:jc w:val="left"/>
      </w:pPr>
      <w:r>
        <w:rPr>
          <w:rFonts w:eastAsia="等线" w:ascii="Arial" w:cs="Arial" w:hAnsi="Arial"/>
          <w:sz w:val="22"/>
        </w:rPr>
        <w:t>具体而言，如果我们将源自欧洲经济区 (EEA) 的个人数据传输至数据保护水平充足的国家/地区，我们将依据欧盟委员会针对该国家/地区做出的充分性决定（详情请点击</w:t>
      </w:r>
      <w:hyperlink r:id="rId30">
        <w:r>
          <w:rPr>
            <w:rFonts w:eastAsia="等线" w:ascii="Arial" w:cs="Arial" w:hAnsi="Arial"/>
            <w:color w:val="3370ff"/>
            <w:sz w:val="22"/>
            <w:u w:val="single"/>
            <w:shd w:fill="bbbfc4"/>
          </w:rPr>
          <w:t>此处</w:t>
        </w:r>
      </w:hyperlink>
      <w:r>
        <w:rPr>
          <w:rFonts w:eastAsia="等线" w:ascii="Arial" w:cs="Arial" w:hAnsi="Arial"/>
          <w:sz w:val="22"/>
        </w:rPr>
        <w:t>）；例如，我们根据欧盟-美国数据隐私框架计划将个人数据传输至美国。如果我们将源自欧洲经济区 (EEA) 的个人数据传输至数据保护水平不足的国家/地区，我们将依据欧盟委员会批准的标准合同条款（详情请点击</w:t>
      </w:r>
      <w:hyperlink r:id="rId31">
        <w:r>
          <w:rPr>
            <w:rFonts w:eastAsia="等线" w:ascii="Arial" w:cs="Arial" w:hAnsi="Arial"/>
            <w:color w:val="3370ff"/>
            <w:sz w:val="22"/>
            <w:u w:val="single"/>
            <w:shd w:fill="bbbfc4"/>
          </w:rPr>
          <w:t>此处</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本隐私政策的变更</w:t>
      </w:r>
    </w:p>
    <w:p>
      <w:pPr>
        <w:spacing w:before="120" w:after="120" w:line="288" w:lineRule="auto"/>
        <w:ind w:left="0"/>
        <w:jc w:val="left"/>
      </w:pPr>
      <w:r>
        <w:rPr>
          <w:rFonts w:eastAsia="等线" w:ascii="Arial" w:cs="Arial" w:hAnsi="Arial"/>
          <w:sz w:val="22"/>
        </w:rPr>
        <w:t>我们可能会不时修改本隐私政策。如果我们决定对本隐私政策进行重大变更，我们将通过我们的服务或其他可用方式通知您，并让您有机会查看修订后的隐私政策。在这些变更生效后继续访问或使用本服务，即表示您同意受修订后的隐私政策的约束。</w:t>
      </w:r>
    </w:p>
    <w:p>
      <w:pPr>
        <w:spacing w:before="120" w:after="120" w:line="288" w:lineRule="auto"/>
        <w:ind w:left="0"/>
        <w:jc w:val="left"/>
      </w:pPr>
      <w:r>
        <w:rPr>
          <w:rFonts w:eastAsia="等线" w:ascii="Arial" w:cs="Arial" w:hAnsi="Arial"/>
          <w:sz w:val="22"/>
        </w:rPr>
        <w:t>加州居民</w:t>
      </w:r>
    </w:p>
    <w:p>
      <w:pPr>
        <w:spacing w:before="120" w:after="120" w:line="288" w:lineRule="auto"/>
        <w:ind w:left="0"/>
        <w:jc w:val="left"/>
      </w:pPr>
      <w:r>
        <w:rPr>
          <w:rFonts w:eastAsia="等线" w:ascii="Arial" w:cs="Arial" w:hAnsi="Arial"/>
          <w:sz w:val="22"/>
        </w:rPr>
        <w:t>加州的《Shine the Light》法案赋予加州居民每年一次向公司询问其与第三方共享哪些个人信息用于第三方的直接营销目的的权利。了解更多关于</w:t>
      </w:r>
      <w:hyperlink r:id="rId32">
        <w:r>
          <w:rPr>
            <w:rFonts w:eastAsia="等线" w:ascii="Arial" w:cs="Arial" w:hAnsi="Arial"/>
            <w:color w:val="3370ff"/>
            <w:sz w:val="22"/>
            <w:u w:val="single"/>
            <w:shd w:fill="bbbfc4"/>
          </w:rPr>
          <w:t>该法案中哪些信息被视为个人信息的信息</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如需获取这些信息，请发送电子邮件至</w:t>
      </w:r>
      <w:hyperlink r:id="rId33">
        <w:r>
          <w:rPr>
            <w:rFonts w:eastAsia="等线" w:ascii="Arial" w:cs="Arial" w:hAnsi="Arial"/>
            <w:color w:val="3370ff"/>
            <w:sz w:val="22"/>
            <w:u w:val="single"/>
            <w:shd w:fill="bbbfc4"/>
          </w:rPr>
          <w:t>privacy@asknebula.com</w:t>
        </w:r>
      </w:hyperlink>
      <w:r>
        <w:rPr>
          <w:rFonts w:eastAsia="等线" w:ascii="Arial" w:cs="Arial" w:hAnsi="Arial"/>
          <w:sz w:val="22"/>
        </w:rPr>
        <w:t>，邮件主题请注明“加州隐私信息请求”，并在正文中注明您的居住州和电子邮件地址。如果您是加州居民，我们将通过您的电子邮件地址提供所需信息。</w:t>
      </w:r>
    </w:p>
    <w:p>
      <w:pPr>
        <w:spacing w:before="120" w:after="120" w:line="288" w:lineRule="auto"/>
        <w:ind w:left="0"/>
        <w:jc w:val="left"/>
      </w:pPr>
      <w:r>
        <w:rPr>
          <w:rFonts w:eastAsia="等线" w:ascii="Arial" w:cs="Arial" w:hAnsi="Arial"/>
          <w:sz w:val="22"/>
        </w:rPr>
        <w:t>弗吉尼亚州居民</w:t>
      </w:r>
    </w:p>
    <w:p>
      <w:pPr>
        <w:spacing w:before="120" w:after="120" w:line="288" w:lineRule="auto"/>
        <w:ind w:left="0"/>
        <w:jc w:val="left"/>
      </w:pPr>
      <w:r>
        <w:rPr>
          <w:rFonts w:eastAsia="等线" w:ascii="Arial" w:cs="Arial" w:hAnsi="Arial"/>
          <w:sz w:val="22"/>
        </w:rPr>
        <w:t>本部分补充我们的隐私政策，仅适用于您居住在弗吉尼亚州的情况。在适用的情况下，本部分描述了我们如何使用和处理您的个人数据，并解释了您根据《弗吉尼亚州消费者数据隐私法》(VCDPA) 享有的特定权利。</w:t>
      </w:r>
    </w:p>
    <w:p>
      <w:pPr>
        <w:spacing w:before="120" w:after="120" w:line="288" w:lineRule="auto"/>
        <w:ind w:left="0"/>
        <w:jc w:val="left"/>
      </w:pPr>
      <w:r>
        <w:rPr>
          <w:rFonts w:eastAsia="等线" w:ascii="Arial" w:cs="Arial" w:hAnsi="Arial"/>
          <w:sz w:val="22"/>
        </w:rPr>
        <w:t>A. 关于您个人数据使用的披露</w:t>
      </w:r>
    </w:p>
    <w:p>
      <w:pPr>
        <w:spacing w:before="120" w:after="120" w:line="288" w:lineRule="auto"/>
        <w:ind w:left="0"/>
        <w:jc w:val="left"/>
      </w:pPr>
      <w:r>
        <w:rPr>
          <w:rFonts w:eastAsia="等线" w:ascii="Arial" w:cs="Arial" w:hAnsi="Arial"/>
          <w:sz w:val="22"/>
        </w:rPr>
        <w:t>我们可能会收集和使用您的某些信息，其中一些可能是个人数据（例如您的电子邮件地址、出生日期、姓名、身高、体重或其他可能合理与您相关的信息），以便运营服务并最大限度地提升您的体验。</w:t>
      </w:r>
    </w:p>
    <w:p>
      <w:pPr>
        <w:spacing w:before="120" w:after="120" w:line="288" w:lineRule="auto"/>
        <w:ind w:left="0"/>
        <w:jc w:val="left"/>
      </w:pPr>
      <w:r>
        <w:rPr>
          <w:rFonts w:eastAsia="等线" w:ascii="Arial" w:cs="Arial" w:hAnsi="Arial"/>
          <w:sz w:val="22"/>
        </w:rPr>
        <w:t>如果您想了解更多关于我们收集的个人数据类别或目的的信息，请阅读</w:t>
      </w:r>
      <w:hyperlink r:id="rId34">
        <w:r>
          <w:rPr>
            <w:rFonts w:eastAsia="等线" w:ascii="Arial" w:cs="Arial" w:hAnsi="Arial"/>
            <w:color w:val="3370ff"/>
            <w:sz w:val="22"/>
            <w:u w:val="single"/>
            <w:shd w:fill="bbbfc4"/>
          </w:rPr>
          <w:t>第 2 节</w:t>
        </w:r>
      </w:hyperlink>
      <w:r>
        <w:rPr>
          <w:rFonts w:eastAsia="等线" w:ascii="Arial" w:cs="Arial" w:hAnsi="Arial"/>
          <w:sz w:val="22"/>
        </w:rPr>
        <w:t>和</w:t>
      </w:r>
      <w:hyperlink r:id="rId35">
        <w:r>
          <w:rPr>
            <w:rFonts w:eastAsia="等线" w:ascii="Arial" w:cs="Arial" w:hAnsi="Arial"/>
            <w:color w:val="3370ff"/>
            <w:sz w:val="22"/>
            <w:u w:val="single"/>
            <w:shd w:fill="bbbfc4"/>
          </w:rPr>
          <w:t>第 3 节</w:t>
        </w:r>
      </w:hyperlink>
      <w:r>
        <w:rPr>
          <w:rFonts w:eastAsia="等线" w:ascii="Arial" w:cs="Arial" w:hAnsi="Arial"/>
          <w:sz w:val="22"/>
        </w:rPr>
        <w:t>。如需了解更多关于我们与业务合作伙伴和其他第三方共享您的个人数据的信息，请阅读</w:t>
      </w:r>
      <w:hyperlink r:id="rId36">
        <w:r>
          <w:rPr>
            <w:rFonts w:eastAsia="等线" w:ascii="Arial" w:cs="Arial" w:hAnsi="Arial"/>
            <w:color w:val="3370ff"/>
            <w:sz w:val="22"/>
            <w:u w:val="single"/>
            <w:shd w:fill="bbbfc4"/>
          </w:rPr>
          <w:t>第 4 节</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B. 数据权利</w:t>
      </w:r>
    </w:p>
    <w:p>
      <w:pPr>
        <w:spacing w:before="120" w:after="120" w:line="288" w:lineRule="auto"/>
        <w:ind w:left="0"/>
        <w:jc w:val="left"/>
      </w:pPr>
      <w:hyperlink r:id="rId37">
        <w:r>
          <w:rPr>
            <w:rFonts w:eastAsia="等线" w:ascii="Arial" w:cs="Arial" w:hAnsi="Arial"/>
            <w:color w:val="3370ff"/>
            <w:sz w:val="22"/>
            <w:u w:val="single"/>
            <w:shd w:fill="bbbfc4"/>
          </w:rPr>
          <w:t>我们的隐私政策第 5 条</w:t>
        </w:r>
      </w:hyperlink>
      <w:r>
        <w:rPr>
          <w:rFonts w:eastAsia="等线" w:ascii="Arial" w:cs="Arial" w:hAnsi="Arial"/>
          <w:sz w:val="22"/>
        </w:rPr>
        <w:t>描述了我们向所有用户提供的数据权利以及如何行使这些权利。这些权利包括访问、查看、更正、更新您的数据，获取您的数据的可移植副本，以及删除与您存储的偏好设置和您对服务的使用相关的数据。在完成您的请求之前，我们可能需要一些足以验证您身份的信息。</w:t>
      </w:r>
    </w:p>
    <w:p>
      <w:pPr>
        <w:spacing w:before="120" w:after="120" w:line="288" w:lineRule="auto"/>
        <w:ind w:left="0"/>
        <w:jc w:val="left"/>
      </w:pPr>
      <w:r>
        <w:rPr>
          <w:rFonts w:eastAsia="等线" w:ascii="Arial" w:cs="Arial" w:hAnsi="Arial"/>
          <w:sz w:val="22"/>
        </w:rPr>
        <w:t>此外，VCDPA 还为弗吉尼亚州居民提供以下数据权利：</w:t>
      </w:r>
    </w:p>
    <w:p>
      <w:pPr>
        <w:spacing w:before="120" w:after="120" w:line="288" w:lineRule="auto"/>
        <w:ind w:left="0"/>
        <w:jc w:val="left"/>
      </w:pPr>
      <w:r>
        <w:rPr>
          <w:rFonts w:eastAsia="等线" w:ascii="Arial" w:cs="Arial" w:hAnsi="Arial"/>
          <w:sz w:val="22"/>
        </w:rPr>
        <w:t>选择退出针对性广告的个人数据处理</w:t>
      </w:r>
    </w:p>
    <w:p>
      <w:pPr>
        <w:spacing w:before="120" w:after="120" w:line="288" w:lineRule="auto"/>
        <w:ind w:left="0"/>
        <w:jc w:val="left"/>
      </w:pPr>
      <w:r>
        <w:rPr>
          <w:rFonts w:eastAsia="等线" w:ascii="Arial" w:cs="Arial" w:hAnsi="Arial"/>
          <w:sz w:val="22"/>
        </w:rPr>
        <w:t>。为了行使您作为弗吉尼亚州居民的选择权，请发送电子邮件至</w:t>
      </w:r>
      <w:hyperlink r:id="rId38">
        <w:r>
          <w:rPr>
            <w:rFonts w:eastAsia="等线" w:ascii="Arial" w:cs="Arial" w:hAnsi="Arial"/>
            <w:color w:val="3370ff"/>
            <w:sz w:val="22"/>
            <w:u w:val="single"/>
            <w:shd w:fill="bbbfc4"/>
          </w:rPr>
          <w:t>privacy@asknebula.com</w:t>
        </w:r>
      </w:hyperlink>
      <w:r>
        <w:rPr>
          <w:rFonts w:eastAsia="等线" w:ascii="Arial" w:cs="Arial" w:hAnsi="Arial"/>
          <w:sz w:val="22"/>
        </w:rPr>
        <w:t>。请注意，我们不会为了进一步做出对消费者产生法律或类似重大影响的决策而处理个人数据。</w:t>
      </w:r>
    </w:p>
    <w:p>
      <w:pPr>
        <w:spacing w:before="120" w:after="120" w:line="288" w:lineRule="auto"/>
        <w:ind w:left="0"/>
        <w:jc w:val="left"/>
      </w:pPr>
      <w:r>
        <w:rPr>
          <w:rFonts w:eastAsia="等线" w:ascii="Arial" w:cs="Arial" w:hAnsi="Arial"/>
          <w:sz w:val="22"/>
        </w:rPr>
        <w:t>确认您的个人数据是否正在被处理</w:t>
      </w:r>
    </w:p>
    <w:p>
      <w:pPr>
        <w:spacing w:before="120" w:after="120" w:line="288" w:lineRule="auto"/>
        <w:ind w:left="0"/>
        <w:jc w:val="left"/>
      </w:pPr>
      <w:r>
        <w:rPr>
          <w:rFonts w:eastAsia="等线" w:ascii="Arial" w:cs="Arial" w:hAnsi="Arial"/>
          <w:sz w:val="22"/>
        </w:rPr>
        <w:t>。您可以通过发送电子邮件至</w:t>
      </w:r>
      <w:hyperlink r:id="rId39">
        <w:r>
          <w:rPr>
            <w:rFonts w:eastAsia="等线" w:ascii="Arial" w:cs="Arial" w:hAnsi="Arial"/>
            <w:color w:val="3370ff"/>
            <w:sz w:val="22"/>
            <w:u w:val="single"/>
            <w:shd w:fill="bbbfc4"/>
          </w:rPr>
          <w:t>privacy@asknebula.com</w:t>
        </w:r>
      </w:hyperlink>
      <w:r>
        <w:rPr>
          <w:rFonts w:eastAsia="等线" w:ascii="Arial" w:cs="Arial" w:hAnsi="Arial"/>
          <w:sz w:val="22"/>
        </w:rPr>
        <w:t>来确认您的个人数据是否正在被处理。</w:t>
      </w:r>
    </w:p>
    <w:p>
      <w:pPr>
        <w:spacing w:before="120" w:after="120" w:line="288" w:lineRule="auto"/>
        <w:ind w:left="0"/>
        <w:jc w:val="left"/>
      </w:pPr>
      <w:r>
        <w:rPr>
          <w:rFonts w:eastAsia="等线" w:ascii="Arial" w:cs="Arial" w:hAnsi="Arial"/>
          <w:sz w:val="22"/>
        </w:rPr>
        <w:t>就您的请求提起申诉</w:t>
      </w:r>
    </w:p>
    <w:p>
      <w:pPr>
        <w:spacing w:before="120" w:after="120" w:line="288" w:lineRule="auto"/>
        <w:ind w:left="0"/>
        <w:jc w:val="left"/>
      </w:pPr>
      <w:r>
        <w:rPr>
          <w:rFonts w:eastAsia="等线" w:ascii="Arial" w:cs="Arial" w:hAnsi="Arial"/>
          <w:sz w:val="22"/>
        </w:rPr>
        <w:t>。如果我们拒绝处理您的数据权利请求或已驳回您的请求，您可以通过 privacy@asknebula.com 联系我们，就此决定提起申诉。请在邮件主题中注明“就隐私请求被拒采取行动提起申诉”，并在邮件中提供相关信息。收到您的申诉后，我们将在 60 天内以书面形式通知您已采取或未采取的任何行动，并书面解释相关决定的理由。</w:t>
      </w:r>
    </w:p>
    <w:p>
      <w:pPr>
        <w:spacing w:before="120" w:after="120" w:line="288" w:lineRule="auto"/>
        <w:ind w:left="0"/>
        <w:jc w:val="left"/>
      </w:pPr>
      <w:hyperlink r:id="rId40">
        <w:r>
          <w:rPr>
            <w:rFonts w:eastAsia="等线" w:ascii="Arial" w:cs="Arial" w:hAnsi="Arial"/>
            <w:color w:val="3370ff"/>
            <w:sz w:val="22"/>
            <w:u w:val="single"/>
            <w:shd w:fill="bbbfc4"/>
          </w:rPr>
          <w:t>如果您的上诉被驳回，您可以通过www.virginia.gov/agencies/office-of-the-attorney-general/#vagov</w:t>
        </w:r>
      </w:hyperlink>
      <w:r>
        <w:rPr>
          <w:rFonts w:eastAsia="等线" w:ascii="Arial" w:cs="Arial" w:hAnsi="Arial"/>
          <w:sz w:val="22"/>
        </w:rPr>
        <w:t>上的联系方式联系弗吉尼亚州总检察长办公室。</w:t>
      </w:r>
    </w:p>
    <w:p>
      <w:pPr>
        <w:spacing w:before="120" w:after="120" w:line="288" w:lineRule="auto"/>
        <w:ind w:left="0"/>
        <w:jc w:val="left"/>
      </w:pPr>
      <w:r>
        <w:rPr>
          <w:rFonts w:eastAsia="等线" w:ascii="Arial" w:cs="Arial" w:hAnsi="Arial"/>
          <w:sz w:val="22"/>
        </w:rPr>
        <w:t>数据保留</w:t>
      </w:r>
    </w:p>
    <w:p>
      <w:pPr>
        <w:spacing w:before="120" w:after="120" w:line="288" w:lineRule="auto"/>
        <w:ind w:left="0"/>
        <w:jc w:val="left"/>
      </w:pPr>
      <w:r>
        <w:rPr>
          <w:rFonts w:eastAsia="等线" w:ascii="Arial" w:cs="Arial" w:hAnsi="Arial"/>
          <w:sz w:val="22"/>
        </w:rPr>
        <w:t>我们将在实现本隐私政策和使用条款和条件（包括向您提供服务）中规定的目的合理必要的时间内存储您的个人数据，这包括（但不限于）您拥有应用程序帐户的期间。我们还将根据需要保留和使用您的个人数据，以遵守我们的法律义务、解决争议和执行我们的协议。例如，根据某些会计和税法，我们需要长期存储支付数据以遵守我们所遵守的法律。因此，即使您提交了数据删除请求，在请求得到满足后，与我们的合规义务相关的一小部分数据仍将被存储。</w:t>
      </w:r>
    </w:p>
    <w:p>
      <w:pPr>
        <w:spacing w:before="120" w:after="120" w:line="288" w:lineRule="auto"/>
        <w:ind w:left="0"/>
        <w:jc w:val="left"/>
      </w:pPr>
      <w:r>
        <w:rPr>
          <w:rFonts w:eastAsia="等线" w:ascii="Arial" w:cs="Arial" w:hAnsi="Arial"/>
          <w:sz w:val="22"/>
        </w:rPr>
        <w:t>如何处理“禁止追踪”请求</w:t>
      </w:r>
    </w:p>
    <w:p>
      <w:pPr>
        <w:spacing w:before="120" w:after="120" w:line="288" w:lineRule="auto"/>
        <w:ind w:left="0"/>
        <w:jc w:val="left"/>
      </w:pPr>
      <w:r>
        <w:rPr>
          <w:rFonts w:eastAsia="等线" w:ascii="Arial" w:cs="Arial" w:hAnsi="Arial"/>
          <w:sz w:val="22"/>
        </w:rPr>
        <w:t>除本隐私政策另有规定外，本应用不支持“不追踪”请求。如需确定其使用的任何第三方服务是否遵守“不追踪”请求，请阅读其隐私政策。</w:t>
      </w:r>
    </w:p>
    <w:p>
      <w:pPr>
        <w:spacing w:before="120" w:after="120" w:line="288" w:lineRule="auto"/>
        <w:ind w:left="0"/>
        <w:jc w:val="left"/>
      </w:pPr>
      <w:r>
        <w:rPr>
          <w:rFonts w:eastAsia="等线" w:ascii="Arial" w:cs="Arial" w:hAnsi="Arial"/>
          <w:sz w:val="22"/>
        </w:rPr>
        <w:t>联系我们</w:t>
      </w:r>
    </w:p>
    <w:p>
      <w:pPr>
        <w:spacing w:before="120" w:after="120" w:line="288" w:lineRule="auto"/>
        <w:ind w:left="0"/>
        <w:jc w:val="left"/>
      </w:pPr>
      <w:r>
        <w:rPr>
          <w:rFonts w:eastAsia="等线" w:ascii="Arial" w:cs="Arial" w:hAnsi="Arial"/>
          <w:sz w:val="22"/>
        </w:rPr>
        <w:t>您可以随时联系我们，了解本隐私政策及其先前版本的详细信息。如有任何关于您帐户或个人数据的问题，请通过</w:t>
      </w:r>
      <w:hyperlink r:id="rId41">
        <w:r>
          <w:rPr>
            <w:rFonts w:eastAsia="等线" w:ascii="Arial" w:cs="Arial" w:hAnsi="Arial"/>
            <w:color w:val="3370ff"/>
            <w:sz w:val="22"/>
            <w:u w:val="single"/>
            <w:shd w:fill="bbbfc4"/>
          </w:rPr>
          <w:t>privacy@asknebula.com</w:t>
        </w:r>
      </w:hyperlink>
      <w:r>
        <w:rPr>
          <w:rFonts w:eastAsia="等线" w:ascii="Arial" w:cs="Arial" w:hAnsi="Arial"/>
          <w:sz w:val="22"/>
        </w:rPr>
        <w:t>联系我们。</w:t>
      </w:r>
    </w:p>
    <w:p>
      <w:pPr>
        <w:spacing w:before="120" w:after="120" w:line="288" w:lineRule="auto"/>
        <w:ind w:left="0"/>
        <w:jc w:val="left"/>
      </w:pPr>
      <w:r>
        <w:rPr>
          <w:rFonts w:eastAsia="等线" w:ascii="Arial" w:cs="Arial" w:hAnsi="Arial"/>
          <w:sz w:val="22"/>
        </w:rPr>
        <w:t>生效日期：2025年7月14日</w:t>
      </w:r>
    </w:p>
    <w:sectPr>
      <w:footerReference w:type="default" r:id="rId3"/>
      <w:headerReference w:type="default" r:id="rId4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asknebula.com/app/privacy#section3" TargetMode="External" Type="http://schemas.openxmlformats.org/officeDocument/2006/relationships/hyperlink"/><Relationship Id="rId11" Target="https://asknebula.com/app/privacy#section4" TargetMode="External" Type="http://schemas.openxmlformats.org/officeDocument/2006/relationships/hyperlink"/><Relationship Id="rId12" Target="https://asknebula.com/app/privacy#section5" TargetMode="External" Type="http://schemas.openxmlformats.org/officeDocument/2006/relationships/hyperlink"/><Relationship Id="rId13" Target="https://asknebula.com/app/privacy#section6" TargetMode="External" Type="http://schemas.openxmlformats.org/officeDocument/2006/relationships/hyperlink"/><Relationship Id="rId14" Target="https://asknebula.com/app/privacy#section7" TargetMode="External" Type="http://schemas.openxmlformats.org/officeDocument/2006/relationships/hyperlink"/><Relationship Id="rId15" Target="https://asknebula.com/app/privacy#section8" TargetMode="External" Type="http://schemas.openxmlformats.org/officeDocument/2006/relationships/hyperlink"/><Relationship Id="rId16" Target="https://asknebula.com/app/privacy#section9" TargetMode="External" Type="http://schemas.openxmlformats.org/officeDocument/2006/relationships/hyperlink"/><Relationship Id="rId17" Target="https://asknebula.com/app/privacy#section10" TargetMode="External" Type="http://schemas.openxmlformats.org/officeDocument/2006/relationships/hyperlink"/><Relationship Id="rId18" Target="https://asknebula.com/app/privacy#section11" TargetMode="External" Type="http://schemas.openxmlformats.org/officeDocument/2006/relationships/hyperlink"/><Relationship Id="rId19" Target="https://asknebula.com/app/privacy#section12" TargetMode="External" Type="http://schemas.openxmlformats.org/officeDocument/2006/relationships/hyperlink"/><Relationship Id="rId2" Target="styles.xml" Type="http://schemas.openxmlformats.org/officeDocument/2006/relationships/styles"/><Relationship Id="rId20" Target="https://asknebula.com/app/privacy#section13" TargetMode="External" Type="http://schemas.openxmlformats.org/officeDocument/2006/relationships/hyperlink"/><Relationship Id="rId21" Target="embeddings/Microsoft_Excel_Worksheet1.xlsx" Type="http://schemas.openxmlformats.org/officeDocument/2006/relationships/package"/><Relationship Id="rId22" Target="media/image1.png" Type="http://schemas.openxmlformats.org/officeDocument/2006/relationships/image"/><Relationship Id="rId23" Target="https://asknebula.com/app/privacy#section3" TargetMode="External" Type="http://schemas.openxmlformats.org/officeDocument/2006/relationships/hyperlink"/><Relationship Id="rId24" Target="mailto:privacy@asknebula.com" TargetMode="External" Type="http://schemas.openxmlformats.org/officeDocument/2006/relationships/hyperlink"/><Relationship Id="rId25" Target="mailto:privacy@asknebula.com" TargetMode="External" Type="http://schemas.openxmlformats.org/officeDocument/2006/relationships/hyperlink"/><Relationship Id="rId26" Target="https://www.edpb.europa.eu/about-edpb/about-edpb/members_en" TargetMode="External" Type="http://schemas.openxmlformats.org/officeDocument/2006/relationships/hyperlink"/><Relationship Id="rId27" Target="mailto:privacy@asknebula.com" TargetMode="External" Type="http://schemas.openxmlformats.org/officeDocument/2006/relationships/hyperlink"/><Relationship Id="rId28" Target="mailto:privacy@asknebula.com" TargetMode="External" Type="http://schemas.openxmlformats.org/officeDocument/2006/relationships/hyperlink"/><Relationship Id="rId29" Target="https://asknebula.com/terms" TargetMode="External" Type="http://schemas.openxmlformats.org/officeDocument/2006/relationships/hyperlink"/><Relationship Id="rId3" Target="footer1.xml" Type="http://schemas.openxmlformats.org/officeDocument/2006/relationships/footer"/><Relationship Id="rId30" Target="https://ec.europa.eu/info/law/law-topic/data-protection/data-transfers-outside-eu/model-contracts-transfer-personal-data-third-countries_en" TargetMode="External" Type="http://schemas.openxmlformats.org/officeDocument/2006/relationships/hyperlink"/><Relationship Id="rId31" Target="https://ec.europa.eu/info/law/law-topic/data-protection/data-transfers-outside-eu/adequacy-protection-personal-data-non-eu-countries_en" TargetMode="External" Type="http://schemas.openxmlformats.org/officeDocument/2006/relationships/hyperlink"/><Relationship Id="rId32" Target="http://leginfo.legislature.ca.gov/faces/codes_displaySection.xhtml?lawCode=CIV&amp;sectionNum=1798.81.5" TargetMode="External" Type="http://schemas.openxmlformats.org/officeDocument/2006/relationships/hyperlink"/><Relationship Id="rId33" Target="mailto:privacy@asknebula.com" TargetMode="External" Type="http://schemas.openxmlformats.org/officeDocument/2006/relationships/hyperlink"/><Relationship Id="rId34" Target="https://asknebula.com/app/privacy#section2" TargetMode="External" Type="http://schemas.openxmlformats.org/officeDocument/2006/relationships/hyperlink"/><Relationship Id="rId35" Target="https://asknebula.com/app/privacy#section3" TargetMode="External" Type="http://schemas.openxmlformats.org/officeDocument/2006/relationships/hyperlink"/><Relationship Id="rId36" Target="https://asknebula.com/app/privacy#section4" TargetMode="External" Type="http://schemas.openxmlformats.org/officeDocument/2006/relationships/hyperlink"/><Relationship Id="rId37" Target="https://asknebula.com/app/privacy#section5" TargetMode="External" Type="http://schemas.openxmlformats.org/officeDocument/2006/relationships/hyperlink"/><Relationship Id="rId38" Target="mailto:privacy@asknebula.com" TargetMode="External" Type="http://schemas.openxmlformats.org/officeDocument/2006/relationships/hyperlink"/><Relationship Id="rId39" Target="mailto:privacy@asknebula.com" TargetMode="External" Type="http://schemas.openxmlformats.org/officeDocument/2006/relationships/hyperlink"/><Relationship Id="rId4" Target="https://asknebula.com/app/privacy#section3" TargetMode="External" Type="http://schemas.openxmlformats.org/officeDocument/2006/relationships/hyperlink"/><Relationship Id="rId40" Target="https://www.virginia.gov/agencies/office-of-the-attorney-general/#vagov" TargetMode="External" Type="http://schemas.openxmlformats.org/officeDocument/2006/relationships/hyperlink"/><Relationship Id="rId41" Target="mailto:privacy@asknebula.com" TargetMode="External" Type="http://schemas.openxmlformats.org/officeDocument/2006/relationships/hyperlink"/><Relationship Id="rId42" Target="header1.xml" Type="http://schemas.openxmlformats.org/officeDocument/2006/relationships/header"/><Relationship Id="rId5" Target="https://asknebula.com/app/privacy#section5" TargetMode="External" Type="http://schemas.openxmlformats.org/officeDocument/2006/relationships/hyperlink"/><Relationship Id="rId6" Target="https://asknebula.com/app/privacy#section1" TargetMode="External" Type="http://schemas.openxmlformats.org/officeDocument/2006/relationships/hyperlink"/><Relationship Id="rId7" Target="mailto:privacy@asknebula.com" TargetMode="External" Type="http://schemas.openxmlformats.org/officeDocument/2006/relationships/hyperlink"/><Relationship Id="rId8" Target="https://asknebula.com/app/privacy#section1" TargetMode="External" Type="http://schemas.openxmlformats.org/officeDocument/2006/relationships/hyperlink"/><Relationship Id="rId9" Target="https://asknebula.com/app/privacy#section2"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2025-08-18T06:08:05Z</dcterms:created>
  <dc:creator>Apache POI</dc:creator>
</cp:coreProperties>
</file>