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5.NEBULA 付款条款</w:t>
      </w:r>
    </w:p>
    <w:p>
      <w:pPr>
        <w:pStyle w:val="1"/>
        <w:spacing w:before="380" w:after="140" w:line="288" w:lineRule="auto"/>
        <w:ind w:left="0"/>
        <w:jc w:val="left"/>
        <w:outlineLvl w:val="0"/>
      </w:pPr>
      <w:bookmarkStart w:name="heading_0" w:id="0"/>
      <w:r>
        <w:rPr>
          <w:rFonts w:eastAsia="等线" w:ascii="Arial" w:cs="Arial" w:hAnsi="Arial"/>
          <w:b w:val="true"/>
          <w:sz w:val="36"/>
        </w:rPr>
        <w:t>付款条款</w:t>
      </w:r>
      <w:bookmarkEnd w:id="0"/>
    </w:p>
    <w:p>
      <w:pPr>
        <w:pStyle w:val="3"/>
        <w:spacing w:before="300" w:after="120" w:line="288" w:lineRule="auto"/>
        <w:ind w:left="0"/>
        <w:jc w:val="left"/>
        <w:outlineLvl w:val="2"/>
      </w:pPr>
      <w:bookmarkStart w:name="heading_1" w:id="1"/>
      <w:r>
        <w:rPr>
          <w:rFonts w:eastAsia="等线" w:ascii="Arial" w:cs="Arial" w:hAnsi="Arial"/>
          <w:b w:val="true"/>
          <w:sz w:val="30"/>
        </w:rPr>
        <w:t>生效日期：2021年5月19日</w:t>
      </w:r>
      <w:bookmarkEnd w:id="1"/>
    </w:p>
    <w:p>
      <w:pPr>
        <w:numPr>
          <w:numId w:val="1"/>
        </w:numPr>
        <w:spacing w:before="120" w:after="120" w:line="288" w:lineRule="auto"/>
        <w:ind w:left="0"/>
        <w:jc w:val="left"/>
      </w:pPr>
      <w:r>
        <w:rPr>
          <w:rFonts w:eastAsia="等线" w:ascii="Arial" w:cs="Arial" w:hAnsi="Arial"/>
          <w:b w:val="true"/>
          <w:sz w:val="22"/>
        </w:rPr>
        <w:t>致谢</w:t>
      </w:r>
    </w:p>
    <w:p>
      <w:pPr>
        <w:numPr>
          <w:numId w:val="2"/>
        </w:numPr>
        <w:spacing w:before="120" w:after="120" w:line="288" w:lineRule="auto"/>
        <w:ind w:left="0"/>
        <w:jc w:val="left"/>
      </w:pPr>
      <w:r>
        <w:rPr>
          <w:rFonts w:eastAsia="等线" w:ascii="Arial" w:cs="Arial" w:hAnsi="Arial"/>
          <w:sz w:val="22"/>
        </w:rPr>
        <w:t>要访问网站的某些功能，您应购买信用额度（“信用额度”）来充值您的信用余额（“信用余额”）。</w:t>
      </w:r>
    </w:p>
    <w:p>
      <w:pPr>
        <w:numPr>
          <w:numId w:val="3"/>
        </w:numPr>
        <w:spacing w:before="120" w:after="120" w:line="288" w:lineRule="auto"/>
        <w:ind w:left="0"/>
        <w:jc w:val="left"/>
      </w:pPr>
      <w:r>
        <w:rPr>
          <w:rFonts w:eastAsia="等线" w:ascii="Arial" w:cs="Arial" w:hAnsi="Arial"/>
          <w:sz w:val="22"/>
        </w:rPr>
        <w:t>当您按分钟访问网站的付费功能时，积分将从您的信用余额中扣除。每分钟开始时，将从您的信用余额中扣除 30 个积分。</w:t>
      </w:r>
    </w:p>
    <w:p>
      <w:pPr>
        <w:numPr>
          <w:numId w:val="4"/>
        </w:numPr>
        <w:spacing w:before="120" w:after="120" w:line="288" w:lineRule="auto"/>
        <w:ind w:left="0"/>
        <w:jc w:val="left"/>
      </w:pPr>
      <w:r>
        <w:rPr>
          <w:rFonts w:eastAsia="等线" w:ascii="Arial" w:cs="Arial" w:hAnsi="Arial"/>
          <w:b w:val="true"/>
          <w:sz w:val="22"/>
        </w:rPr>
        <w:t>自动账户充值</w:t>
      </w:r>
    </w:p>
    <w:p>
      <w:pPr>
        <w:numPr>
          <w:numId w:val="5"/>
        </w:numPr>
        <w:spacing w:before="120" w:after="120" w:line="288" w:lineRule="auto"/>
        <w:ind w:left="0"/>
        <w:jc w:val="left"/>
      </w:pPr>
      <w:r>
        <w:rPr>
          <w:rFonts w:eastAsia="等线" w:ascii="Arial" w:cs="Arial" w:hAnsi="Arial"/>
          <w:sz w:val="22"/>
        </w:rPr>
        <w:t>您还可以使用自动充值功能，不间断地使用网站功能和您的阅读。此功能允许信用余额自动续订。</w:t>
      </w:r>
    </w:p>
    <w:p>
      <w:pPr>
        <w:numPr>
          <w:numId w:val="6"/>
        </w:numPr>
        <w:spacing w:before="120" w:after="120" w:line="288" w:lineRule="auto"/>
        <w:ind w:left="0"/>
        <w:jc w:val="left"/>
      </w:pPr>
      <w:r>
        <w:rPr>
          <w:rFonts w:eastAsia="等线" w:ascii="Arial" w:cs="Arial" w:hAnsi="Arial"/>
          <w:sz w:val="22"/>
        </w:rPr>
        <w:t>您可以明确授权我们在您的信用余额不足以支付下一分钟的聊天费用时自动将您的信用余额充值到您选择的套餐中，直到您取消为止。</w:t>
      </w:r>
    </w:p>
    <w:p>
      <w:pPr>
        <w:numPr>
          <w:numId w:val="7"/>
        </w:numPr>
        <w:spacing w:before="120" w:after="120" w:line="288" w:lineRule="auto"/>
        <w:ind w:left="0"/>
        <w:jc w:val="left"/>
      </w:pPr>
      <w:r>
        <w:rPr>
          <w:rFonts w:eastAsia="等线" w:ascii="Arial" w:cs="Arial" w:hAnsi="Arial"/>
          <w:sz w:val="22"/>
        </w:rPr>
        <w:t>每当您充值余额时，您都会收到通知。您可以通过</w:t>
      </w:r>
      <w:hyperlink r:id="rId5">
        <w:r>
          <w:rPr>
            <w:rFonts w:eastAsia="等线" w:ascii="Arial" w:cs="Arial" w:hAnsi="Arial"/>
            <w:color w:val="3370ff"/>
            <w:sz w:val="22"/>
          </w:rPr>
          <w:t>账户设置</w:t>
        </w:r>
      </w:hyperlink>
      <w:r>
        <w:rPr>
          <w:rFonts w:eastAsia="等线" w:ascii="Arial" w:cs="Arial" w:hAnsi="Arial"/>
          <w:sz w:val="22"/>
        </w:rPr>
        <w:t>停用此功能。</w:t>
      </w:r>
    </w:p>
    <w:p>
      <w:pPr>
        <w:numPr>
          <w:numId w:val="8"/>
        </w:numPr>
        <w:spacing w:before="120" w:after="120" w:line="288" w:lineRule="auto"/>
        <w:ind w:left="0"/>
        <w:jc w:val="left"/>
      </w:pPr>
      <w:r>
        <w:rPr>
          <w:rFonts w:eastAsia="等线" w:ascii="Arial" w:cs="Arial" w:hAnsi="Arial"/>
          <w:b w:val="true"/>
          <w:sz w:val="22"/>
        </w:rPr>
        <w:t>付款方式</w:t>
      </w:r>
    </w:p>
    <w:p>
      <w:pPr>
        <w:numPr>
          <w:numId w:val="9"/>
        </w:numPr>
        <w:spacing w:before="120" w:after="120" w:line="288" w:lineRule="auto"/>
        <w:ind w:left="0"/>
        <w:jc w:val="left"/>
      </w:pPr>
      <w:r>
        <w:rPr>
          <w:rFonts w:eastAsia="等线" w:ascii="Arial" w:cs="Arial" w:hAnsi="Arial"/>
          <w:sz w:val="22"/>
        </w:rPr>
        <w:t>为了充值您的信用余额，我们将在确认购买时通过您提交的付款方式扣款。您授权我们从您提交的付款方式中扣除相应费用。</w:t>
      </w:r>
    </w:p>
    <w:p>
      <w:pPr>
        <w:numPr>
          <w:numId w:val="10"/>
        </w:numPr>
        <w:spacing w:before="120" w:after="120" w:line="288" w:lineRule="auto"/>
        <w:ind w:left="0"/>
        <w:jc w:val="left"/>
      </w:pPr>
      <w:r>
        <w:rPr>
          <w:rFonts w:eastAsia="等线" w:ascii="Arial" w:cs="Arial" w:hAnsi="Arial"/>
          <w:b w:val="true"/>
          <w:sz w:val="22"/>
        </w:rPr>
        <w:t>消除</w:t>
      </w:r>
    </w:p>
    <w:p>
      <w:pPr>
        <w:numPr>
          <w:numId w:val="11"/>
        </w:numPr>
        <w:spacing w:before="120" w:after="120" w:line="288" w:lineRule="auto"/>
        <w:ind w:left="0"/>
        <w:jc w:val="left"/>
      </w:pPr>
      <w:r>
        <w:rPr>
          <w:rFonts w:eastAsia="等线" w:ascii="Arial" w:cs="Arial" w:hAnsi="Arial"/>
          <w:sz w:val="22"/>
        </w:rPr>
        <w:t>如果您取消信用余额的自动充值，该功能将被禁用，但您仍然可以使用信用余额中剩余的所有信用额。</w:t>
      </w:r>
    </w:p>
    <w:p>
      <w:pPr>
        <w:numPr>
          <w:numId w:val="12"/>
        </w:numPr>
        <w:spacing w:before="120" w:after="120" w:line="288" w:lineRule="auto"/>
        <w:ind w:left="0"/>
        <w:jc w:val="left"/>
      </w:pPr>
      <w:hyperlink r:id="rId6">
        <w:r>
          <w:rPr>
            <w:rFonts w:eastAsia="等线" w:ascii="Arial" w:cs="Arial" w:hAnsi="Arial"/>
            <w:color w:val="3370ff"/>
            <w:sz w:val="22"/>
          </w:rPr>
          <w:t>您可以在帐户设置页面</w:t>
        </w:r>
      </w:hyperlink>
      <w:r>
        <w:rPr>
          <w:rFonts w:eastAsia="等线" w:ascii="Arial" w:cs="Arial" w:hAnsi="Arial"/>
          <w:sz w:val="22"/>
        </w:rPr>
        <w:t>关闭自动信用余额充值功能，以取消此功能。</w:t>
      </w:r>
    </w:p>
    <w:p>
      <w:pPr>
        <w:numPr>
          <w:numId w:val="13"/>
        </w:numPr>
        <w:spacing w:before="120" w:after="120" w:line="288" w:lineRule="auto"/>
        <w:ind w:left="0"/>
        <w:jc w:val="left"/>
      </w:pPr>
      <w:r>
        <w:rPr>
          <w:rFonts w:eastAsia="等线" w:ascii="Arial" w:cs="Arial" w:hAnsi="Arial"/>
          <w:b w:val="true"/>
          <w:sz w:val="22"/>
        </w:rPr>
        <w:t>没收学分</w:t>
      </w:r>
    </w:p>
    <w:p>
      <w:pPr>
        <w:numPr>
          <w:numId w:val="14"/>
        </w:numPr>
        <w:spacing w:before="120" w:after="120" w:line="288" w:lineRule="auto"/>
        <w:ind w:left="0"/>
        <w:jc w:val="left"/>
      </w:pPr>
      <w:r>
        <w:rPr>
          <w:rFonts w:eastAsia="等线" w:ascii="Arial" w:cs="Arial" w:hAnsi="Arial"/>
          <w:sz w:val="22"/>
        </w:rPr>
        <w:t>如果您的帐户因任何原因被暂停或终止，我们有权自行决定不经事先通知，所有积分可能被没收，包括但不限于以下原因：</w:t>
      </w:r>
    </w:p>
    <w:p>
      <w:pPr>
        <w:numPr>
          <w:numId w:val="15"/>
        </w:numPr>
        <w:spacing w:before="120" w:after="120" w:line="288" w:lineRule="auto"/>
        <w:ind w:left="453"/>
        <w:jc w:val="left"/>
      </w:pPr>
      <w:r>
        <w:rPr>
          <w:rFonts w:eastAsia="等线" w:ascii="Arial" w:cs="Arial" w:hAnsi="Arial"/>
          <w:sz w:val="22"/>
        </w:rPr>
        <w:t>您在本网站的帐户一年内处于非活动状态（即未使用或登录）；</w:t>
      </w:r>
    </w:p>
    <w:p>
      <w:pPr>
        <w:numPr>
          <w:numId w:val="16"/>
        </w:numPr>
        <w:spacing w:before="120" w:after="120" w:line="288" w:lineRule="auto"/>
        <w:ind w:left="453"/>
        <w:jc w:val="left"/>
      </w:pPr>
      <w:r>
        <w:rPr>
          <w:rFonts w:eastAsia="等线" w:ascii="Arial" w:cs="Arial" w:hAnsi="Arial"/>
          <w:sz w:val="22"/>
        </w:rPr>
        <w:t>您未能遵守网站上发布的任何文件（使用条款和条件、隐私政策、实时聊天规则）；</w:t>
      </w:r>
    </w:p>
    <w:p>
      <w:pPr>
        <w:numPr>
          <w:numId w:val="17"/>
        </w:numPr>
        <w:spacing w:before="120" w:after="120" w:line="288" w:lineRule="auto"/>
        <w:ind w:left="453"/>
        <w:jc w:val="left"/>
      </w:pPr>
      <w:r>
        <w:rPr>
          <w:rFonts w:eastAsia="等线" w:ascii="Arial" w:cs="Arial" w:hAnsi="Arial"/>
          <w:sz w:val="22"/>
        </w:rPr>
        <w:t>我们怀疑您存在欺诈或滥用信用额度和服务的行为；</w:t>
      </w:r>
    </w:p>
    <w:p>
      <w:pPr>
        <w:numPr>
          <w:numId w:val="18"/>
        </w:numPr>
        <w:spacing w:before="120" w:after="120" w:line="288" w:lineRule="auto"/>
        <w:ind w:left="453"/>
        <w:jc w:val="left"/>
      </w:pPr>
      <w:r>
        <w:rPr>
          <w:rFonts w:eastAsia="等线" w:ascii="Arial" w:cs="Arial" w:hAnsi="Arial"/>
          <w:sz w:val="22"/>
        </w:rPr>
        <w:t>我们怀疑您的帐户存在任何其他非法活动；</w:t>
      </w:r>
    </w:p>
    <w:p>
      <w:pPr>
        <w:numPr>
          <w:numId w:val="19"/>
        </w:numPr>
        <w:spacing w:before="120" w:after="120" w:line="288" w:lineRule="auto"/>
        <w:ind w:left="453"/>
        <w:jc w:val="left"/>
      </w:pPr>
      <w:r>
        <w:rPr>
          <w:rFonts w:eastAsia="等线" w:ascii="Arial" w:cs="Arial" w:hAnsi="Arial"/>
          <w:sz w:val="22"/>
        </w:rPr>
        <w:t>我们正在采取行动保护服务、我们的任何用户、通灵者或我们的声誉。</w:t>
      </w:r>
    </w:p>
    <w:p>
      <w:pPr>
        <w:numPr>
          <w:numId w:val="20"/>
        </w:numPr>
        <w:spacing w:before="120" w:after="120" w:line="288" w:lineRule="auto"/>
        <w:ind w:left="0"/>
        <w:jc w:val="left"/>
      </w:pPr>
      <w:r>
        <w:rPr>
          <w:rFonts w:eastAsia="等线" w:ascii="Arial" w:cs="Arial" w:hAnsi="Arial"/>
          <w:sz w:val="22"/>
        </w:rPr>
        <w:t>当您的帐户关闭时，无论自愿还是非自愿，您将不会收到未使用信用额的金钱或其他补偿。</w:t>
      </w:r>
    </w:p>
    <w:p>
      <w:pPr>
        <w:numPr>
          <w:numId w:val="21"/>
        </w:numPr>
        <w:spacing w:before="120" w:after="120" w:line="288" w:lineRule="auto"/>
        <w:ind w:left="0"/>
        <w:jc w:val="left"/>
      </w:pPr>
      <w:r>
        <w:rPr>
          <w:rFonts w:eastAsia="等线" w:ascii="Arial" w:cs="Arial" w:hAnsi="Arial"/>
          <w:b w:val="true"/>
          <w:sz w:val="22"/>
        </w:rPr>
        <w:t>变化</w:t>
      </w:r>
    </w:p>
    <w:p>
      <w:pPr>
        <w:numPr>
          <w:numId w:val="22"/>
        </w:numPr>
        <w:spacing w:before="120" w:after="120" w:line="288" w:lineRule="auto"/>
        <w:ind w:left="0"/>
        <w:jc w:val="left"/>
      </w:pPr>
      <w:r>
        <w:rPr>
          <w:rFonts w:eastAsia="等线" w:ascii="Arial" w:cs="Arial" w:hAnsi="Arial"/>
          <w:sz w:val="22"/>
        </w:rPr>
        <w:t>在适用法律允许的最大范围内，我们可能随时更改付款条款。我们将通过在网站上发布新条款、发送电子邮件通知或以其他显著方式向您发出合理通知，告知您任何此类变更。如果您不想支付新费用，您可以在变更生效前取消自动充值。</w:t>
      </w:r>
    </w:p>
    <w:p>
      <w:pPr>
        <w:numPr>
          <w:numId w:val="23"/>
        </w:numPr>
        <w:spacing w:before="120" w:after="120" w:line="288" w:lineRule="auto"/>
        <w:ind w:left="0"/>
        <w:jc w:val="left"/>
      </w:pPr>
      <w:r>
        <w:rPr>
          <w:rFonts w:eastAsia="等线" w:ascii="Arial" w:cs="Arial" w:hAnsi="Arial"/>
          <w:b w:val="true"/>
          <w:sz w:val="22"/>
        </w:rPr>
        <w:t>退款</w:t>
      </w:r>
    </w:p>
    <w:p>
      <w:pPr>
        <w:numPr>
          <w:numId w:val="24"/>
        </w:numPr>
        <w:spacing w:before="120" w:after="120" w:line="288" w:lineRule="auto"/>
        <w:ind w:left="0"/>
        <w:jc w:val="left"/>
      </w:pPr>
      <w:hyperlink r:id="rId7">
        <w:r>
          <w:rPr>
            <w:rFonts w:eastAsia="等线" w:ascii="Arial" w:cs="Arial" w:hAnsi="Arial"/>
            <w:color w:val="3370ff"/>
            <w:sz w:val="22"/>
          </w:rPr>
          <w:t>退款规则在我们的使用条款和条件</w:t>
        </w:r>
      </w:hyperlink>
      <w:r>
        <w:rPr>
          <w:rFonts w:eastAsia="等线" w:ascii="Arial" w:cs="Arial" w:hAnsi="Arial"/>
          <w:sz w:val="22"/>
        </w:rPr>
        <w:t>中有说明。</w:t>
      </w:r>
    </w:p>
    <w:p>
      <w:pPr>
        <w:numPr>
          <w:numId w:val="25"/>
        </w:numPr>
        <w:spacing w:before="120" w:after="120" w:line="288" w:lineRule="auto"/>
        <w:ind w:left="0"/>
        <w:jc w:val="left"/>
      </w:pPr>
      <w:r>
        <w:rPr>
          <w:rFonts w:eastAsia="等线" w:ascii="Arial" w:cs="Arial" w:hAnsi="Arial"/>
          <w:b w:val="true"/>
          <w:sz w:val="22"/>
        </w:rPr>
        <w:t>其他条款</w:t>
      </w:r>
    </w:p>
    <w:p>
      <w:pPr>
        <w:numPr>
          <w:numId w:val="26"/>
        </w:numPr>
        <w:spacing w:before="120" w:after="120" w:line="288" w:lineRule="auto"/>
        <w:ind w:left="0"/>
        <w:jc w:val="left"/>
      </w:pPr>
      <w:r>
        <w:rPr>
          <w:rFonts w:eastAsia="等线" w:ascii="Arial" w:cs="Arial" w:hAnsi="Arial"/>
          <w:sz w:val="22"/>
        </w:rPr>
        <w:t>您同意，购买的积分不具有货币价值，不构成任何形式的实际货币或财产。积分不得通过任何合法的付款方式、商品或其他具有货币价值的物品（我们或任何其他方）出售、转让、交易或兑换。</w:t>
      </w:r>
    </w:p>
    <w:p>
      <w:pPr>
        <w:numPr>
          <w:numId w:val="27"/>
        </w:numPr>
        <w:spacing w:before="120" w:after="120" w:line="288" w:lineRule="auto"/>
        <w:ind w:left="0"/>
        <w:jc w:val="left"/>
      </w:pPr>
      <w:r>
        <w:rPr>
          <w:rFonts w:eastAsia="等线" w:ascii="Arial" w:cs="Arial" w:hAnsi="Arial"/>
          <w:sz w:val="22"/>
        </w:rPr>
        <w:t>您不得购买或出售任何积分或您的帐户以换取合法接受的金钱或以其他方式将其兑换为任何其他类型的价值，除非我们规定了其他方式。</w:t>
      </w:r>
    </w:p>
    <w:p>
      <w:pPr>
        <w:numPr>
          <w:numId w:val="28"/>
        </w:numPr>
        <w:spacing w:before="120" w:after="120" w:line="288" w:lineRule="auto"/>
        <w:ind w:left="0"/>
        <w:jc w:val="left"/>
      </w:pPr>
      <w:r>
        <w:rPr>
          <w:rFonts w:eastAsia="等线" w:ascii="Arial" w:cs="Arial" w:hAnsi="Arial"/>
          <w:sz w:val="22"/>
        </w:rPr>
        <w:t>如果您对这些条款有任何疑问，请联系我们的</w:t>
      </w:r>
      <w:hyperlink r:id="rId8">
        <w:r>
          <w:rPr>
            <w:rFonts w:eastAsia="等线" w:ascii="Arial" w:cs="Arial" w:hAnsi="Arial"/>
            <w:color w:val="3370ff"/>
            <w:sz w:val="22"/>
          </w:rPr>
          <w:t>支持中心</w:t>
        </w:r>
      </w:hyperlink>
      <w:r>
        <w:rPr>
          <w:rFonts w:eastAsia="等线" w:ascii="Arial" w:cs="Arial" w:hAnsi="Arial"/>
          <w:sz w:val="22"/>
        </w:rPr>
        <w:t>。</w:t>
      </w:r>
    </w:p>
    <w:p>
      <w:pPr>
        <w:numPr>
          <w:numId w:val="29"/>
        </w:numPr>
        <w:spacing w:before="120" w:after="120" w:line="288" w:lineRule="auto"/>
        <w:ind w:left="0"/>
        <w:jc w:val="left"/>
      </w:pPr>
      <w:r>
        <w:rPr>
          <w:rFonts w:eastAsia="等线" w:ascii="Arial" w:cs="Arial" w:hAnsi="Arial"/>
          <w:sz w:val="22"/>
        </w:rPr>
        <w:t>请截取此信息的屏幕截图以供参考。</w:t>
      </w:r>
    </w:p>
    <w:p>
      <w:pPr>
        <w:numPr>
          <w:numId w:val="30"/>
        </w:numPr>
        <w:spacing w:before="120" w:after="120" w:line="288" w:lineRule="auto"/>
        <w:ind w:left="0"/>
        <w:jc w:val="left"/>
      </w:pPr>
      <w:r>
        <w:rPr>
          <w:rFonts w:eastAsia="等线" w:ascii="Arial" w:cs="Arial" w:hAnsi="Arial"/>
          <w:sz w:val="22"/>
        </w:rPr>
        <w:t>最后更新：2021年5月19日</w:t>
      </w:r>
    </w:p>
    <w:sectPr>
      <w:footerReference w:type="default" r:id="rId3"/>
      <w:headerReference w:type="default" r:id="rId9"/>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916405">
    <w:lvl>
      <w:start w:val="1"/>
      <w:numFmt w:val="decimal"/>
      <w:suff w:val="tab"/>
      <w:lvlText w:val="%1."/>
      <w:rPr>
        <w:color w:val="3370ff"/>
      </w:rPr>
    </w:lvl>
  </w:abstractNum>
  <w:abstractNum w:abstractNumId="916406">
    <w:lvl>
      <w:start w:val="2"/>
      <w:numFmt w:val="decimal"/>
      <w:suff w:val="tab"/>
      <w:lvlText w:val="%1."/>
      <w:rPr>
        <w:color w:val="3370ff"/>
      </w:rPr>
    </w:lvl>
  </w:abstractNum>
  <w:abstractNum w:abstractNumId="916407">
    <w:lvl>
      <w:start w:val="3"/>
      <w:numFmt w:val="decimal"/>
      <w:suff w:val="tab"/>
      <w:lvlText w:val="%1."/>
      <w:rPr>
        <w:color w:val="3370ff"/>
      </w:rPr>
    </w:lvl>
  </w:abstractNum>
  <w:abstractNum w:abstractNumId="916408">
    <w:lvl>
      <w:start w:val="4"/>
      <w:numFmt w:val="decimal"/>
      <w:suff w:val="tab"/>
      <w:lvlText w:val="%1."/>
      <w:rPr>
        <w:color w:val="3370ff"/>
      </w:rPr>
    </w:lvl>
  </w:abstractNum>
  <w:abstractNum w:abstractNumId="916409">
    <w:lvl>
      <w:start w:val="5"/>
      <w:numFmt w:val="decimal"/>
      <w:suff w:val="tab"/>
      <w:lvlText w:val="%1."/>
      <w:rPr>
        <w:color w:val="3370ff"/>
      </w:rPr>
    </w:lvl>
  </w:abstractNum>
  <w:abstractNum w:abstractNumId="916410">
    <w:lvl>
      <w:start w:val="6"/>
      <w:numFmt w:val="decimal"/>
      <w:suff w:val="tab"/>
      <w:lvlText w:val="%1."/>
      <w:rPr>
        <w:color w:val="3370ff"/>
      </w:rPr>
    </w:lvl>
  </w:abstractNum>
  <w:abstractNum w:abstractNumId="916411">
    <w:lvl>
      <w:start w:val="7"/>
      <w:numFmt w:val="decimal"/>
      <w:suff w:val="tab"/>
      <w:lvlText w:val="%1."/>
      <w:rPr>
        <w:color w:val="3370ff"/>
      </w:rPr>
    </w:lvl>
  </w:abstractNum>
  <w:abstractNum w:abstractNumId="916412">
    <w:lvl>
      <w:start w:val="8"/>
      <w:numFmt w:val="decimal"/>
      <w:suff w:val="tab"/>
      <w:lvlText w:val="%1."/>
      <w:rPr>
        <w:color w:val="3370ff"/>
      </w:rPr>
    </w:lvl>
  </w:abstractNum>
  <w:abstractNum w:abstractNumId="916413">
    <w:lvl>
      <w:start w:val="9"/>
      <w:numFmt w:val="decimal"/>
      <w:suff w:val="tab"/>
      <w:lvlText w:val="%1."/>
      <w:rPr>
        <w:color w:val="3370ff"/>
      </w:rPr>
    </w:lvl>
  </w:abstractNum>
  <w:abstractNum w:abstractNumId="916414">
    <w:lvl>
      <w:start w:val="10"/>
      <w:numFmt w:val="decimal"/>
      <w:suff w:val="tab"/>
      <w:lvlText w:val="%1."/>
      <w:rPr>
        <w:color w:val="3370ff"/>
      </w:rPr>
    </w:lvl>
  </w:abstractNum>
  <w:abstractNum w:abstractNumId="916415">
    <w:lvl>
      <w:start w:val="11"/>
      <w:numFmt w:val="decimal"/>
      <w:suff w:val="tab"/>
      <w:lvlText w:val="%1."/>
      <w:rPr>
        <w:color w:val="3370ff"/>
      </w:rPr>
    </w:lvl>
  </w:abstractNum>
  <w:abstractNum w:abstractNumId="916416">
    <w:lvl>
      <w:start w:val="12"/>
      <w:numFmt w:val="decimal"/>
      <w:suff w:val="tab"/>
      <w:lvlText w:val="%1."/>
      <w:rPr>
        <w:color w:val="3370ff"/>
      </w:rPr>
    </w:lvl>
  </w:abstractNum>
  <w:abstractNum w:abstractNumId="916417">
    <w:lvl>
      <w:start w:val="13"/>
      <w:numFmt w:val="decimal"/>
      <w:suff w:val="tab"/>
      <w:lvlText w:val="%1."/>
      <w:rPr>
        <w:color w:val="3370ff"/>
      </w:rPr>
    </w:lvl>
  </w:abstractNum>
  <w:abstractNum w:abstractNumId="916418">
    <w:lvl>
      <w:start w:val="14"/>
      <w:numFmt w:val="decimal"/>
      <w:suff w:val="tab"/>
      <w:lvlText w:val="%1."/>
      <w:rPr>
        <w:color w:val="3370ff"/>
      </w:rPr>
    </w:lvl>
  </w:abstractNum>
  <w:abstractNum w:abstractNumId="916419">
    <w:lvl>
      <w:numFmt w:val="bullet"/>
      <w:suff w:val="tab"/>
      <w:lvlText w:val="￮"/>
      <w:rPr>
        <w:color w:val="3370ff"/>
      </w:rPr>
    </w:lvl>
  </w:abstractNum>
  <w:abstractNum w:abstractNumId="916420">
    <w:lvl>
      <w:numFmt w:val="bullet"/>
      <w:suff w:val="tab"/>
      <w:lvlText w:val="￮"/>
      <w:rPr>
        <w:color w:val="3370ff"/>
      </w:rPr>
    </w:lvl>
  </w:abstractNum>
  <w:abstractNum w:abstractNumId="916421">
    <w:lvl>
      <w:numFmt w:val="bullet"/>
      <w:suff w:val="tab"/>
      <w:lvlText w:val="￮"/>
      <w:rPr>
        <w:color w:val="3370ff"/>
      </w:rPr>
    </w:lvl>
  </w:abstractNum>
  <w:abstractNum w:abstractNumId="916422">
    <w:lvl>
      <w:numFmt w:val="bullet"/>
      <w:suff w:val="tab"/>
      <w:lvlText w:val="￮"/>
      <w:rPr>
        <w:color w:val="3370ff"/>
      </w:rPr>
    </w:lvl>
  </w:abstractNum>
  <w:abstractNum w:abstractNumId="916423">
    <w:lvl>
      <w:numFmt w:val="bullet"/>
      <w:suff w:val="tab"/>
      <w:lvlText w:val="￮"/>
      <w:rPr>
        <w:color w:val="3370ff"/>
      </w:rPr>
    </w:lvl>
  </w:abstractNum>
  <w:abstractNum w:abstractNumId="916424">
    <w:lvl>
      <w:start w:val="15"/>
      <w:numFmt w:val="decimal"/>
      <w:suff w:val="tab"/>
      <w:lvlText w:val="%1."/>
      <w:rPr>
        <w:color w:val="3370ff"/>
      </w:rPr>
    </w:lvl>
  </w:abstractNum>
  <w:abstractNum w:abstractNumId="916425">
    <w:lvl>
      <w:start w:val="16"/>
      <w:numFmt w:val="decimal"/>
      <w:suff w:val="tab"/>
      <w:lvlText w:val="%1."/>
      <w:rPr>
        <w:color w:val="3370ff"/>
      </w:rPr>
    </w:lvl>
  </w:abstractNum>
  <w:abstractNum w:abstractNumId="916426">
    <w:lvl>
      <w:start w:val="17"/>
      <w:numFmt w:val="decimal"/>
      <w:suff w:val="tab"/>
      <w:lvlText w:val="%1."/>
      <w:rPr>
        <w:color w:val="3370ff"/>
      </w:rPr>
    </w:lvl>
  </w:abstractNum>
  <w:abstractNum w:abstractNumId="916427">
    <w:lvl>
      <w:start w:val="18"/>
      <w:numFmt w:val="decimal"/>
      <w:suff w:val="tab"/>
      <w:lvlText w:val="%1."/>
      <w:rPr>
        <w:color w:val="3370ff"/>
      </w:rPr>
    </w:lvl>
  </w:abstractNum>
  <w:abstractNum w:abstractNumId="916428">
    <w:lvl>
      <w:start w:val="19"/>
      <w:numFmt w:val="decimal"/>
      <w:suff w:val="tab"/>
      <w:lvlText w:val="%1."/>
      <w:rPr>
        <w:color w:val="3370ff"/>
      </w:rPr>
    </w:lvl>
  </w:abstractNum>
  <w:abstractNum w:abstractNumId="916429">
    <w:lvl>
      <w:start w:val="20"/>
      <w:numFmt w:val="decimal"/>
      <w:suff w:val="tab"/>
      <w:lvlText w:val="%1."/>
      <w:rPr>
        <w:color w:val="3370ff"/>
      </w:rPr>
    </w:lvl>
  </w:abstractNum>
  <w:abstractNum w:abstractNumId="916430">
    <w:lvl>
      <w:start w:val="21"/>
      <w:numFmt w:val="decimal"/>
      <w:suff w:val="tab"/>
      <w:lvlText w:val="%1."/>
      <w:rPr>
        <w:color w:val="3370ff"/>
      </w:rPr>
    </w:lvl>
  </w:abstractNum>
  <w:abstractNum w:abstractNumId="916431">
    <w:lvl>
      <w:start w:val="22"/>
      <w:numFmt w:val="decimal"/>
      <w:suff w:val="tab"/>
      <w:lvlText w:val="%1."/>
      <w:rPr>
        <w:color w:val="3370ff"/>
      </w:rPr>
    </w:lvl>
  </w:abstractNum>
  <w:abstractNum w:abstractNumId="916432">
    <w:lvl>
      <w:start w:val="23"/>
      <w:numFmt w:val="decimal"/>
      <w:suff w:val="tab"/>
      <w:lvlText w:val="%1."/>
      <w:rPr>
        <w:color w:val="3370ff"/>
      </w:rPr>
    </w:lvl>
  </w:abstractNum>
  <w:abstractNum w:abstractNumId="916433">
    <w:lvl>
      <w:start w:val="24"/>
      <w:numFmt w:val="decimal"/>
      <w:suff w:val="tab"/>
      <w:lvlText w:val="%1."/>
      <w:rPr>
        <w:color w:val="3370ff"/>
      </w:rPr>
    </w:lvl>
  </w:abstractNum>
  <w:abstractNum w:abstractNumId="916434">
    <w:lvl>
      <w:start w:val="25"/>
      <w:numFmt w:val="decimal"/>
      <w:suff w:val="tab"/>
      <w:lvlText w:val="%1."/>
      <w:rPr>
        <w:color w:val="3370ff"/>
      </w:rPr>
    </w:lvl>
  </w:abstractNum>
  <w:num w:numId="1">
    <w:abstractNumId w:val="916405"/>
  </w:num>
  <w:num w:numId="2">
    <w:abstractNumId w:val="916406"/>
  </w:num>
  <w:num w:numId="3">
    <w:abstractNumId w:val="916407"/>
  </w:num>
  <w:num w:numId="4">
    <w:abstractNumId w:val="916408"/>
  </w:num>
  <w:num w:numId="5">
    <w:abstractNumId w:val="916409"/>
  </w:num>
  <w:num w:numId="6">
    <w:abstractNumId w:val="916410"/>
  </w:num>
  <w:num w:numId="7">
    <w:abstractNumId w:val="916411"/>
  </w:num>
  <w:num w:numId="8">
    <w:abstractNumId w:val="916412"/>
  </w:num>
  <w:num w:numId="9">
    <w:abstractNumId w:val="916413"/>
  </w:num>
  <w:num w:numId="10">
    <w:abstractNumId w:val="916414"/>
  </w:num>
  <w:num w:numId="11">
    <w:abstractNumId w:val="916415"/>
  </w:num>
  <w:num w:numId="12">
    <w:abstractNumId w:val="916416"/>
  </w:num>
  <w:num w:numId="13">
    <w:abstractNumId w:val="916417"/>
  </w:num>
  <w:num w:numId="14">
    <w:abstractNumId w:val="916418"/>
  </w:num>
  <w:num w:numId="15">
    <w:abstractNumId w:val="916419"/>
  </w:num>
  <w:num w:numId="16">
    <w:abstractNumId w:val="916420"/>
  </w:num>
  <w:num w:numId="17">
    <w:abstractNumId w:val="916421"/>
  </w:num>
  <w:num w:numId="18">
    <w:abstractNumId w:val="916422"/>
  </w:num>
  <w:num w:numId="19">
    <w:abstractNumId w:val="916423"/>
  </w:num>
  <w:num w:numId="20">
    <w:abstractNumId w:val="916424"/>
  </w:num>
  <w:num w:numId="21">
    <w:abstractNumId w:val="916425"/>
  </w:num>
  <w:num w:numId="22">
    <w:abstractNumId w:val="916426"/>
  </w:num>
  <w:num w:numId="23">
    <w:abstractNumId w:val="916427"/>
  </w:num>
  <w:num w:numId="24">
    <w:abstractNumId w:val="916428"/>
  </w:num>
  <w:num w:numId="25">
    <w:abstractNumId w:val="916429"/>
  </w:num>
  <w:num w:numId="26">
    <w:abstractNumId w:val="916430"/>
  </w:num>
  <w:num w:numId="27">
    <w:abstractNumId w:val="916431"/>
  </w:num>
  <w:num w:numId="28">
    <w:abstractNumId w:val="916432"/>
  </w:num>
  <w:num w:numId="29">
    <w:abstractNumId w:val="916433"/>
  </w:num>
  <w:num w:numId="30">
    <w:abstractNumId w:val="916434"/>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ttps://asknebula.com/settings/personal" TargetMode="External" Type="http://schemas.openxmlformats.org/officeDocument/2006/relationships/hyperlink"/><Relationship Id="rId6" Target="https://asknebula.com/settings/personal" TargetMode="External" Type="http://schemas.openxmlformats.org/officeDocument/2006/relationships/hyperlink"/><Relationship Id="rId7" Target="https://asknebula.com/terms" TargetMode="External" Type="http://schemas.openxmlformats.org/officeDocument/2006/relationships/hyperlink"/><Relationship Id="rId8" Target="https://24hours.support-nebula.com/hc/en-us" TargetMode="External" Type="http://schemas.openxmlformats.org/officeDocument/2006/relationships/hyperlink"/><Relationship Id="rId9"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2025-08-18T06:14:04Z</dcterms:created>
  <dc:creator>Apache POI</dc:creator>
</cp:coreProperties>
</file>