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7.NEBULA退款政策</w:t>
      </w:r>
    </w:p>
    <w:p>
      <w:pPr>
        <w:pStyle w:val="1"/>
        <w:spacing w:before="380" w:after="140" w:line="288" w:lineRule="auto"/>
        <w:ind w:left="0"/>
        <w:jc w:val="left"/>
        <w:outlineLvl w:val="0"/>
      </w:pPr>
      <w:bookmarkStart w:name="heading_0" w:id="0"/>
      <w:r>
        <w:rPr>
          <w:rFonts w:eastAsia="等线" w:ascii="Arial" w:cs="Arial" w:hAnsi="Arial"/>
          <w:b w:val="true"/>
          <w:sz w:val="36"/>
        </w:rPr>
        <w:t>退款政策</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生效日期：2021年8月17日</w:t>
      </w:r>
      <w:bookmarkEnd w:id="1"/>
    </w:p>
    <w:p>
      <w:pPr>
        <w:spacing w:before="120" w:after="120" w:line="288" w:lineRule="auto"/>
        <w:ind w:left="0"/>
        <w:jc w:val="left"/>
      </w:pPr>
      <w:r>
        <w:rPr>
          <w:rFonts w:eastAsia="等线" w:ascii="Arial" w:cs="Arial" w:hAnsi="Arial"/>
          <w:sz w:val="22"/>
        </w:rPr>
        <w:t>本退款保证政策（“退款政策”）适用于在</w:t>
      </w:r>
      <w:hyperlink r:id="rId4">
        <w:r>
          <w:rPr>
            <w:rFonts w:eastAsia="等线" w:ascii="Arial" w:cs="Arial" w:hAnsi="Arial"/>
            <w:color w:val="3370ff"/>
            <w:sz w:val="22"/>
          </w:rPr>
          <w:t>https://asknebula.com</w:t>
        </w:r>
      </w:hyperlink>
      <w:r>
        <w:rPr>
          <w:rFonts w:eastAsia="等线" w:ascii="Arial" w:cs="Arial" w:hAnsi="Arial"/>
          <w:sz w:val="22"/>
        </w:rPr>
        <w:t>网站上进行的购买。</w:t>
      </w:r>
    </w:p>
    <w:p>
      <w:pPr>
        <w:numPr>
          <w:numId w:val="1"/>
        </w:numPr>
        <w:spacing w:before="120" w:after="120" w:line="288" w:lineRule="auto"/>
        <w:ind w:left="0"/>
        <w:jc w:val="left"/>
      </w:pPr>
      <w:r>
        <w:rPr>
          <w:rFonts w:eastAsia="等线" w:ascii="Arial" w:cs="Arial" w:hAnsi="Arial"/>
          <w:sz w:val="22"/>
        </w:rPr>
        <w:t>一般退款规则</w:t>
      </w:r>
    </w:p>
    <w:p>
      <w:pPr>
        <w:spacing w:before="120" w:after="120" w:line="288" w:lineRule="auto"/>
        <w:ind w:left="0"/>
        <w:jc w:val="left"/>
      </w:pPr>
      <w:r>
        <w:rPr>
          <w:rFonts w:eastAsia="等线" w:ascii="Arial" w:cs="Arial" w:hAnsi="Arial"/>
          <w:sz w:val="22"/>
        </w:rPr>
        <w:t>一般而言，您为服务支付的费用是不可退还和/或不可兑换的，除非本退款政策另有规定或适用法律另有要求。</w:t>
      </w:r>
    </w:p>
    <w:p>
      <w:pPr>
        <w:numPr>
          <w:numId w:val="2"/>
        </w:numPr>
        <w:spacing w:before="120" w:after="120" w:line="288" w:lineRule="auto"/>
        <w:ind w:left="0"/>
        <w:jc w:val="left"/>
      </w:pPr>
      <w:r>
        <w:rPr>
          <w:rFonts w:eastAsia="等线" w:ascii="Arial" w:cs="Arial" w:hAnsi="Arial"/>
          <w:sz w:val="22"/>
        </w:rPr>
        <w:t>退款保证规则</w:t>
      </w:r>
    </w:p>
    <w:p>
      <w:pPr>
        <w:spacing w:before="120" w:after="120" w:line="288" w:lineRule="auto"/>
        <w:ind w:left="0"/>
        <w:jc w:val="left"/>
      </w:pPr>
      <w:r>
        <w:rPr>
          <w:rFonts w:eastAsia="等线" w:ascii="Arial" w:cs="Arial" w:hAnsi="Arial"/>
          <w:sz w:val="22"/>
        </w:rPr>
        <w:t>但是，如果您满足以下条件，我们决定为您提供退款的机会（“自愿退款”）。</w:t>
      </w:r>
    </w:p>
    <w:p>
      <w:pPr>
        <w:spacing w:before="120" w:after="120" w:line="288" w:lineRule="auto"/>
        <w:ind w:left="0"/>
        <w:jc w:val="left"/>
      </w:pPr>
      <w:r>
        <w:rPr>
          <w:rFonts w:eastAsia="等线" w:ascii="Arial" w:cs="Arial" w:hAnsi="Arial"/>
          <w:sz w:val="22"/>
        </w:rPr>
        <w:t>如果您没有通过我们的个性化兼容性报告和关系指南获得预期的结果，并且满足以下所有条件，您有资格获得自愿退款：</w:t>
      </w:r>
    </w:p>
    <w:p>
      <w:pPr>
        <w:numPr>
          <w:numId w:val="3"/>
        </w:numPr>
        <w:spacing w:before="120" w:after="120" w:line="288" w:lineRule="auto"/>
        <w:ind w:left="0"/>
        <w:jc w:val="left"/>
      </w:pPr>
      <w:r>
        <w:rPr>
          <w:rFonts w:eastAsia="等线" w:ascii="Arial" w:cs="Arial" w:hAnsi="Arial"/>
          <w:sz w:val="22"/>
        </w:rPr>
        <w:t>您在购买个性化兼容性报告和关系指南后 30 天内联系我们；并且</w:t>
      </w:r>
    </w:p>
    <w:p>
      <w:pPr>
        <w:numPr>
          <w:numId w:val="4"/>
        </w:numPr>
        <w:spacing w:before="120" w:after="120" w:line="288" w:lineRule="auto"/>
        <w:ind w:left="0"/>
        <w:jc w:val="left"/>
      </w:pPr>
      <w:r>
        <w:rPr>
          <w:rFonts w:eastAsia="等线" w:ascii="Arial" w:cs="Arial" w:hAnsi="Arial"/>
          <w:sz w:val="22"/>
        </w:rPr>
        <w:t>您已在购买后的前 30 天内至少连续 14 天遵循个性化兼容性报告和关系指南；并且</w:t>
      </w:r>
    </w:p>
    <w:p>
      <w:pPr>
        <w:numPr>
          <w:numId w:val="5"/>
        </w:numPr>
        <w:spacing w:before="120" w:after="120" w:line="288" w:lineRule="auto"/>
        <w:ind w:left="0"/>
        <w:jc w:val="left"/>
      </w:pPr>
      <w:r>
        <w:rPr>
          <w:rFonts w:eastAsia="等线" w:ascii="Arial" w:cs="Arial" w:hAnsi="Arial"/>
          <w:sz w:val="22"/>
        </w:rPr>
        <w:t>您可以按照下文“如何证明您已遵循计划”部分所述的要求，证明您已遵循个性化兼容性报告和关系指南。</w:t>
      </w:r>
    </w:p>
    <w:p>
      <w:pPr>
        <w:spacing w:before="120" w:after="120" w:line="288" w:lineRule="auto"/>
        <w:ind w:left="0"/>
        <w:jc w:val="left"/>
      </w:pPr>
      <w:r>
        <w:rPr>
          <w:rFonts w:eastAsia="等线" w:ascii="Arial" w:cs="Arial" w:hAnsi="Arial"/>
          <w:sz w:val="22"/>
        </w:rPr>
        <w:t>我们将审核您的申请，并通过电子邮件通知您是否获得批准。如果申请获得批准，我们将处理您的退款，并将款项自动转入您的信用卡或原始付款方式。</w:t>
      </w:r>
    </w:p>
    <w:p>
      <w:pPr>
        <w:spacing w:before="120" w:after="120" w:line="288" w:lineRule="auto"/>
        <w:ind w:left="0"/>
        <w:jc w:val="left"/>
      </w:pPr>
      <w:r>
        <w:rPr>
          <w:rFonts w:eastAsia="等线" w:ascii="Arial" w:cs="Arial" w:hAnsi="Arial"/>
          <w:b w:val="true"/>
          <w:sz w:val="22"/>
        </w:rPr>
        <w:t>如何证明您已遵循指南</w:t>
      </w:r>
    </w:p>
    <w:p>
      <w:pPr>
        <w:spacing w:before="120" w:after="120" w:line="288" w:lineRule="auto"/>
        <w:ind w:left="0"/>
        <w:jc w:val="left"/>
      </w:pPr>
      <w:r>
        <w:rPr>
          <w:rFonts w:eastAsia="等线" w:ascii="Arial" w:cs="Arial" w:hAnsi="Arial"/>
          <w:sz w:val="22"/>
        </w:rPr>
        <w:t>只有当您通过我们的</w:t>
      </w:r>
      <w:hyperlink r:id="rId6">
        <w:r>
          <w:rPr>
            <w:rFonts w:eastAsia="等线" w:ascii="Arial" w:cs="Arial" w:hAnsi="Arial"/>
            <w:color w:val="3370ff"/>
            <w:sz w:val="22"/>
          </w:rPr>
          <w:t>支持中心</w:t>
        </w:r>
      </w:hyperlink>
      <w:r>
        <w:rPr>
          <w:rFonts w:eastAsia="等线" w:ascii="Arial" w:cs="Arial" w:hAnsi="Arial"/>
          <w:sz w:val="22"/>
        </w:rPr>
        <w:t>发送屏幕截图、照片或视频，证明您已采取关系指南中描述的至少 20% 的步骤，并且材料证明这些步骤是按照指南中描述的方式连续且完整地进行的，您才能证明您已遵循个性化兼容性报告和关系指南。</w:t>
      </w:r>
    </w:p>
    <w:p>
      <w:pPr>
        <w:spacing w:before="120" w:after="120" w:line="288" w:lineRule="auto"/>
        <w:ind w:left="0"/>
        <w:jc w:val="left"/>
      </w:pPr>
      <w:r>
        <w:rPr>
          <w:rFonts w:eastAsia="等线" w:ascii="Arial" w:cs="Arial" w:hAnsi="Arial"/>
          <w:b w:val="true"/>
          <w:sz w:val="22"/>
        </w:rPr>
        <w:t>重要声明</w:t>
      </w:r>
    </w:p>
    <w:p>
      <w:pPr>
        <w:spacing w:before="120" w:after="120" w:line="288" w:lineRule="auto"/>
        <w:ind w:left="0"/>
        <w:jc w:val="left"/>
      </w:pPr>
      <w:r>
        <w:rPr>
          <w:rFonts w:eastAsia="等线" w:ascii="Arial" w:cs="Arial" w:hAnsi="Arial"/>
          <w:sz w:val="22"/>
        </w:rPr>
        <w:t>请注意，只有满足上述要求，您才能根据“退款保证”获得全额自愿退款。为清晰起见，此“退款保证”不适用于任何其他情况，包括但不限于以下情况：</w:t>
      </w:r>
    </w:p>
    <w:p>
      <w:pPr>
        <w:numPr>
          <w:numId w:val="6"/>
        </w:numPr>
        <w:spacing w:before="120" w:after="120" w:line="288" w:lineRule="auto"/>
        <w:ind w:left="0"/>
        <w:jc w:val="left"/>
      </w:pPr>
      <w:r>
        <w:rPr>
          <w:rFonts w:eastAsia="等线" w:ascii="Arial" w:cs="Arial" w:hAnsi="Arial"/>
          <w:sz w:val="22"/>
        </w:rPr>
        <w:t>您认为您没有足够的时间遵循个性化兼容性报告和关系指南中包含的步骤；</w:t>
      </w:r>
    </w:p>
    <w:p>
      <w:pPr>
        <w:numPr>
          <w:numId w:val="7"/>
        </w:numPr>
        <w:spacing w:before="120" w:after="120" w:line="288" w:lineRule="auto"/>
        <w:ind w:left="0"/>
        <w:jc w:val="left"/>
      </w:pPr>
      <w:r>
        <w:rPr>
          <w:rFonts w:eastAsia="等线" w:ascii="Arial" w:cs="Arial" w:hAnsi="Arial"/>
          <w:sz w:val="22"/>
        </w:rPr>
        <w:t>您认为您或您的伴侣会对所提议的步骤不满意；等等。</w:t>
      </w:r>
    </w:p>
    <w:p>
      <w:pPr>
        <w:spacing w:before="120" w:after="120" w:line="288" w:lineRule="auto"/>
        <w:ind w:left="0"/>
        <w:jc w:val="left"/>
      </w:pPr>
      <w:r>
        <w:rPr>
          <w:rFonts w:eastAsia="等线" w:ascii="Arial" w:cs="Arial" w:hAnsi="Arial"/>
          <w:sz w:val="22"/>
        </w:rPr>
        <w:t>除非另有规定，本退款政策已纳入并受使用条款和条件的约束。</w:t>
      </w:r>
    </w:p>
    <w:p>
      <w:pPr>
        <w:spacing w:before="120" w:after="120" w:line="288" w:lineRule="auto"/>
        <w:ind w:left="0"/>
        <w:jc w:val="left"/>
      </w:pPr>
      <w:r>
        <w:rPr>
          <w:rFonts w:eastAsia="等线" w:ascii="Arial" w:cs="Arial" w:hAnsi="Arial"/>
          <w:sz w:val="22"/>
        </w:rPr>
        <w:t>最后更新：2021年8月17日</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5674">
    <w:lvl>
      <w:start w:val="1"/>
      <w:numFmt w:val="decimal"/>
      <w:suff w:val="tab"/>
      <w:lvlText w:val="%1."/>
      <w:rPr>
        <w:color w:val="3370ff"/>
      </w:rPr>
    </w:lvl>
  </w:abstractNum>
  <w:abstractNum w:abstractNumId="355675">
    <w:lvl>
      <w:start w:val="2"/>
      <w:numFmt w:val="decimal"/>
      <w:suff w:val="tab"/>
      <w:lvlText w:val="%1."/>
      <w:rPr>
        <w:color w:val="3370ff"/>
      </w:rPr>
    </w:lvl>
  </w:abstractNum>
  <w:abstractNum w:abstractNumId="355676">
    <w:lvl>
      <w:numFmt w:val="bullet"/>
      <w:suff w:val="tab"/>
      <w:lvlText w:val="•"/>
      <w:rPr>
        <w:color w:val="3370ff"/>
      </w:rPr>
    </w:lvl>
  </w:abstractNum>
  <w:abstractNum w:abstractNumId="355677">
    <w:lvl>
      <w:numFmt w:val="bullet"/>
      <w:suff w:val="tab"/>
      <w:lvlText w:val="•"/>
      <w:rPr>
        <w:color w:val="3370ff"/>
      </w:rPr>
    </w:lvl>
  </w:abstractNum>
  <w:abstractNum w:abstractNumId="355678">
    <w:lvl>
      <w:numFmt w:val="bullet"/>
      <w:suff w:val="tab"/>
      <w:lvlText w:val="•"/>
      <w:rPr>
        <w:color w:val="3370ff"/>
      </w:rPr>
    </w:lvl>
  </w:abstractNum>
  <w:abstractNum w:abstractNumId="355679">
    <w:lvl>
      <w:numFmt w:val="bullet"/>
      <w:suff w:val="tab"/>
      <w:lvlText w:val="•"/>
      <w:rPr>
        <w:color w:val="3370ff"/>
      </w:rPr>
    </w:lvl>
  </w:abstractNum>
  <w:abstractNum w:abstractNumId="355680">
    <w:lvl>
      <w:numFmt w:val="bullet"/>
      <w:suff w:val="tab"/>
      <w:lvlText w:val="•"/>
      <w:rPr>
        <w:color w:val="3370ff"/>
      </w:rPr>
    </w:lvl>
  </w:abstractNum>
  <w:num w:numId="1">
    <w:abstractNumId w:val="355674"/>
  </w:num>
  <w:num w:numId="2">
    <w:abstractNumId w:val="355675"/>
  </w:num>
  <w:num w:numId="3">
    <w:abstractNumId w:val="355676"/>
  </w:num>
  <w:num w:numId="4">
    <w:abstractNumId w:val="355677"/>
  </w:num>
  <w:num w:numId="5">
    <w:abstractNumId w:val="355678"/>
  </w:num>
  <w:num w:numId="6">
    <w:abstractNumId w:val="355679"/>
  </w:num>
  <w:num w:numId="7">
    <w:abstractNumId w:val="3556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asknebula.com" TargetMode="External" Type="http://schemas.openxmlformats.org/officeDocument/2006/relationships/hyperlink"/><Relationship Id="rId5" Target="numbering.xml" Type="http://schemas.openxmlformats.org/officeDocument/2006/relationships/numbering"/><Relationship Id="rId6" Target="https://24hours.support-nebula.com/hc/en-us"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2025-08-18T06:14:24Z</dcterms:created>
  <dc:creator>Apache POI</dc:creator>
</cp:coreProperties>
</file>