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before="0" w:line="300"/>
        <w:jc w:val="center"/>
      </w:pPr>
      <w:r>
        <w:rPr>
          <w:rFonts w:ascii="Arial" w:hAnsi="Arial" w:cs="Arial"/>
          <w:b/>
          <w:color w:val="555555"/>
          <w:sz w:val="22"/>
          <w:szCs w:val="22"/>
          <w:bCs/>
          <w:rtl/>
        </w:rPr>
        <w:t>נוהל מחלקתי</w:t>
      </w:r>
    </w:p>
    <w:p>
      <w:pPr>
        <w:bidi/>
        <w:spacing w:after="80" w:before="0" w:line="300"/>
        <w:jc w:val="center"/>
      </w:pPr>
      <w:r>
        <w:rPr>
          <w:rFonts w:ascii="Arial" w:hAnsi="Arial" w:cs="Arial"/>
          <w:b/>
          <w:color w:val="1A1A1A"/>
          <w:sz w:val="34"/>
          <w:szCs w:val="34"/>
          <w:bCs/>
          <w:rtl/>
        </w:rPr>
        <w:t>מספר המחקר של משתתף — מבנה, הקצאה, הקפאה ואימות</w:t>
      </w:r>
    </w:p>
    <w:p>
      <w:pPr>
        <w:bidi/>
        <w:spacing w:after="240" w:before="0" w:line="300"/>
        <w:jc w:val="center"/>
      </w:pPr>
      <w:r>
        <w:rPr>
          <w:rFonts w:ascii="Arial" w:hAnsi="Arial" w:cs="Arial"/>
          <w:b w:val="0"/>
          <w:color w:val="555555"/>
          <w:sz w:val="21"/>
          <w:szCs w:val="21"/>
        </w:rPr>
        <w:t>Study Identifier — Structure, Assignment and Verification</w:t>
      </w:r>
    </w:p>
    <w:tbl>
      <w:tblPr>
        <w:tblStyle w:val="TableGrid"/>
        <w:tblW w:type="auto" w:w="0"/>
        <w:jc w:val="center"/>
        <w:tblLook w:firstColumn="1" w:firstRow="1" w:lastColumn="0" w:lastRow="0" w:noHBand="0" w:noVBand="1" w:val="04A0"/>
        <w:bidiVisual/>
      </w:tblPr>
      <w:tblGrid>
        <w:gridCol w:w="4706"/>
        <w:gridCol w:w="4706"/>
      </w:tblGrid>
      <w:tr>
        <w:tc>
          <w:tcPr>
            <w:tcW w:type="dxa" w:w="1587"/>
          </w:tcPr>
          <w:p>
            <w:pPr>
              <w:bidi/>
              <w:spacing w:after="20" w:before="0" w:line="250"/>
              <w:jc w:val="left"/>
            </w:pPr>
            <w:r/>
            <w:r>
              <w:rPr>
                <w:rFonts w:ascii="Arial" w:hAnsi="Arial" w:cs="Arial"/>
                <w:b w:val="0"/>
                <w:color w:val="1A1A1A"/>
                <w:sz w:val="20"/>
                <w:szCs w:val="20"/>
                <w:rtl/>
              </w:rPr>
              <w:t>חל על</w:t>
            </w:r>
          </w:p>
        </w:tc>
        <w:tc>
          <w:tcPr>
            <w:tcW w:type="dxa" w:w="7824"/>
          </w:tcPr>
          <w:p>
            <w:pPr>
              <w:bidi/>
              <w:spacing w:after="20" w:before="0" w:line="250"/>
              <w:jc w:val="left"/>
            </w:pPr>
            <w:r/>
            <w:r>
              <w:rPr>
                <w:rFonts w:ascii="Arial" w:hAnsi="Arial" w:cs="Arial"/>
                <w:b w:val="0"/>
                <w:color w:val="1A1A1A"/>
                <w:sz w:val="20"/>
                <w:szCs w:val="20"/>
                <w:rtl/>
              </w:rPr>
              <w:t>שני המחקרים: הפיילוט הפרוספקטיבי (מערכת הצל) והמחקר הרטרוספקטיבי</w:t>
            </w:r>
          </w:p>
        </w:tc>
      </w:tr>
      <w:tr>
        <w:tc>
          <w:tcPr>
            <w:tcW w:type="dxa" w:w="1587"/>
          </w:tcPr>
          <w:p>
            <w:pPr>
              <w:bidi/>
              <w:spacing w:after="20" w:before="0" w:line="250"/>
              <w:jc w:val="left"/>
            </w:pPr>
            <w:r/>
            <w:r>
              <w:rPr>
                <w:rFonts w:ascii="Arial" w:hAnsi="Arial" w:cs="Arial"/>
                <w:b w:val="0"/>
                <w:color w:val="1A1A1A"/>
                <w:sz w:val="20"/>
                <w:szCs w:val="20"/>
                <w:rtl/>
              </w:rPr>
              <w:t>אחראי</w:t>
            </w:r>
          </w:p>
        </w:tc>
        <w:tc>
          <w:tcPr>
            <w:tcW w:type="dxa" w:w="7824"/>
          </w:tcPr>
          <w:p>
            <w:pPr>
              <w:bidi/>
              <w:spacing w:after="20" w:before="0" w:line="250"/>
              <w:jc w:val="left"/>
            </w:pPr>
            <w:r/>
            <w:r>
              <w:rPr>
                <w:rFonts w:ascii="Arial" w:hAnsi="Arial" w:cs="Arial"/>
                <w:b w:val="0"/>
                <w:color w:val="1A1A1A"/>
                <w:sz w:val="20"/>
                <w:szCs w:val="20"/>
                <w:rtl/>
              </w:rPr>
              <w:t>החוקר הראשי — ד״ר אביב דניאל</w:t>
            </w:r>
          </w:p>
        </w:tc>
      </w:tr>
      <w:tr>
        <w:tc>
          <w:tcPr>
            <w:tcW w:type="dxa" w:w="1587"/>
          </w:tcPr>
          <w:p>
            <w:pPr>
              <w:bidi/>
              <w:spacing w:after="20" w:before="0" w:line="250"/>
              <w:jc w:val="left"/>
            </w:pPr>
            <w:r/>
            <w:r>
              <w:rPr>
                <w:rFonts w:ascii="Arial" w:hAnsi="Arial" w:cs="Arial"/>
                <w:b w:val="0"/>
                <w:color w:val="1A1A1A"/>
                <w:sz w:val="20"/>
                <w:szCs w:val="20"/>
                <w:rtl/>
              </w:rPr>
              <w:t>גרסה</w:t>
            </w:r>
          </w:p>
        </w:tc>
        <w:tc>
          <w:tcPr>
            <w:tcW w:type="dxa" w:w="7824"/>
          </w:tcPr>
          <w:p>
            <w:pPr>
              <w:bidi/>
              <w:spacing w:after="20" w:before="0" w:line="250"/>
              <w:jc w:val="left"/>
            </w:pPr>
            <w:r/>
            <w:r>
              <w:rPr>
                <w:rFonts w:ascii="Arial" w:hAnsi="Arial" w:cs="Arial"/>
                <w:b w:val="0"/>
                <w:color w:val="1A1A1A"/>
                <w:sz w:val="20"/>
                <w:szCs w:val="20"/>
                <w:rtl/>
              </w:rPr>
              <w:t>גרסה 1.0 · ספטמבר 2026 · נספח לפרוטוקול v1.1 סעיף 8.6 ולהצעה הרטרוספקטיבית סעיף 7.3</w:t>
            </w:r>
          </w:p>
        </w:tc>
      </w:tr>
    </w:tbl>
    <w:p/>
    <w:p>
      <w:pPr>
        <w:pBdr>
          <w:bottom w:val="single" w:color="9A9A9A" w:sz="6" w:space="6"/>
        </w:pBdr>
        <w:bidi/>
        <w:spacing w:after="160" w:before="360"/>
        <w:jc w:val="left"/>
      </w:pPr>
      <w:r>
        <w:rPr>
          <w:rFonts w:ascii="Arial" w:hAnsi="Arial" w:cs="Arial"/>
          <w:b/>
          <w:color w:val="1F3A5F"/>
          <w:sz w:val="29"/>
          <w:szCs w:val="29"/>
          <w:bCs/>
          <w:rtl/>
        </w:rPr>
        <w:t>1. העיקרון</w:t>
      </w:r>
    </w:p>
    <w:p>
      <w:pPr>
        <w:bidi/>
        <w:spacing w:after="140" w:before="0" w:line="300"/>
        <w:jc w:val="both"/>
      </w:pPr>
      <w:r>
        <w:rPr>
          <w:rFonts w:ascii="Arial" w:hAnsi="Arial" w:cs="Arial"/>
          <w:b w:val="0"/>
          <w:color w:val="1A1A1A"/>
          <w:sz w:val="22"/>
          <w:szCs w:val="22"/>
          <w:rtl/>
        </w:rPr>
        <w:t>לכל משתתף מחקר מוקצה מספר אחד ויחיד, באנגלית, בפורמט קבוע. אין מספר שני, אין כינוי, ואין וריאציה. כל טבלה, כל גיליון, כל פלט סטטיסטי וכל שיחה על המטופל בתוך המחקר משתמשים באותו מספר.</w:t>
      </w:r>
    </w:p>
    <w:p>
      <w:pPr>
        <w:bidi/>
        <w:spacing w:after="140" w:before="0" w:line="300"/>
        <w:jc w:val="both"/>
      </w:pPr>
      <w:r>
        <w:rPr>
          <w:rFonts w:ascii="Arial" w:hAnsi="Arial" w:cs="Arial"/>
          <w:b w:val="0"/>
          <w:color w:val="1A1A1A"/>
          <w:sz w:val="22"/>
          <w:szCs w:val="22"/>
          <w:rtl/>
        </w:rPr>
        <w:t>המספר בנוי משישה רכיבים המופרדים במקפים:</w:t>
      </w:r>
    </w:p>
    <w:p>
      <w:pPr>
        <w:spacing w:after="160" w:before="80"/>
        <w:jc w:val="center"/>
      </w:pPr>
      <w:r>
        <w:rPr>
          <w:rFonts w:ascii="Consolas" w:hAnsi="Consolas" w:cs="Consolas"/>
          <w:b/>
          <w:color w:val="1F3A5F"/>
          <w:sz w:val="26"/>
          <w:szCs w:val="26"/>
          <w:bCs/>
        </w:rPr>
        <w:t>ENT-26-007-NPC-M-09</w:t>
      </w:r>
    </w:p>
    <w:p>
      <w:pPr>
        <w:bidi/>
        <w:spacing w:after="140" w:before="0" w:line="300"/>
        <w:jc w:val="both"/>
      </w:pPr>
      <w:r>
        <w:rPr>
          <w:rFonts w:ascii="Arial" w:hAnsi="Arial" w:cs="Arial"/>
          <w:b w:val="0"/>
          <w:color w:val="1A1A1A"/>
          <w:sz w:val="22"/>
          <w:szCs w:val="22"/>
          <w:rtl/>
        </w:rPr>
        <w:t>ומקבילו במחקר הרטרוספקטיבי:</w:t>
      </w:r>
    </w:p>
    <w:p>
      <w:pPr>
        <w:spacing w:after="160" w:before="80"/>
        <w:jc w:val="center"/>
      </w:pPr>
      <w:r>
        <w:rPr>
          <w:rFonts w:ascii="Consolas" w:hAnsi="Consolas" w:cs="Consolas"/>
          <w:b/>
          <w:color w:val="1F3A5F"/>
          <w:sz w:val="26"/>
          <w:szCs w:val="26"/>
          <w:bCs/>
        </w:rPr>
        <w:t>RET-23-014-GLT-L-03</w:t>
      </w:r>
    </w:p>
    <w:p>
      <w:pPr>
        <w:pBdr>
          <w:bottom w:val="single" w:color="9A9A9A" w:sz="6" w:space="6"/>
        </w:pBdr>
        <w:bidi/>
        <w:spacing w:after="160" w:before="360"/>
        <w:jc w:val="left"/>
      </w:pPr>
      <w:r>
        <w:rPr>
          <w:rFonts w:ascii="Arial" w:hAnsi="Arial" w:cs="Arial"/>
          <w:b/>
          <w:color w:val="1F3A5F"/>
          <w:sz w:val="29"/>
          <w:szCs w:val="29"/>
          <w:bCs/>
          <w:rtl/>
        </w:rPr>
        <w:t>2. הרכיבים, אחד אחד</w:t>
      </w:r>
    </w:p>
    <w:tbl>
      <w:tblPr>
        <w:tblStyle w:val="TableGrid"/>
        <w:tblW w:type="auto" w:w="0"/>
        <w:jc w:val="center"/>
        <w:tblLook w:firstColumn="1" w:firstRow="1" w:lastColumn="0" w:lastRow="0" w:noHBand="0" w:noVBand="1" w:val="04A0"/>
        <w:bidiVisual/>
      </w:tblPr>
      <w:tblGrid>
        <w:gridCol w:w="1882"/>
        <w:gridCol w:w="1882"/>
        <w:gridCol w:w="1882"/>
        <w:gridCol w:w="1882"/>
        <w:gridCol w:w="1882"/>
      </w:tblGrid>
      <w:tr>
        <w:tc>
          <w:tcPr>
            <w:tcW w:type="dxa" w:w="1361"/>
            <w:shd w:val="clear" w:fill="DCE6F2"/>
          </w:tcPr>
          <w:p>
            <w:pPr>
              <w:bidi/>
              <w:spacing w:after="20" w:before="0" w:line="250"/>
              <w:jc w:val="left"/>
            </w:pPr>
            <w:r/>
            <w:r>
              <w:rPr>
                <w:rFonts w:ascii="Arial" w:hAnsi="Arial" w:cs="Arial"/>
                <w:b/>
                <w:color w:val="1A1A1A"/>
                <w:sz w:val="19"/>
                <w:szCs w:val="19"/>
                <w:bCs/>
                <w:rtl/>
              </w:rPr>
              <w:t>הרכיב</w:t>
            </w:r>
          </w:p>
        </w:tc>
        <w:tc>
          <w:tcPr>
            <w:tcW w:type="dxa" w:w="850"/>
            <w:shd w:val="clear" w:fill="DCE6F2"/>
          </w:tcPr>
          <w:p>
            <w:pPr>
              <w:bidi/>
              <w:spacing w:after="20" w:before="0" w:line="250"/>
              <w:jc w:val="left"/>
            </w:pPr>
            <w:r/>
            <w:r>
              <w:rPr>
                <w:rFonts w:ascii="Arial" w:hAnsi="Arial" w:cs="Arial"/>
                <w:b/>
                <w:color w:val="1A1A1A"/>
                <w:sz w:val="19"/>
                <w:szCs w:val="19"/>
                <w:bCs/>
                <w:rtl/>
              </w:rPr>
              <w:t>בדוגמה</w:t>
            </w:r>
          </w:p>
        </w:tc>
        <w:tc>
          <w:tcPr>
            <w:tcW w:type="dxa" w:w="2268"/>
            <w:shd w:val="clear" w:fill="DCE6F2"/>
          </w:tcPr>
          <w:p>
            <w:pPr>
              <w:bidi/>
              <w:spacing w:after="20" w:before="0" w:line="250"/>
              <w:jc w:val="left"/>
            </w:pPr>
            <w:r/>
            <w:r>
              <w:rPr>
                <w:rFonts w:ascii="Arial" w:hAnsi="Arial" w:cs="Arial"/>
                <w:b/>
                <w:color w:val="1A1A1A"/>
                <w:sz w:val="19"/>
                <w:szCs w:val="19"/>
                <w:bCs/>
                <w:rtl/>
              </w:rPr>
              <w:t>מה הוא</w:t>
            </w:r>
          </w:p>
        </w:tc>
        <w:tc>
          <w:tcPr>
            <w:tcW w:type="dxa" w:w="1701"/>
            <w:shd w:val="clear" w:fill="DCE6F2"/>
          </w:tcPr>
          <w:p>
            <w:pPr>
              <w:bidi/>
              <w:spacing w:after="20" w:before="0" w:line="250"/>
              <w:jc w:val="left"/>
            </w:pPr>
            <w:r/>
            <w:r>
              <w:rPr>
                <w:rFonts w:ascii="Arial" w:hAnsi="Arial" w:cs="Arial"/>
                <w:b/>
                <w:color w:val="1A1A1A"/>
                <w:sz w:val="19"/>
                <w:szCs w:val="19"/>
                <w:bCs/>
                <w:rtl/>
              </w:rPr>
              <w:t>מקורו ברשומה</w:t>
            </w:r>
          </w:p>
        </w:tc>
        <w:tc>
          <w:tcPr>
            <w:tcW w:type="dxa" w:w="3231"/>
            <w:shd w:val="clear" w:fill="DCE6F2"/>
          </w:tcPr>
          <w:p>
            <w:pPr>
              <w:bidi/>
              <w:spacing w:after="20" w:before="0" w:line="250"/>
              <w:jc w:val="left"/>
            </w:pPr>
            <w:r/>
            <w:r>
              <w:rPr>
                <w:rFonts w:ascii="Arial" w:hAnsi="Arial" w:cs="Arial"/>
                <w:b/>
                <w:color w:val="1A1A1A"/>
                <w:sz w:val="19"/>
                <w:szCs w:val="19"/>
                <w:bCs/>
                <w:rtl/>
              </w:rPr>
              <w:t>מדוע הוא שם</w:t>
            </w:r>
          </w:p>
        </w:tc>
      </w:tr>
      <w:tr>
        <w:tc>
          <w:tcPr>
            <w:tcW w:type="dxa" w:w="1361"/>
          </w:tcPr>
          <w:p>
            <w:pPr>
              <w:bidi/>
              <w:spacing w:after="20" w:before="0" w:line="250"/>
              <w:jc w:val="left"/>
            </w:pPr>
            <w:r/>
            <w:r>
              <w:rPr>
                <w:rFonts w:ascii="Arial" w:hAnsi="Arial" w:cs="Arial"/>
                <w:b w:val="0"/>
                <w:color w:val="1A1A1A"/>
                <w:sz w:val="19"/>
                <w:szCs w:val="19"/>
                <w:rtl/>
              </w:rPr>
              <w:t>1. קידומת הזרוע</w:t>
            </w:r>
          </w:p>
        </w:tc>
        <w:tc>
          <w:tcPr>
            <w:tcW w:type="dxa" w:w="850"/>
          </w:tcPr>
          <w:p>
            <w:pPr>
              <w:bidi/>
              <w:spacing w:after="20" w:before="0" w:line="250"/>
              <w:jc w:val="left"/>
            </w:pPr>
            <w:r/>
            <w:r>
              <w:rPr>
                <w:rFonts w:ascii="Consolas" w:hAnsi="Consolas" w:cs="Consolas"/>
                <w:b w:val="0"/>
                <w:color w:val="1A1A1A"/>
                <w:sz w:val="19"/>
                <w:szCs w:val="19"/>
              </w:rPr>
              <w:t>ENT</w:t>
            </w:r>
          </w:p>
        </w:tc>
        <w:tc>
          <w:tcPr>
            <w:tcW w:type="dxa" w:w="2268"/>
          </w:tcPr>
          <w:p>
            <w:pPr>
              <w:bidi/>
              <w:spacing w:after="20" w:before="0" w:line="250"/>
              <w:jc w:val="left"/>
            </w:pPr>
            <w:r/>
            <w:r>
              <w:rPr>
                <w:rFonts w:ascii="Arial" w:hAnsi="Arial" w:cs="Arial"/>
                <w:b w:val="0"/>
                <w:color w:val="1A1A1A"/>
                <w:sz w:val="19"/>
                <w:szCs w:val="19"/>
                <w:rtl/>
              </w:rPr>
              <w:t>שלוש אותיות שקובעות לאיזה מחקר ולאיזו זרוע המטופל שייך</w:t>
            </w:r>
          </w:p>
        </w:tc>
        <w:tc>
          <w:tcPr>
            <w:tcW w:type="dxa" w:w="1701"/>
          </w:tcPr>
          <w:p>
            <w:pPr>
              <w:bidi/>
              <w:spacing w:after="20" w:before="0" w:line="250"/>
              <w:jc w:val="left"/>
            </w:pPr>
            <w:r/>
            <w:r>
              <w:rPr>
                <w:rFonts w:ascii="Arial" w:hAnsi="Arial" w:cs="Arial"/>
                <w:b w:val="0"/>
                <w:color w:val="1A1A1A"/>
                <w:sz w:val="19"/>
                <w:szCs w:val="19"/>
                <w:rtl/>
              </w:rPr>
              <w:t>נקבע מראש לכל קובץ איסוף</w:t>
            </w:r>
          </w:p>
        </w:tc>
        <w:tc>
          <w:tcPr>
            <w:tcW w:type="dxa" w:w="3231"/>
          </w:tcPr>
          <w:p>
            <w:pPr>
              <w:bidi/>
              <w:spacing w:after="20" w:before="0" w:line="250"/>
              <w:jc w:val="left"/>
            </w:pPr>
            <w:r/>
            <w:r>
              <w:rPr>
                <w:rFonts w:ascii="Arial" w:hAnsi="Arial" w:cs="Arial"/>
                <w:b w:val="0"/>
                <w:color w:val="1A1A1A"/>
                <w:sz w:val="19"/>
                <w:szCs w:val="19"/>
                <w:rtl/>
              </w:rPr>
              <w:t>מונע התנגשות בין שלושה מאגרים שרצים במקביל. בלעדיה ‎007‎ של הפיילוט ו-‎007‎ של הרטרוספקטיבי נראים אותו דבר</w:t>
            </w:r>
          </w:p>
        </w:tc>
      </w:tr>
      <w:tr>
        <w:tc>
          <w:tcPr>
            <w:tcW w:type="dxa" w:w="1361"/>
          </w:tcPr>
          <w:p>
            <w:pPr>
              <w:bidi/>
              <w:spacing w:after="20" w:before="0" w:line="250"/>
              <w:jc w:val="left"/>
            </w:pPr>
            <w:r/>
            <w:r>
              <w:rPr>
                <w:rFonts w:ascii="Arial" w:hAnsi="Arial" w:cs="Arial"/>
                <w:b w:val="0"/>
                <w:color w:val="1A1A1A"/>
                <w:sz w:val="19"/>
                <w:szCs w:val="19"/>
                <w:rtl/>
              </w:rPr>
              <w:t>2. שנה</w:t>
            </w:r>
          </w:p>
        </w:tc>
        <w:tc>
          <w:tcPr>
            <w:tcW w:type="dxa" w:w="850"/>
          </w:tcPr>
          <w:p>
            <w:pPr>
              <w:bidi/>
              <w:spacing w:after="20" w:before="0" w:line="250"/>
              <w:jc w:val="left"/>
            </w:pPr>
            <w:r/>
            <w:r>
              <w:rPr>
                <w:rFonts w:ascii="Consolas" w:hAnsi="Consolas" w:cs="Consolas"/>
                <w:b w:val="0"/>
                <w:color w:val="1A1A1A"/>
                <w:sz w:val="19"/>
                <w:szCs w:val="19"/>
              </w:rPr>
              <w:t>26</w:t>
            </w:r>
          </w:p>
        </w:tc>
        <w:tc>
          <w:tcPr>
            <w:tcW w:type="dxa" w:w="2268"/>
          </w:tcPr>
          <w:p>
            <w:pPr>
              <w:bidi/>
              <w:spacing w:after="20" w:before="0" w:line="250"/>
              <w:jc w:val="left"/>
            </w:pPr>
            <w:r/>
            <w:r>
              <w:rPr>
                <w:rFonts w:ascii="Arial" w:hAnsi="Arial" w:cs="Arial"/>
                <w:b w:val="0"/>
                <w:color w:val="1A1A1A"/>
                <w:sz w:val="19"/>
                <w:szCs w:val="19"/>
                <w:rtl/>
              </w:rPr>
              <w:t>שתי הספרות האחרונות של שנת דוח הפתולוגיה הממאירה</w:t>
            </w:r>
          </w:p>
        </w:tc>
        <w:tc>
          <w:tcPr>
            <w:tcW w:type="dxa" w:w="1701"/>
          </w:tcPr>
          <w:p>
            <w:pPr>
              <w:bidi/>
              <w:spacing w:after="20" w:before="0" w:line="250"/>
              <w:jc w:val="left"/>
            </w:pPr>
            <w:r/>
            <w:r>
              <w:rPr>
                <w:rFonts w:ascii="Arial" w:hAnsi="Arial" w:cs="Arial"/>
                <w:b w:val="0"/>
                <w:color w:val="1A1A1A"/>
                <w:sz w:val="19"/>
                <w:szCs w:val="19"/>
                <w:rtl/>
              </w:rPr>
              <w:t>תאריך דוח הפתולוגיה — השדה t₀</w:t>
            </w:r>
          </w:p>
        </w:tc>
        <w:tc>
          <w:tcPr>
            <w:tcW w:type="dxa" w:w="3231"/>
          </w:tcPr>
          <w:p>
            <w:pPr>
              <w:bidi/>
              <w:spacing w:after="20" w:before="0" w:line="250"/>
              <w:jc w:val="left"/>
            </w:pPr>
            <w:r/>
            <w:r>
              <w:rPr>
                <w:rFonts w:ascii="Arial" w:hAnsi="Arial" w:cs="Arial"/>
                <w:b w:val="0"/>
                <w:color w:val="1A1A1A"/>
                <w:sz w:val="19"/>
                <w:szCs w:val="19"/>
                <w:rtl/>
              </w:rPr>
              <w:t>מקבעת את המספר בזמן ומאפשרת מיון כרונולוגי. שנת האבחנה היא ממילא נתון מחקרי שנאסף</w:t>
            </w:r>
          </w:p>
        </w:tc>
      </w:tr>
      <w:tr>
        <w:tc>
          <w:tcPr>
            <w:tcW w:type="dxa" w:w="1361"/>
          </w:tcPr>
          <w:p>
            <w:pPr>
              <w:bidi/>
              <w:spacing w:after="20" w:before="0" w:line="250"/>
              <w:jc w:val="left"/>
            </w:pPr>
            <w:r/>
            <w:r>
              <w:rPr>
                <w:rFonts w:ascii="Arial" w:hAnsi="Arial" w:cs="Arial"/>
                <w:b w:val="0"/>
                <w:color w:val="1A1A1A"/>
                <w:sz w:val="19"/>
                <w:szCs w:val="19"/>
                <w:rtl/>
              </w:rPr>
              <w:t>3. מספר רץ</w:t>
            </w:r>
          </w:p>
        </w:tc>
        <w:tc>
          <w:tcPr>
            <w:tcW w:type="dxa" w:w="850"/>
          </w:tcPr>
          <w:p>
            <w:pPr>
              <w:bidi/>
              <w:spacing w:after="20" w:before="0" w:line="250"/>
              <w:jc w:val="left"/>
            </w:pPr>
            <w:r/>
            <w:r>
              <w:rPr>
                <w:rFonts w:ascii="Consolas" w:hAnsi="Consolas" w:cs="Consolas"/>
                <w:b w:val="0"/>
                <w:color w:val="1A1A1A"/>
                <w:sz w:val="19"/>
                <w:szCs w:val="19"/>
              </w:rPr>
              <w:t>007</w:t>
            </w:r>
          </w:p>
        </w:tc>
        <w:tc>
          <w:tcPr>
            <w:tcW w:type="dxa" w:w="2268"/>
          </w:tcPr>
          <w:p>
            <w:pPr>
              <w:bidi/>
              <w:spacing w:after="20" w:before="0" w:line="250"/>
              <w:jc w:val="left"/>
            </w:pPr>
            <w:r/>
            <w:r>
              <w:rPr>
                <w:rFonts w:ascii="Arial" w:hAnsi="Arial" w:cs="Arial"/>
                <w:b w:val="0"/>
                <w:color w:val="1A1A1A"/>
                <w:sz w:val="19"/>
                <w:szCs w:val="19"/>
                <w:rtl/>
              </w:rPr>
              <w:t>שלוש ספרות, לפי סדר הכניסה למחקר. מתחיל ב-001 ועולה באחד</w:t>
            </w:r>
          </w:p>
        </w:tc>
        <w:tc>
          <w:tcPr>
            <w:tcW w:type="dxa" w:w="1701"/>
          </w:tcPr>
          <w:p>
            <w:pPr>
              <w:bidi/>
              <w:spacing w:after="20" w:before="0" w:line="250"/>
              <w:jc w:val="left"/>
            </w:pPr>
            <w:r/>
            <w:r>
              <w:rPr>
                <w:rFonts w:ascii="Arial" w:hAnsi="Arial" w:cs="Arial"/>
                <w:b w:val="0"/>
                <w:color w:val="1A1A1A"/>
                <w:sz w:val="19"/>
                <w:szCs w:val="19"/>
                <w:rtl/>
              </w:rPr>
              <w:t>נקבע אוטומטית לפי מיקום השורה בגיליון</w:t>
            </w:r>
          </w:p>
        </w:tc>
        <w:tc>
          <w:tcPr>
            <w:tcW w:type="dxa" w:w="3231"/>
          </w:tcPr>
          <w:p>
            <w:pPr>
              <w:bidi/>
              <w:spacing w:after="20" w:before="0" w:line="250"/>
              <w:jc w:val="left"/>
            </w:pPr>
            <w:r/>
            <w:r>
              <w:rPr>
                <w:rFonts w:ascii="Arial" w:hAnsi="Arial" w:cs="Arial"/>
                <w:b w:val="0"/>
                <w:color w:val="1A1A1A"/>
                <w:sz w:val="19"/>
                <w:szCs w:val="19"/>
                <w:rtl/>
              </w:rPr>
              <w:t>‎זהו הרכיב היחיד שמבטיח ייחודיות. כל השאר הם הקשר בלבד</w:t>
            </w:r>
          </w:p>
        </w:tc>
      </w:tr>
      <w:tr>
        <w:tc>
          <w:tcPr>
            <w:tcW w:type="dxa" w:w="1361"/>
          </w:tcPr>
          <w:p>
            <w:pPr>
              <w:bidi/>
              <w:spacing w:after="20" w:before="0" w:line="250"/>
              <w:jc w:val="left"/>
            </w:pPr>
            <w:r/>
            <w:r>
              <w:rPr>
                <w:rFonts w:ascii="Arial" w:hAnsi="Arial" w:cs="Arial"/>
                <w:b w:val="0"/>
                <w:color w:val="1A1A1A"/>
                <w:sz w:val="19"/>
                <w:szCs w:val="19"/>
                <w:rtl/>
              </w:rPr>
              <w:t>4. אתר הגידול</w:t>
            </w:r>
          </w:p>
        </w:tc>
        <w:tc>
          <w:tcPr>
            <w:tcW w:type="dxa" w:w="850"/>
          </w:tcPr>
          <w:p>
            <w:pPr>
              <w:bidi/>
              <w:spacing w:after="20" w:before="0" w:line="250"/>
              <w:jc w:val="left"/>
            </w:pPr>
            <w:r/>
            <w:r>
              <w:rPr>
                <w:rFonts w:ascii="Consolas" w:hAnsi="Consolas" w:cs="Consolas"/>
                <w:b w:val="0"/>
                <w:color w:val="1A1A1A"/>
                <w:sz w:val="19"/>
                <w:szCs w:val="19"/>
              </w:rPr>
              <w:t>NPC</w:t>
            </w:r>
          </w:p>
        </w:tc>
        <w:tc>
          <w:tcPr>
            <w:tcW w:type="dxa" w:w="2268"/>
          </w:tcPr>
          <w:p>
            <w:pPr>
              <w:bidi/>
              <w:spacing w:after="20" w:before="0" w:line="250"/>
              <w:jc w:val="left"/>
            </w:pPr>
            <w:r/>
            <w:r>
              <w:rPr>
                <w:rFonts w:ascii="Arial" w:hAnsi="Arial" w:cs="Arial"/>
                <w:b w:val="0"/>
                <w:color w:val="1A1A1A"/>
                <w:sz w:val="19"/>
                <w:szCs w:val="19"/>
                <w:rtl/>
              </w:rPr>
              <w:t>קוד בן שתיים עד שלוש אותיות מתוך רשימה סגורה של 23 קודים</w:t>
            </w:r>
          </w:p>
        </w:tc>
        <w:tc>
          <w:tcPr>
            <w:tcW w:type="dxa" w:w="1701"/>
          </w:tcPr>
          <w:p>
            <w:pPr>
              <w:bidi/>
              <w:spacing w:after="20" w:before="0" w:line="250"/>
              <w:jc w:val="left"/>
            </w:pPr>
            <w:r/>
            <w:r>
              <w:rPr>
                <w:rFonts w:ascii="Arial" w:hAnsi="Arial" w:cs="Arial"/>
                <w:b w:val="0"/>
                <w:color w:val="1A1A1A"/>
                <w:sz w:val="19"/>
                <w:szCs w:val="19"/>
                <w:rtl/>
              </w:rPr>
              <w:t>שדה ״קוד אתר״ בגיליון</w:t>
            </w:r>
          </w:p>
        </w:tc>
        <w:tc>
          <w:tcPr>
            <w:tcW w:type="dxa" w:w="3231"/>
          </w:tcPr>
          <w:p>
            <w:pPr>
              <w:bidi/>
              <w:spacing w:after="20" w:before="0" w:line="250"/>
              <w:jc w:val="left"/>
            </w:pPr>
            <w:r/>
            <w:r>
              <w:rPr>
                <w:rFonts w:ascii="Arial" w:hAnsi="Arial" w:cs="Arial"/>
                <w:b w:val="0"/>
                <w:color w:val="1A1A1A"/>
                <w:sz w:val="19"/>
                <w:szCs w:val="19"/>
                <w:rtl/>
              </w:rPr>
              <w:t>רכיב הבטיחות הראשון — ראו סעיף 4</w:t>
            </w:r>
          </w:p>
        </w:tc>
      </w:tr>
      <w:tr>
        <w:tc>
          <w:tcPr>
            <w:tcW w:type="dxa" w:w="1361"/>
          </w:tcPr>
          <w:p>
            <w:pPr>
              <w:bidi/>
              <w:spacing w:after="20" w:before="0" w:line="250"/>
              <w:jc w:val="left"/>
            </w:pPr>
            <w:r/>
            <w:r>
              <w:rPr>
                <w:rFonts w:ascii="Arial" w:hAnsi="Arial" w:cs="Arial"/>
                <w:b w:val="0"/>
                <w:color w:val="1A1A1A"/>
                <w:sz w:val="19"/>
                <w:szCs w:val="19"/>
                <w:rtl/>
              </w:rPr>
              <w:t>5. צד</w:t>
            </w:r>
          </w:p>
        </w:tc>
        <w:tc>
          <w:tcPr>
            <w:tcW w:type="dxa" w:w="850"/>
          </w:tcPr>
          <w:p>
            <w:pPr>
              <w:bidi/>
              <w:spacing w:after="20" w:before="0" w:line="250"/>
              <w:jc w:val="left"/>
            </w:pPr>
            <w:r/>
            <w:r>
              <w:rPr>
                <w:rFonts w:ascii="Consolas" w:hAnsi="Consolas" w:cs="Consolas"/>
                <w:b w:val="0"/>
                <w:color w:val="1A1A1A"/>
                <w:sz w:val="19"/>
                <w:szCs w:val="19"/>
              </w:rPr>
              <w:t>M</w:t>
            </w:r>
          </w:p>
        </w:tc>
        <w:tc>
          <w:tcPr>
            <w:tcW w:type="dxa" w:w="2268"/>
          </w:tcPr>
          <w:p>
            <w:pPr>
              <w:bidi/>
              <w:spacing w:after="20" w:before="0" w:line="250"/>
              <w:jc w:val="left"/>
            </w:pPr>
            <w:r/>
            <w:r>
              <w:rPr>
                <w:rFonts w:ascii="Arial" w:hAnsi="Arial" w:cs="Arial"/>
                <w:b w:val="0"/>
                <w:color w:val="1A1A1A"/>
                <w:sz w:val="19"/>
                <w:szCs w:val="19"/>
                <w:rtl/>
              </w:rPr>
              <w:t>אות אחת: ימין, שמאל, קו אמצע או דו-צדדי</w:t>
            </w:r>
          </w:p>
        </w:tc>
        <w:tc>
          <w:tcPr>
            <w:tcW w:type="dxa" w:w="1701"/>
          </w:tcPr>
          <w:p>
            <w:pPr>
              <w:bidi/>
              <w:spacing w:after="20" w:before="0" w:line="250"/>
              <w:jc w:val="left"/>
            </w:pPr>
            <w:r/>
            <w:r>
              <w:rPr>
                <w:rFonts w:ascii="Arial" w:hAnsi="Arial" w:cs="Arial"/>
                <w:b w:val="0"/>
                <w:color w:val="1A1A1A"/>
                <w:sz w:val="19"/>
                <w:szCs w:val="19"/>
                <w:rtl/>
              </w:rPr>
              <w:t>שדה ״צד״ בגיליון</w:t>
            </w:r>
          </w:p>
        </w:tc>
        <w:tc>
          <w:tcPr>
            <w:tcW w:type="dxa" w:w="3231"/>
          </w:tcPr>
          <w:p>
            <w:pPr>
              <w:bidi/>
              <w:spacing w:after="20" w:before="0" w:line="250"/>
              <w:jc w:val="left"/>
            </w:pPr>
            <w:r/>
            <w:r>
              <w:rPr>
                <w:rFonts w:ascii="Arial" w:hAnsi="Arial" w:cs="Arial"/>
                <w:b w:val="0"/>
                <w:color w:val="1A1A1A"/>
                <w:sz w:val="19"/>
                <w:szCs w:val="19"/>
                <w:rtl/>
              </w:rPr>
              <w:t>רכיב הבטיחות השני — ראו סעיף 4</w:t>
            </w:r>
          </w:p>
        </w:tc>
      </w:tr>
      <w:tr>
        <w:tc>
          <w:tcPr>
            <w:tcW w:type="dxa" w:w="1361"/>
          </w:tcPr>
          <w:p>
            <w:pPr>
              <w:bidi/>
              <w:spacing w:after="20" w:before="0" w:line="250"/>
              <w:jc w:val="left"/>
            </w:pPr>
            <w:r/>
            <w:r>
              <w:rPr>
                <w:rFonts w:ascii="Arial" w:hAnsi="Arial" w:cs="Arial"/>
                <w:b w:val="0"/>
                <w:color w:val="1A1A1A"/>
                <w:sz w:val="19"/>
                <w:szCs w:val="19"/>
                <w:rtl/>
              </w:rPr>
              <w:t>6. חודש</w:t>
            </w:r>
          </w:p>
        </w:tc>
        <w:tc>
          <w:tcPr>
            <w:tcW w:type="dxa" w:w="850"/>
          </w:tcPr>
          <w:p>
            <w:pPr>
              <w:bidi/>
              <w:spacing w:after="20" w:before="0" w:line="250"/>
              <w:jc w:val="left"/>
            </w:pPr>
            <w:r/>
            <w:r>
              <w:rPr>
                <w:rFonts w:ascii="Consolas" w:hAnsi="Consolas" w:cs="Consolas"/>
                <w:b w:val="0"/>
                <w:color w:val="1A1A1A"/>
                <w:sz w:val="19"/>
                <w:szCs w:val="19"/>
              </w:rPr>
              <w:t>09</w:t>
            </w:r>
          </w:p>
        </w:tc>
        <w:tc>
          <w:tcPr>
            <w:tcW w:type="dxa" w:w="2268"/>
          </w:tcPr>
          <w:p>
            <w:pPr>
              <w:bidi/>
              <w:spacing w:after="20" w:before="0" w:line="250"/>
              <w:jc w:val="left"/>
            </w:pPr>
            <w:r/>
            <w:r>
              <w:rPr>
                <w:rFonts w:ascii="Arial" w:hAnsi="Arial" w:cs="Arial"/>
                <w:b w:val="0"/>
                <w:color w:val="1A1A1A"/>
                <w:sz w:val="19"/>
                <w:szCs w:val="19"/>
                <w:rtl/>
              </w:rPr>
              <w:t>שתי ספרות — חודש דוח הפתולוגיה</w:t>
            </w:r>
          </w:p>
        </w:tc>
        <w:tc>
          <w:tcPr>
            <w:tcW w:type="dxa" w:w="1701"/>
          </w:tcPr>
          <w:p>
            <w:pPr>
              <w:bidi/>
              <w:spacing w:after="20" w:before="0" w:line="250"/>
              <w:jc w:val="left"/>
            </w:pPr>
            <w:r/>
            <w:r>
              <w:rPr>
                <w:rFonts w:ascii="Arial" w:hAnsi="Arial" w:cs="Arial"/>
                <w:b w:val="0"/>
                <w:color w:val="1A1A1A"/>
                <w:sz w:val="19"/>
                <w:szCs w:val="19"/>
                <w:rtl/>
              </w:rPr>
              <w:t>אותו תאריך של רכיב 2</w:t>
            </w:r>
          </w:p>
        </w:tc>
        <w:tc>
          <w:tcPr>
            <w:tcW w:type="dxa" w:w="3231"/>
          </w:tcPr>
          <w:p>
            <w:pPr>
              <w:bidi/>
              <w:spacing w:after="20" w:before="0" w:line="250"/>
              <w:jc w:val="left"/>
            </w:pPr>
            <w:r/>
            <w:r>
              <w:rPr>
                <w:rFonts w:ascii="Arial" w:hAnsi="Arial" w:cs="Arial"/>
                <w:b w:val="0"/>
                <w:color w:val="1A1A1A"/>
                <w:sz w:val="19"/>
                <w:szCs w:val="19"/>
                <w:rtl/>
              </w:rPr>
              <w:t>רכיב הבטיחות השלישי, וגם עוגן זמן גס</w:t>
            </w:r>
          </w:p>
        </w:tc>
      </w:tr>
    </w:tbl>
    <w:p/>
    <w:p>
      <w:pPr>
        <w:bidi/>
        <w:spacing w:after="80" w:before="200"/>
        <w:jc w:val="left"/>
      </w:pPr>
      <w:r>
        <w:rPr>
          <w:rFonts w:ascii="Arial" w:hAnsi="Arial" w:cs="Arial"/>
          <w:b/>
          <w:color w:val="1F3A5F"/>
          <w:sz w:val="24"/>
          <w:szCs w:val="24"/>
          <w:bCs/>
          <w:rtl/>
        </w:rPr>
        <w:t>קידומות הזרוע</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1077"/>
            <w:shd w:val="clear" w:fill="DCE6F2"/>
          </w:tcPr>
          <w:p>
            <w:pPr>
              <w:bidi/>
              <w:spacing w:after="20" w:before="0" w:line="250"/>
              <w:jc w:val="left"/>
            </w:pPr>
            <w:r/>
            <w:r>
              <w:rPr>
                <w:rFonts w:ascii="Arial" w:hAnsi="Arial" w:cs="Arial"/>
                <w:b/>
                <w:color w:val="1A1A1A"/>
                <w:sz w:val="19"/>
                <w:szCs w:val="19"/>
                <w:bCs/>
                <w:rtl/>
              </w:rPr>
              <w:t>הקידומת</w:t>
            </w:r>
          </w:p>
        </w:tc>
        <w:tc>
          <w:tcPr>
            <w:tcW w:type="dxa" w:w="4082"/>
            <w:shd w:val="clear" w:fill="DCE6F2"/>
          </w:tcPr>
          <w:p>
            <w:pPr>
              <w:bidi/>
              <w:spacing w:after="20" w:before="0" w:line="250"/>
              <w:jc w:val="left"/>
            </w:pPr>
            <w:r/>
            <w:r>
              <w:rPr>
                <w:rFonts w:ascii="Arial" w:hAnsi="Arial" w:cs="Arial"/>
                <w:b/>
                <w:color w:val="1A1A1A"/>
                <w:sz w:val="19"/>
                <w:szCs w:val="19"/>
                <w:bCs/>
                <w:rtl/>
              </w:rPr>
              <w:t>הזרוע</w:t>
            </w:r>
          </w:p>
        </w:tc>
        <w:tc>
          <w:tcPr>
            <w:tcW w:type="dxa" w:w="4252"/>
            <w:shd w:val="clear" w:fill="DCE6F2"/>
          </w:tcPr>
          <w:p>
            <w:pPr>
              <w:bidi/>
              <w:spacing w:after="20" w:before="0" w:line="250"/>
              <w:jc w:val="left"/>
            </w:pPr>
            <w:r/>
            <w:r>
              <w:rPr>
                <w:rFonts w:ascii="Arial" w:hAnsi="Arial" w:cs="Arial"/>
                <w:b/>
                <w:color w:val="1A1A1A"/>
                <w:sz w:val="19"/>
                <w:szCs w:val="19"/>
                <w:bCs/>
                <w:rtl/>
              </w:rPr>
              <w:t>הקובץ</w:t>
            </w:r>
          </w:p>
        </w:tc>
      </w:tr>
      <w:tr>
        <w:tc>
          <w:tcPr>
            <w:tcW w:type="dxa" w:w="1077"/>
          </w:tcPr>
          <w:p>
            <w:pPr>
              <w:bidi/>
              <w:spacing w:after="20" w:before="0" w:line="250"/>
              <w:jc w:val="left"/>
            </w:pPr>
            <w:r/>
            <w:r>
              <w:rPr>
                <w:rFonts w:ascii="Consolas" w:hAnsi="Consolas" w:cs="Consolas"/>
                <w:b w:val="0"/>
                <w:color w:val="1A1A1A"/>
                <w:sz w:val="19"/>
                <w:szCs w:val="19"/>
              </w:rPr>
              <w:t>ENT</w:t>
            </w:r>
          </w:p>
        </w:tc>
        <w:tc>
          <w:tcPr>
            <w:tcW w:type="dxa" w:w="4082"/>
          </w:tcPr>
          <w:p>
            <w:pPr>
              <w:bidi/>
              <w:spacing w:after="20" w:before="0" w:line="250"/>
              <w:jc w:val="left"/>
            </w:pPr>
            <w:r/>
            <w:r>
              <w:rPr>
                <w:rFonts w:ascii="Arial" w:hAnsi="Arial" w:cs="Arial"/>
                <w:b w:val="0"/>
                <w:color w:val="1A1A1A"/>
                <w:sz w:val="19"/>
                <w:szCs w:val="19"/>
                <w:rtl/>
              </w:rPr>
              <w:t>זרוע ההתערבות בפיילוט — המטופלים שמנוהלים במערכת הצל</w:t>
            </w:r>
          </w:p>
        </w:tc>
        <w:tc>
          <w:tcPr>
            <w:tcW w:type="dxa" w:w="4252"/>
          </w:tcPr>
          <w:p>
            <w:pPr>
              <w:bidi/>
              <w:spacing w:after="20" w:before="0" w:line="250"/>
              <w:jc w:val="left"/>
            </w:pPr>
            <w:r/>
            <w:r>
              <w:rPr>
                <w:rFonts w:ascii="Arial" w:hAnsi="Arial" w:cs="Arial"/>
                <w:b w:val="0"/>
                <w:color w:val="1A1A1A"/>
                <w:sz w:val="19"/>
                <w:szCs w:val="19"/>
                <w:rtl/>
              </w:rPr>
              <w:t>MDT-Loop-ENT-איסוף-נתונים.xlsx, גיליון Patients</w:t>
            </w:r>
          </w:p>
        </w:tc>
      </w:tr>
      <w:tr>
        <w:tc>
          <w:tcPr>
            <w:tcW w:type="dxa" w:w="1077"/>
          </w:tcPr>
          <w:p>
            <w:pPr>
              <w:bidi/>
              <w:spacing w:after="20" w:before="0" w:line="250"/>
              <w:jc w:val="left"/>
            </w:pPr>
            <w:r/>
            <w:r>
              <w:rPr>
                <w:rFonts w:ascii="Consolas" w:hAnsi="Consolas" w:cs="Consolas"/>
                <w:b w:val="0"/>
                <w:color w:val="1A1A1A"/>
                <w:sz w:val="19"/>
                <w:szCs w:val="19"/>
              </w:rPr>
              <w:t>HIS</w:t>
            </w:r>
          </w:p>
        </w:tc>
        <w:tc>
          <w:tcPr>
            <w:tcW w:type="dxa" w:w="4082"/>
          </w:tcPr>
          <w:p>
            <w:pPr>
              <w:bidi/>
              <w:spacing w:after="20" w:before="0" w:line="250"/>
              <w:jc w:val="left"/>
            </w:pPr>
            <w:r/>
            <w:r>
              <w:rPr>
                <w:rFonts w:ascii="Arial" w:hAnsi="Arial" w:cs="Arial"/>
                <w:b w:val="0"/>
                <w:color w:val="1A1A1A"/>
                <w:sz w:val="19"/>
                <w:szCs w:val="19"/>
                <w:rtl/>
              </w:rPr>
              <w:t>בקרה היסטורית — מאגר המטופלים הקיים, 12 החודשים שקדמו להפעלה</w:t>
            </w:r>
          </w:p>
        </w:tc>
        <w:tc>
          <w:tcPr>
            <w:tcW w:type="dxa" w:w="4252"/>
          </w:tcPr>
          <w:p>
            <w:pPr>
              <w:bidi/>
              <w:spacing w:after="20" w:before="0" w:line="250"/>
              <w:jc w:val="left"/>
            </w:pPr>
            <w:r/>
            <w:r>
              <w:rPr>
                <w:rFonts w:ascii="Arial" w:hAnsi="Arial" w:cs="Arial"/>
                <w:b w:val="0"/>
                <w:color w:val="1A1A1A"/>
                <w:sz w:val="19"/>
                <w:szCs w:val="19"/>
                <w:rtl/>
              </w:rPr>
              <w:t>אותו קובץ, גיליון Historical</w:t>
            </w:r>
          </w:p>
        </w:tc>
      </w:tr>
      <w:tr>
        <w:tc>
          <w:tcPr>
            <w:tcW w:type="dxa" w:w="1077"/>
          </w:tcPr>
          <w:p>
            <w:pPr>
              <w:bidi/>
              <w:spacing w:after="20" w:before="0" w:line="250"/>
              <w:jc w:val="left"/>
            </w:pPr>
            <w:r/>
            <w:r>
              <w:rPr>
                <w:rFonts w:ascii="Consolas" w:hAnsi="Consolas" w:cs="Consolas"/>
                <w:b w:val="0"/>
                <w:color w:val="1A1A1A"/>
                <w:sz w:val="19"/>
                <w:szCs w:val="19"/>
              </w:rPr>
              <w:t>RET</w:t>
            </w:r>
          </w:p>
        </w:tc>
        <w:tc>
          <w:tcPr>
            <w:tcW w:type="dxa" w:w="4082"/>
          </w:tcPr>
          <w:p>
            <w:pPr>
              <w:bidi/>
              <w:spacing w:after="20" w:before="0" w:line="250"/>
              <w:jc w:val="left"/>
            </w:pPr>
            <w:r/>
            <w:r>
              <w:rPr>
                <w:rFonts w:ascii="Arial" w:hAnsi="Arial" w:cs="Arial"/>
                <w:b w:val="0"/>
                <w:color w:val="1A1A1A"/>
                <w:sz w:val="19"/>
                <w:szCs w:val="19"/>
                <w:rtl/>
              </w:rPr>
              <w:t>המחקר הרטרוספקטיבי — הקוהורטה 2019–2025</w:t>
            </w:r>
          </w:p>
        </w:tc>
        <w:tc>
          <w:tcPr>
            <w:tcW w:type="dxa" w:w="4252"/>
          </w:tcPr>
          <w:p>
            <w:pPr>
              <w:bidi/>
              <w:spacing w:after="20" w:before="0" w:line="250"/>
              <w:jc w:val="left"/>
            </w:pPr>
            <w:r/>
            <w:r>
              <w:rPr>
                <w:rFonts w:ascii="Arial" w:hAnsi="Arial" w:cs="Arial"/>
                <w:b w:val="0"/>
                <w:color w:val="1A1A1A"/>
                <w:sz w:val="19"/>
                <w:szCs w:val="19"/>
                <w:rtl/>
              </w:rPr>
              <w:t>MDT-ENT-רטרוספקטיבי-איסוף-נתונים.xlsx, גיליון Patients</w:t>
            </w:r>
          </w:p>
        </w:tc>
      </w:tr>
    </w:tbl>
    <w:p/>
    <w:p>
      <w:pPr>
        <w:bidi/>
        <w:spacing w:after="80" w:before="200"/>
        <w:jc w:val="left"/>
      </w:pPr>
      <w:r>
        <w:rPr>
          <w:rFonts w:ascii="Arial" w:hAnsi="Arial" w:cs="Arial"/>
          <w:b/>
          <w:color w:val="1F3A5F"/>
          <w:sz w:val="24"/>
          <w:szCs w:val="24"/>
          <w:bCs/>
          <w:rtl/>
        </w:rPr>
        <w:t>קודי האתר — הרשימה המלאה</w:t>
      </w:r>
    </w:p>
    <w:tbl>
      <w:tblPr>
        <w:tblStyle w:val="TableGrid"/>
        <w:tblW w:type="auto" w:w="0"/>
        <w:jc w:val="center"/>
        <w:tblLook w:firstColumn="1" w:firstRow="1" w:lastColumn="0" w:lastRow="0" w:noHBand="0" w:noVBand="1" w:val="04A0"/>
        <w:bidiVisual/>
      </w:tblPr>
      <w:tblGrid>
        <w:gridCol w:w="1569"/>
        <w:gridCol w:w="1569"/>
        <w:gridCol w:w="1569"/>
        <w:gridCol w:w="1569"/>
        <w:gridCol w:w="1569"/>
        <w:gridCol w:w="1569"/>
      </w:tblGrid>
      <w:tr>
        <w:tc>
          <w:tcPr>
            <w:tcW w:type="dxa" w:w="794"/>
            <w:shd w:val="clear" w:fill="DCE6F2"/>
          </w:tcPr>
          <w:p>
            <w:pPr>
              <w:bidi/>
              <w:spacing w:after="20" w:before="0" w:line="250"/>
              <w:jc w:val="left"/>
            </w:pPr>
            <w:r/>
            <w:r>
              <w:rPr>
                <w:rFonts w:ascii="Arial" w:hAnsi="Arial" w:cs="Arial"/>
                <w:b/>
                <w:color w:val="1A1A1A"/>
                <w:sz w:val="18"/>
                <w:szCs w:val="18"/>
                <w:bCs/>
                <w:rtl/>
              </w:rPr>
              <w:t>קוד</w:t>
            </w:r>
          </w:p>
        </w:tc>
        <w:tc>
          <w:tcPr>
            <w:tcW w:type="dxa" w:w="2324"/>
            <w:shd w:val="clear" w:fill="DCE6F2"/>
          </w:tcPr>
          <w:p>
            <w:pPr>
              <w:bidi/>
              <w:spacing w:after="20" w:before="0" w:line="250"/>
              <w:jc w:val="left"/>
            </w:pPr>
            <w:r/>
            <w:r>
              <w:rPr>
                <w:rFonts w:ascii="Arial" w:hAnsi="Arial" w:cs="Arial"/>
                <w:b/>
                <w:color w:val="1A1A1A"/>
                <w:sz w:val="18"/>
                <w:szCs w:val="18"/>
                <w:bCs/>
                <w:rtl/>
              </w:rPr>
              <w:t>האתר</w:t>
            </w:r>
          </w:p>
        </w:tc>
        <w:tc>
          <w:tcPr>
            <w:tcW w:type="dxa" w:w="794"/>
            <w:shd w:val="clear" w:fill="DCE6F2"/>
          </w:tcPr>
          <w:p>
            <w:pPr>
              <w:bidi/>
              <w:spacing w:after="20" w:before="0" w:line="250"/>
              <w:jc w:val="left"/>
            </w:pPr>
            <w:r/>
            <w:r>
              <w:rPr>
                <w:rFonts w:ascii="Arial" w:hAnsi="Arial" w:cs="Arial"/>
                <w:b/>
                <w:color w:val="1A1A1A"/>
                <w:sz w:val="18"/>
                <w:szCs w:val="18"/>
                <w:bCs/>
                <w:rtl/>
              </w:rPr>
              <w:t>קוד</w:t>
            </w:r>
          </w:p>
        </w:tc>
        <w:tc>
          <w:tcPr>
            <w:tcW w:type="dxa" w:w="2324"/>
            <w:shd w:val="clear" w:fill="DCE6F2"/>
          </w:tcPr>
          <w:p>
            <w:pPr>
              <w:bidi/>
              <w:spacing w:after="20" w:before="0" w:line="250"/>
              <w:jc w:val="left"/>
            </w:pPr>
            <w:r/>
            <w:r>
              <w:rPr>
                <w:rFonts w:ascii="Arial" w:hAnsi="Arial" w:cs="Arial"/>
                <w:b/>
                <w:color w:val="1A1A1A"/>
                <w:sz w:val="18"/>
                <w:szCs w:val="18"/>
                <w:bCs/>
                <w:rtl/>
              </w:rPr>
              <w:t>האתר</w:t>
            </w:r>
          </w:p>
        </w:tc>
        <w:tc>
          <w:tcPr>
            <w:tcW w:type="dxa" w:w="794"/>
            <w:shd w:val="clear" w:fill="DCE6F2"/>
          </w:tcPr>
          <w:p>
            <w:pPr>
              <w:bidi/>
              <w:spacing w:after="20" w:before="0" w:line="250"/>
              <w:jc w:val="left"/>
            </w:pPr>
            <w:r/>
            <w:r>
              <w:rPr>
                <w:rFonts w:ascii="Arial" w:hAnsi="Arial" w:cs="Arial"/>
                <w:b/>
                <w:color w:val="1A1A1A"/>
                <w:sz w:val="18"/>
                <w:szCs w:val="18"/>
                <w:bCs/>
                <w:rtl/>
              </w:rPr>
              <w:t>קוד</w:t>
            </w:r>
          </w:p>
        </w:tc>
        <w:tc>
          <w:tcPr>
            <w:tcW w:type="dxa" w:w="2324"/>
            <w:shd w:val="clear" w:fill="DCE6F2"/>
          </w:tcPr>
          <w:p>
            <w:pPr>
              <w:bidi/>
              <w:spacing w:after="20" w:before="0" w:line="250"/>
              <w:jc w:val="left"/>
            </w:pPr>
            <w:r/>
            <w:r>
              <w:rPr>
                <w:rFonts w:ascii="Arial" w:hAnsi="Arial" w:cs="Arial"/>
                <w:b/>
                <w:color w:val="1A1A1A"/>
                <w:sz w:val="18"/>
                <w:szCs w:val="18"/>
                <w:bCs/>
                <w:rtl/>
              </w:rPr>
              <w:t>האתר</w:t>
            </w:r>
          </w:p>
        </w:tc>
      </w:tr>
      <w:tr>
        <w:tc>
          <w:tcPr>
            <w:tcW w:type="dxa" w:w="794"/>
          </w:tcPr>
          <w:p>
            <w:pPr>
              <w:bidi/>
              <w:spacing w:after="20" w:before="0" w:line="250"/>
              <w:jc w:val="left"/>
            </w:pPr>
            <w:r/>
            <w:r>
              <w:rPr>
                <w:rFonts w:ascii="Consolas" w:hAnsi="Consolas" w:cs="Consolas"/>
                <w:b w:val="0"/>
                <w:color w:val="1A1A1A"/>
                <w:sz w:val="18"/>
                <w:szCs w:val="18"/>
              </w:rPr>
              <w:t>OT</w:t>
            </w:r>
          </w:p>
        </w:tc>
        <w:tc>
          <w:tcPr>
            <w:tcW w:type="dxa" w:w="2324"/>
          </w:tcPr>
          <w:p>
            <w:pPr>
              <w:bidi/>
              <w:spacing w:after="20" w:before="0" w:line="250"/>
              <w:jc w:val="left"/>
            </w:pPr>
            <w:r/>
            <w:r>
              <w:rPr>
                <w:rFonts w:ascii="Arial" w:hAnsi="Arial" w:cs="Arial"/>
                <w:b w:val="0"/>
                <w:color w:val="1A1A1A"/>
                <w:sz w:val="18"/>
                <w:szCs w:val="18"/>
                <w:rtl/>
              </w:rPr>
              <w:t>לשון (חלל הפה)</w:t>
            </w:r>
          </w:p>
        </w:tc>
        <w:tc>
          <w:tcPr>
            <w:tcW w:type="dxa" w:w="794"/>
          </w:tcPr>
          <w:p>
            <w:pPr>
              <w:bidi/>
              <w:spacing w:after="20" w:before="0" w:line="250"/>
              <w:jc w:val="left"/>
            </w:pPr>
            <w:r/>
            <w:r>
              <w:rPr>
                <w:rFonts w:ascii="Consolas" w:hAnsi="Consolas" w:cs="Consolas"/>
                <w:b w:val="0"/>
                <w:color w:val="1A1A1A"/>
                <w:sz w:val="18"/>
                <w:szCs w:val="18"/>
              </w:rPr>
              <w:t>FOM</w:t>
            </w:r>
          </w:p>
        </w:tc>
        <w:tc>
          <w:tcPr>
            <w:tcW w:type="dxa" w:w="2324"/>
          </w:tcPr>
          <w:p>
            <w:pPr>
              <w:bidi/>
              <w:spacing w:after="20" w:before="0" w:line="250"/>
              <w:jc w:val="left"/>
            </w:pPr>
            <w:r/>
            <w:r>
              <w:rPr>
                <w:rFonts w:ascii="Arial" w:hAnsi="Arial" w:cs="Arial"/>
                <w:b w:val="0"/>
                <w:color w:val="1A1A1A"/>
                <w:sz w:val="18"/>
                <w:szCs w:val="18"/>
                <w:rtl/>
              </w:rPr>
              <w:t>רצפת הפה</w:t>
            </w:r>
          </w:p>
        </w:tc>
        <w:tc>
          <w:tcPr>
            <w:tcW w:type="dxa" w:w="794"/>
          </w:tcPr>
          <w:p>
            <w:pPr>
              <w:bidi/>
              <w:spacing w:after="20" w:before="0" w:line="250"/>
              <w:jc w:val="left"/>
            </w:pPr>
            <w:r/>
            <w:r>
              <w:rPr>
                <w:rFonts w:ascii="Consolas" w:hAnsi="Consolas" w:cs="Consolas"/>
                <w:b w:val="0"/>
                <w:color w:val="1A1A1A"/>
                <w:sz w:val="18"/>
                <w:szCs w:val="18"/>
              </w:rPr>
              <w:t>BUC</w:t>
            </w:r>
          </w:p>
        </w:tc>
        <w:tc>
          <w:tcPr>
            <w:tcW w:type="dxa" w:w="2324"/>
          </w:tcPr>
          <w:p>
            <w:pPr>
              <w:bidi/>
              <w:spacing w:after="20" w:before="0" w:line="250"/>
              <w:jc w:val="left"/>
            </w:pPr>
            <w:r/>
            <w:r>
              <w:rPr>
                <w:rFonts w:ascii="Arial" w:hAnsi="Arial" w:cs="Arial"/>
                <w:b w:val="0"/>
                <w:color w:val="1A1A1A"/>
                <w:sz w:val="18"/>
                <w:szCs w:val="18"/>
                <w:rtl/>
              </w:rPr>
              <w:t>רירית הלחי</w:t>
            </w:r>
          </w:p>
        </w:tc>
      </w:tr>
      <w:tr>
        <w:tc>
          <w:tcPr>
            <w:tcW w:type="dxa" w:w="794"/>
          </w:tcPr>
          <w:p>
            <w:pPr>
              <w:bidi/>
              <w:spacing w:after="20" w:before="0" w:line="250"/>
              <w:jc w:val="left"/>
            </w:pPr>
            <w:r/>
            <w:r>
              <w:rPr>
                <w:rFonts w:ascii="Consolas" w:hAnsi="Consolas" w:cs="Consolas"/>
                <w:b w:val="0"/>
                <w:color w:val="1A1A1A"/>
                <w:sz w:val="18"/>
                <w:szCs w:val="18"/>
              </w:rPr>
              <w:t>GUM</w:t>
            </w:r>
          </w:p>
        </w:tc>
        <w:tc>
          <w:tcPr>
            <w:tcW w:type="dxa" w:w="2324"/>
          </w:tcPr>
          <w:p>
            <w:pPr>
              <w:bidi/>
              <w:spacing w:after="20" w:before="0" w:line="250"/>
              <w:jc w:val="left"/>
            </w:pPr>
            <w:r/>
            <w:r>
              <w:rPr>
                <w:rFonts w:ascii="Arial" w:hAnsi="Arial" w:cs="Arial"/>
                <w:b w:val="0"/>
                <w:color w:val="1A1A1A"/>
                <w:sz w:val="18"/>
                <w:szCs w:val="18"/>
                <w:rtl/>
              </w:rPr>
              <w:t>חניכיים / רכס מכתשי</w:t>
            </w:r>
          </w:p>
        </w:tc>
        <w:tc>
          <w:tcPr>
            <w:tcW w:type="dxa" w:w="794"/>
          </w:tcPr>
          <w:p>
            <w:pPr>
              <w:bidi/>
              <w:spacing w:after="20" w:before="0" w:line="250"/>
              <w:jc w:val="left"/>
            </w:pPr>
            <w:r/>
            <w:r>
              <w:rPr>
                <w:rFonts w:ascii="Consolas" w:hAnsi="Consolas" w:cs="Consolas"/>
                <w:b w:val="0"/>
                <w:color w:val="1A1A1A"/>
                <w:sz w:val="18"/>
                <w:szCs w:val="18"/>
              </w:rPr>
              <w:t>PAL</w:t>
            </w:r>
          </w:p>
        </w:tc>
        <w:tc>
          <w:tcPr>
            <w:tcW w:type="dxa" w:w="2324"/>
          </w:tcPr>
          <w:p>
            <w:pPr>
              <w:bidi/>
              <w:spacing w:after="20" w:before="0" w:line="250"/>
              <w:jc w:val="left"/>
            </w:pPr>
            <w:r/>
            <w:r>
              <w:rPr>
                <w:rFonts w:ascii="Arial" w:hAnsi="Arial" w:cs="Arial"/>
                <w:b w:val="0"/>
                <w:color w:val="1A1A1A"/>
                <w:sz w:val="18"/>
                <w:szCs w:val="18"/>
                <w:rtl/>
              </w:rPr>
              <w:t>חך קשה</w:t>
            </w:r>
          </w:p>
        </w:tc>
        <w:tc>
          <w:tcPr>
            <w:tcW w:type="dxa" w:w="794"/>
          </w:tcPr>
          <w:p>
            <w:pPr>
              <w:bidi/>
              <w:spacing w:after="20" w:before="0" w:line="250"/>
              <w:jc w:val="left"/>
            </w:pPr>
            <w:r/>
            <w:r>
              <w:rPr>
                <w:rFonts w:ascii="Consolas" w:hAnsi="Consolas" w:cs="Consolas"/>
                <w:b w:val="0"/>
                <w:color w:val="1A1A1A"/>
                <w:sz w:val="18"/>
                <w:szCs w:val="18"/>
              </w:rPr>
              <w:t>LIP</w:t>
            </w:r>
          </w:p>
        </w:tc>
        <w:tc>
          <w:tcPr>
            <w:tcW w:type="dxa" w:w="2324"/>
          </w:tcPr>
          <w:p>
            <w:pPr>
              <w:bidi/>
              <w:spacing w:after="20" w:before="0" w:line="250"/>
              <w:jc w:val="left"/>
            </w:pPr>
            <w:r/>
            <w:r>
              <w:rPr>
                <w:rFonts w:ascii="Arial" w:hAnsi="Arial" w:cs="Arial"/>
                <w:b w:val="0"/>
                <w:color w:val="1A1A1A"/>
                <w:sz w:val="18"/>
                <w:szCs w:val="18"/>
                <w:rtl/>
              </w:rPr>
              <w:t>שפה</w:t>
            </w:r>
          </w:p>
        </w:tc>
      </w:tr>
      <w:tr>
        <w:tc>
          <w:tcPr>
            <w:tcW w:type="dxa" w:w="794"/>
          </w:tcPr>
          <w:p>
            <w:pPr>
              <w:bidi/>
              <w:spacing w:after="20" w:before="0" w:line="250"/>
              <w:jc w:val="left"/>
            </w:pPr>
            <w:r/>
            <w:r>
              <w:rPr>
                <w:rFonts w:ascii="Consolas" w:hAnsi="Consolas" w:cs="Consolas"/>
                <w:b w:val="0"/>
                <w:color w:val="1A1A1A"/>
                <w:sz w:val="18"/>
                <w:szCs w:val="18"/>
              </w:rPr>
              <w:t>RMT</w:t>
            </w:r>
          </w:p>
        </w:tc>
        <w:tc>
          <w:tcPr>
            <w:tcW w:type="dxa" w:w="2324"/>
          </w:tcPr>
          <w:p>
            <w:pPr>
              <w:bidi/>
              <w:spacing w:after="20" w:before="0" w:line="250"/>
              <w:jc w:val="left"/>
            </w:pPr>
            <w:r/>
            <w:r>
              <w:rPr>
                <w:rFonts w:ascii="Arial" w:hAnsi="Arial" w:cs="Arial"/>
                <w:b w:val="0"/>
                <w:color w:val="1A1A1A"/>
                <w:sz w:val="18"/>
                <w:szCs w:val="18"/>
                <w:rtl/>
              </w:rPr>
              <w:t>טריגון רטרומולרי</w:t>
            </w:r>
          </w:p>
        </w:tc>
        <w:tc>
          <w:tcPr>
            <w:tcW w:type="dxa" w:w="794"/>
          </w:tcPr>
          <w:p>
            <w:pPr>
              <w:bidi/>
              <w:spacing w:after="20" w:before="0" w:line="250"/>
              <w:jc w:val="left"/>
            </w:pPr>
            <w:r/>
            <w:r>
              <w:rPr>
                <w:rFonts w:ascii="Consolas" w:hAnsi="Consolas" w:cs="Consolas"/>
                <w:b w:val="0"/>
                <w:color w:val="1A1A1A"/>
                <w:sz w:val="18"/>
                <w:szCs w:val="18"/>
              </w:rPr>
              <w:t>TON</w:t>
            </w:r>
          </w:p>
        </w:tc>
        <w:tc>
          <w:tcPr>
            <w:tcW w:type="dxa" w:w="2324"/>
          </w:tcPr>
          <w:p>
            <w:pPr>
              <w:bidi/>
              <w:spacing w:after="20" w:before="0" w:line="250"/>
              <w:jc w:val="left"/>
            </w:pPr>
            <w:r/>
            <w:r>
              <w:rPr>
                <w:rFonts w:ascii="Arial" w:hAnsi="Arial" w:cs="Arial"/>
                <w:b w:val="0"/>
                <w:color w:val="1A1A1A"/>
                <w:sz w:val="18"/>
                <w:szCs w:val="18"/>
                <w:rtl/>
              </w:rPr>
              <w:t>שקד</w:t>
            </w:r>
          </w:p>
        </w:tc>
        <w:tc>
          <w:tcPr>
            <w:tcW w:type="dxa" w:w="794"/>
          </w:tcPr>
          <w:p>
            <w:pPr>
              <w:bidi/>
              <w:spacing w:after="20" w:before="0" w:line="250"/>
              <w:jc w:val="left"/>
            </w:pPr>
            <w:r/>
            <w:r>
              <w:rPr>
                <w:rFonts w:ascii="Consolas" w:hAnsi="Consolas" w:cs="Consolas"/>
                <w:b w:val="0"/>
                <w:color w:val="1A1A1A"/>
                <w:sz w:val="18"/>
                <w:szCs w:val="18"/>
              </w:rPr>
              <w:t>BOT</w:t>
            </w:r>
          </w:p>
        </w:tc>
        <w:tc>
          <w:tcPr>
            <w:tcW w:type="dxa" w:w="2324"/>
          </w:tcPr>
          <w:p>
            <w:pPr>
              <w:bidi/>
              <w:spacing w:after="20" w:before="0" w:line="250"/>
              <w:jc w:val="left"/>
            </w:pPr>
            <w:r/>
            <w:r>
              <w:rPr>
                <w:rFonts w:ascii="Arial" w:hAnsi="Arial" w:cs="Arial"/>
                <w:b w:val="0"/>
                <w:color w:val="1A1A1A"/>
                <w:sz w:val="18"/>
                <w:szCs w:val="18"/>
                <w:rtl/>
              </w:rPr>
              <w:t>בסיס הלשון</w:t>
            </w:r>
          </w:p>
        </w:tc>
      </w:tr>
      <w:tr>
        <w:tc>
          <w:tcPr>
            <w:tcW w:type="dxa" w:w="794"/>
          </w:tcPr>
          <w:p>
            <w:pPr>
              <w:bidi/>
              <w:spacing w:after="20" w:before="0" w:line="250"/>
              <w:jc w:val="left"/>
            </w:pPr>
            <w:r/>
            <w:r>
              <w:rPr>
                <w:rFonts w:ascii="Consolas" w:hAnsi="Consolas" w:cs="Consolas"/>
                <w:b w:val="0"/>
                <w:color w:val="1A1A1A"/>
                <w:sz w:val="18"/>
                <w:szCs w:val="18"/>
              </w:rPr>
              <w:t>OPX</w:t>
            </w:r>
          </w:p>
        </w:tc>
        <w:tc>
          <w:tcPr>
            <w:tcW w:type="dxa" w:w="2324"/>
          </w:tcPr>
          <w:p>
            <w:pPr>
              <w:bidi/>
              <w:spacing w:after="20" w:before="0" w:line="250"/>
              <w:jc w:val="left"/>
            </w:pPr>
            <w:r/>
            <w:r>
              <w:rPr>
                <w:rFonts w:ascii="Arial" w:hAnsi="Arial" w:cs="Arial"/>
                <w:b w:val="0"/>
                <w:color w:val="1A1A1A"/>
                <w:sz w:val="18"/>
                <w:szCs w:val="18"/>
                <w:rtl/>
              </w:rPr>
              <w:t>לוע הפה — אחר</w:t>
            </w:r>
          </w:p>
        </w:tc>
        <w:tc>
          <w:tcPr>
            <w:tcW w:type="dxa" w:w="794"/>
          </w:tcPr>
          <w:p>
            <w:pPr>
              <w:bidi/>
              <w:spacing w:after="20" w:before="0" w:line="250"/>
              <w:jc w:val="left"/>
            </w:pPr>
            <w:r/>
            <w:r>
              <w:rPr>
                <w:rFonts w:ascii="Consolas" w:hAnsi="Consolas" w:cs="Consolas"/>
                <w:b w:val="0"/>
                <w:color w:val="1A1A1A"/>
                <w:sz w:val="18"/>
                <w:szCs w:val="18"/>
              </w:rPr>
              <w:t>NPC</w:t>
            </w:r>
          </w:p>
        </w:tc>
        <w:tc>
          <w:tcPr>
            <w:tcW w:type="dxa" w:w="2324"/>
          </w:tcPr>
          <w:p>
            <w:pPr>
              <w:bidi/>
              <w:spacing w:after="20" w:before="0" w:line="250"/>
              <w:jc w:val="left"/>
            </w:pPr>
            <w:r/>
            <w:r>
              <w:rPr>
                <w:rFonts w:ascii="Arial" w:hAnsi="Arial" w:cs="Arial"/>
                <w:b w:val="0"/>
                <w:color w:val="1A1A1A"/>
                <w:sz w:val="18"/>
                <w:szCs w:val="18"/>
                <w:rtl/>
              </w:rPr>
              <w:t>לוע האף</w:t>
            </w:r>
          </w:p>
        </w:tc>
        <w:tc>
          <w:tcPr>
            <w:tcW w:type="dxa" w:w="794"/>
          </w:tcPr>
          <w:p>
            <w:pPr>
              <w:bidi/>
              <w:spacing w:after="20" w:before="0" w:line="250"/>
              <w:jc w:val="left"/>
            </w:pPr>
            <w:r/>
            <w:r>
              <w:rPr>
                <w:rFonts w:ascii="Consolas" w:hAnsi="Consolas" w:cs="Consolas"/>
                <w:b w:val="0"/>
                <w:color w:val="1A1A1A"/>
                <w:sz w:val="18"/>
                <w:szCs w:val="18"/>
              </w:rPr>
              <w:t>SGL</w:t>
            </w:r>
          </w:p>
        </w:tc>
        <w:tc>
          <w:tcPr>
            <w:tcW w:type="dxa" w:w="2324"/>
          </w:tcPr>
          <w:p>
            <w:pPr>
              <w:bidi/>
              <w:spacing w:after="20" w:before="0" w:line="250"/>
              <w:jc w:val="left"/>
            </w:pPr>
            <w:r/>
            <w:r>
              <w:rPr>
                <w:rFonts w:ascii="Arial" w:hAnsi="Arial" w:cs="Arial"/>
                <w:b w:val="0"/>
                <w:color w:val="1A1A1A"/>
                <w:sz w:val="18"/>
                <w:szCs w:val="18"/>
                <w:rtl/>
              </w:rPr>
              <w:t>גרון — סופרגלוטי</w:t>
            </w:r>
          </w:p>
        </w:tc>
      </w:tr>
      <w:tr>
        <w:tc>
          <w:tcPr>
            <w:tcW w:type="dxa" w:w="794"/>
          </w:tcPr>
          <w:p>
            <w:pPr>
              <w:bidi/>
              <w:spacing w:after="20" w:before="0" w:line="250"/>
              <w:jc w:val="left"/>
            </w:pPr>
            <w:r/>
            <w:r>
              <w:rPr>
                <w:rFonts w:ascii="Consolas" w:hAnsi="Consolas" w:cs="Consolas"/>
                <w:b w:val="0"/>
                <w:color w:val="1A1A1A"/>
                <w:sz w:val="18"/>
                <w:szCs w:val="18"/>
              </w:rPr>
              <w:t>GLT</w:t>
            </w:r>
          </w:p>
        </w:tc>
        <w:tc>
          <w:tcPr>
            <w:tcW w:type="dxa" w:w="2324"/>
          </w:tcPr>
          <w:p>
            <w:pPr>
              <w:bidi/>
              <w:spacing w:after="20" w:before="0" w:line="250"/>
              <w:jc w:val="left"/>
            </w:pPr>
            <w:r/>
            <w:r>
              <w:rPr>
                <w:rFonts w:ascii="Arial" w:hAnsi="Arial" w:cs="Arial"/>
                <w:b w:val="0"/>
                <w:color w:val="1A1A1A"/>
                <w:sz w:val="18"/>
                <w:szCs w:val="18"/>
                <w:rtl/>
              </w:rPr>
              <w:t>גרון — גלוטי</w:t>
            </w:r>
          </w:p>
        </w:tc>
        <w:tc>
          <w:tcPr>
            <w:tcW w:type="dxa" w:w="794"/>
          </w:tcPr>
          <w:p>
            <w:pPr>
              <w:bidi/>
              <w:spacing w:after="20" w:before="0" w:line="250"/>
              <w:jc w:val="left"/>
            </w:pPr>
            <w:r/>
            <w:r>
              <w:rPr>
                <w:rFonts w:ascii="Consolas" w:hAnsi="Consolas" w:cs="Consolas"/>
                <w:b w:val="0"/>
                <w:color w:val="1A1A1A"/>
                <w:sz w:val="18"/>
                <w:szCs w:val="18"/>
              </w:rPr>
              <w:t>SBG</w:t>
            </w:r>
          </w:p>
        </w:tc>
        <w:tc>
          <w:tcPr>
            <w:tcW w:type="dxa" w:w="2324"/>
          </w:tcPr>
          <w:p>
            <w:pPr>
              <w:bidi/>
              <w:spacing w:after="20" w:before="0" w:line="250"/>
              <w:jc w:val="left"/>
            </w:pPr>
            <w:r/>
            <w:r>
              <w:rPr>
                <w:rFonts w:ascii="Arial" w:hAnsi="Arial" w:cs="Arial"/>
                <w:b w:val="0"/>
                <w:color w:val="1A1A1A"/>
                <w:sz w:val="18"/>
                <w:szCs w:val="18"/>
                <w:rtl/>
              </w:rPr>
              <w:t>גרון — סבגלוטי</w:t>
            </w:r>
          </w:p>
        </w:tc>
        <w:tc>
          <w:tcPr>
            <w:tcW w:type="dxa" w:w="794"/>
          </w:tcPr>
          <w:p>
            <w:pPr>
              <w:bidi/>
              <w:spacing w:after="20" w:before="0" w:line="250"/>
              <w:jc w:val="left"/>
            </w:pPr>
            <w:r/>
            <w:r>
              <w:rPr>
                <w:rFonts w:ascii="Consolas" w:hAnsi="Consolas" w:cs="Consolas"/>
                <w:b w:val="0"/>
                <w:color w:val="1A1A1A"/>
                <w:sz w:val="18"/>
                <w:szCs w:val="18"/>
              </w:rPr>
              <w:t>HPX</w:t>
            </w:r>
          </w:p>
        </w:tc>
        <w:tc>
          <w:tcPr>
            <w:tcW w:type="dxa" w:w="2324"/>
          </w:tcPr>
          <w:p>
            <w:pPr>
              <w:bidi/>
              <w:spacing w:after="20" w:before="0" w:line="250"/>
              <w:jc w:val="left"/>
            </w:pPr>
            <w:r/>
            <w:r>
              <w:rPr>
                <w:rFonts w:ascii="Arial" w:hAnsi="Arial" w:cs="Arial"/>
                <w:b w:val="0"/>
                <w:color w:val="1A1A1A"/>
                <w:sz w:val="18"/>
                <w:szCs w:val="18"/>
                <w:rtl/>
              </w:rPr>
              <w:t>היפופרינקס</w:t>
            </w:r>
          </w:p>
        </w:tc>
      </w:tr>
      <w:tr>
        <w:tc>
          <w:tcPr>
            <w:tcW w:type="dxa" w:w="794"/>
          </w:tcPr>
          <w:p>
            <w:pPr>
              <w:bidi/>
              <w:spacing w:after="20" w:before="0" w:line="250"/>
              <w:jc w:val="left"/>
            </w:pPr>
            <w:r/>
            <w:r>
              <w:rPr>
                <w:rFonts w:ascii="Consolas" w:hAnsi="Consolas" w:cs="Consolas"/>
                <w:b w:val="0"/>
                <w:color w:val="1A1A1A"/>
                <w:sz w:val="18"/>
                <w:szCs w:val="18"/>
              </w:rPr>
              <w:t>SNC</w:t>
            </w:r>
          </w:p>
        </w:tc>
        <w:tc>
          <w:tcPr>
            <w:tcW w:type="dxa" w:w="2324"/>
          </w:tcPr>
          <w:p>
            <w:pPr>
              <w:bidi/>
              <w:spacing w:after="20" w:before="0" w:line="250"/>
              <w:jc w:val="left"/>
            </w:pPr>
            <w:r/>
            <w:r>
              <w:rPr>
                <w:rFonts w:ascii="Arial" w:hAnsi="Arial" w:cs="Arial"/>
                <w:b w:val="0"/>
                <w:color w:val="1A1A1A"/>
                <w:sz w:val="18"/>
                <w:szCs w:val="18"/>
                <w:rtl/>
              </w:rPr>
              <w:t>אף וסינוסים</w:t>
            </w:r>
          </w:p>
        </w:tc>
        <w:tc>
          <w:tcPr>
            <w:tcW w:type="dxa" w:w="794"/>
          </w:tcPr>
          <w:p>
            <w:pPr>
              <w:bidi/>
              <w:spacing w:after="20" w:before="0" w:line="250"/>
              <w:jc w:val="left"/>
            </w:pPr>
            <w:r/>
            <w:r>
              <w:rPr>
                <w:rFonts w:ascii="Consolas" w:hAnsi="Consolas" w:cs="Consolas"/>
                <w:b w:val="0"/>
                <w:color w:val="1A1A1A"/>
                <w:sz w:val="18"/>
                <w:szCs w:val="18"/>
              </w:rPr>
              <w:t>PAR</w:t>
            </w:r>
          </w:p>
        </w:tc>
        <w:tc>
          <w:tcPr>
            <w:tcW w:type="dxa" w:w="2324"/>
          </w:tcPr>
          <w:p>
            <w:pPr>
              <w:bidi/>
              <w:spacing w:after="20" w:before="0" w:line="250"/>
              <w:jc w:val="left"/>
            </w:pPr>
            <w:r/>
            <w:r>
              <w:rPr>
                <w:rFonts w:ascii="Arial" w:hAnsi="Arial" w:cs="Arial"/>
                <w:b w:val="0"/>
                <w:color w:val="1A1A1A"/>
                <w:sz w:val="18"/>
                <w:szCs w:val="18"/>
                <w:rtl/>
              </w:rPr>
              <w:t>בלוטת הפרוטיד</w:t>
            </w:r>
          </w:p>
        </w:tc>
        <w:tc>
          <w:tcPr>
            <w:tcW w:type="dxa" w:w="794"/>
          </w:tcPr>
          <w:p>
            <w:pPr>
              <w:bidi/>
              <w:spacing w:after="20" w:before="0" w:line="250"/>
              <w:jc w:val="left"/>
            </w:pPr>
            <w:r/>
            <w:r>
              <w:rPr>
                <w:rFonts w:ascii="Consolas" w:hAnsi="Consolas" w:cs="Consolas"/>
                <w:b w:val="0"/>
                <w:color w:val="1A1A1A"/>
                <w:sz w:val="18"/>
                <w:szCs w:val="18"/>
              </w:rPr>
              <w:t>SMG</w:t>
            </w:r>
          </w:p>
        </w:tc>
        <w:tc>
          <w:tcPr>
            <w:tcW w:type="dxa" w:w="2324"/>
          </w:tcPr>
          <w:p>
            <w:pPr>
              <w:bidi/>
              <w:spacing w:after="20" w:before="0" w:line="250"/>
              <w:jc w:val="left"/>
            </w:pPr>
            <w:r/>
            <w:r>
              <w:rPr>
                <w:rFonts w:ascii="Arial" w:hAnsi="Arial" w:cs="Arial"/>
                <w:b w:val="0"/>
                <w:color w:val="1A1A1A"/>
                <w:sz w:val="18"/>
                <w:szCs w:val="18"/>
                <w:rtl/>
              </w:rPr>
              <w:t>בלוטה תת-לסתית</w:t>
            </w:r>
          </w:p>
        </w:tc>
      </w:tr>
      <w:tr>
        <w:tc>
          <w:tcPr>
            <w:tcW w:type="dxa" w:w="794"/>
          </w:tcPr>
          <w:p>
            <w:pPr>
              <w:bidi/>
              <w:spacing w:after="20" w:before="0" w:line="250"/>
              <w:jc w:val="left"/>
            </w:pPr>
            <w:r/>
            <w:r>
              <w:rPr>
                <w:rFonts w:ascii="Consolas" w:hAnsi="Consolas" w:cs="Consolas"/>
                <w:b w:val="0"/>
                <w:color w:val="1A1A1A"/>
                <w:sz w:val="18"/>
                <w:szCs w:val="18"/>
              </w:rPr>
              <w:t>MSG</w:t>
            </w:r>
          </w:p>
        </w:tc>
        <w:tc>
          <w:tcPr>
            <w:tcW w:type="dxa" w:w="2324"/>
          </w:tcPr>
          <w:p>
            <w:pPr>
              <w:bidi/>
              <w:spacing w:after="20" w:before="0" w:line="250"/>
              <w:jc w:val="left"/>
            </w:pPr>
            <w:r/>
            <w:r>
              <w:rPr>
                <w:rFonts w:ascii="Arial" w:hAnsi="Arial" w:cs="Arial"/>
                <w:b w:val="0"/>
                <w:color w:val="1A1A1A"/>
                <w:sz w:val="18"/>
                <w:szCs w:val="18"/>
                <w:rtl/>
              </w:rPr>
              <w:t>בלוטות רוק זעירות</w:t>
            </w:r>
          </w:p>
        </w:tc>
        <w:tc>
          <w:tcPr>
            <w:tcW w:type="dxa" w:w="794"/>
          </w:tcPr>
          <w:p>
            <w:pPr>
              <w:bidi/>
              <w:spacing w:after="20" w:before="0" w:line="250"/>
              <w:jc w:val="left"/>
            </w:pPr>
            <w:r/>
            <w:r>
              <w:rPr>
                <w:rFonts w:ascii="Consolas" w:hAnsi="Consolas" w:cs="Consolas"/>
                <w:b w:val="0"/>
                <w:color w:val="1A1A1A"/>
                <w:sz w:val="18"/>
                <w:szCs w:val="18"/>
              </w:rPr>
              <w:t>THY</w:t>
            </w:r>
          </w:p>
        </w:tc>
        <w:tc>
          <w:tcPr>
            <w:tcW w:type="dxa" w:w="2324"/>
          </w:tcPr>
          <w:p>
            <w:pPr>
              <w:bidi/>
              <w:spacing w:after="20" w:before="0" w:line="250"/>
              <w:jc w:val="left"/>
            </w:pPr>
            <w:r/>
            <w:r>
              <w:rPr>
                <w:rFonts w:ascii="Arial" w:hAnsi="Arial" w:cs="Arial"/>
                <w:b w:val="0"/>
                <w:color w:val="1A1A1A"/>
                <w:sz w:val="18"/>
                <w:szCs w:val="18"/>
                <w:rtl/>
              </w:rPr>
              <w:t>בלוטת התריס</w:t>
            </w:r>
          </w:p>
        </w:tc>
        <w:tc>
          <w:tcPr>
            <w:tcW w:type="dxa" w:w="794"/>
          </w:tcPr>
          <w:p>
            <w:pPr>
              <w:bidi/>
              <w:spacing w:after="20" w:before="0" w:line="250"/>
              <w:jc w:val="left"/>
            </w:pPr>
            <w:r/>
            <w:r>
              <w:rPr>
                <w:rFonts w:ascii="Consolas" w:hAnsi="Consolas" w:cs="Consolas"/>
                <w:b w:val="0"/>
                <w:color w:val="1A1A1A"/>
                <w:sz w:val="18"/>
                <w:szCs w:val="18"/>
              </w:rPr>
              <w:t>CUP</w:t>
            </w:r>
          </w:p>
        </w:tc>
        <w:tc>
          <w:tcPr>
            <w:tcW w:type="dxa" w:w="2324"/>
          </w:tcPr>
          <w:p>
            <w:pPr>
              <w:bidi/>
              <w:spacing w:after="20" w:before="0" w:line="250"/>
              <w:jc w:val="left"/>
            </w:pPr>
            <w:r/>
            <w:r>
              <w:rPr>
                <w:rFonts w:ascii="Arial" w:hAnsi="Arial" w:cs="Arial"/>
                <w:b w:val="0"/>
                <w:color w:val="1A1A1A"/>
                <w:sz w:val="18"/>
                <w:szCs w:val="18"/>
                <w:rtl/>
              </w:rPr>
              <w:t>גרורה צווארית ללא מוקד ראשוני</w:t>
            </w:r>
          </w:p>
        </w:tc>
      </w:tr>
      <w:tr>
        <w:tc>
          <w:tcPr>
            <w:tcW w:type="dxa" w:w="794"/>
          </w:tcPr>
          <w:p>
            <w:pPr>
              <w:bidi/>
              <w:spacing w:after="20" w:before="0" w:line="250"/>
              <w:jc w:val="left"/>
            </w:pPr>
            <w:r/>
            <w:r>
              <w:rPr>
                <w:rFonts w:ascii="Consolas" w:hAnsi="Consolas" w:cs="Consolas"/>
                <w:b w:val="0"/>
                <w:color w:val="1A1A1A"/>
                <w:sz w:val="18"/>
                <w:szCs w:val="18"/>
              </w:rPr>
              <w:t>SKN</w:t>
            </w:r>
          </w:p>
        </w:tc>
        <w:tc>
          <w:tcPr>
            <w:tcW w:type="dxa" w:w="2324"/>
          </w:tcPr>
          <w:p>
            <w:pPr>
              <w:bidi/>
              <w:spacing w:after="20" w:before="0" w:line="250"/>
              <w:jc w:val="left"/>
            </w:pPr>
            <w:r/>
            <w:r>
              <w:rPr>
                <w:rFonts w:ascii="Arial" w:hAnsi="Arial" w:cs="Arial"/>
                <w:b w:val="0"/>
                <w:color w:val="1A1A1A"/>
                <w:sz w:val="18"/>
                <w:szCs w:val="18"/>
                <w:rtl/>
              </w:rPr>
              <w:t>עור ראש-צוואר</w:t>
            </w:r>
          </w:p>
        </w:tc>
        <w:tc>
          <w:tcPr>
            <w:tcW w:type="dxa" w:w="794"/>
          </w:tcPr>
          <w:p>
            <w:pPr>
              <w:bidi/>
              <w:spacing w:after="20" w:before="0" w:line="250"/>
              <w:jc w:val="left"/>
            </w:pPr>
            <w:r/>
            <w:r>
              <w:rPr>
                <w:rFonts w:ascii="Consolas" w:hAnsi="Consolas" w:cs="Consolas"/>
                <w:b w:val="0"/>
                <w:color w:val="1A1A1A"/>
                <w:sz w:val="18"/>
                <w:szCs w:val="18"/>
              </w:rPr>
              <w:t>OTH</w:t>
            </w:r>
          </w:p>
        </w:tc>
        <w:tc>
          <w:tcPr>
            <w:tcW w:type="dxa" w:w="2324"/>
          </w:tcPr>
          <w:p>
            <w:pPr>
              <w:bidi/>
              <w:spacing w:after="20" w:before="0" w:line="250"/>
              <w:jc w:val="left"/>
            </w:pPr>
            <w:r/>
            <w:r>
              <w:rPr>
                <w:rFonts w:ascii="Arial" w:hAnsi="Arial" w:cs="Arial"/>
                <w:b w:val="0"/>
                <w:color w:val="1A1A1A"/>
                <w:sz w:val="18"/>
                <w:szCs w:val="18"/>
                <w:rtl/>
              </w:rPr>
              <w:t>אחר</w:t>
            </w:r>
          </w:p>
        </w:tc>
        <w:tc>
          <w:tcPr>
            <w:tcW w:type="dxa" w:w="794"/>
          </w:tcPr>
          <w:p>
            <w:pPr>
              <w:bidi/>
              <w:spacing w:after="20" w:before="0" w:line="250"/>
              <w:jc w:val="left"/>
            </w:pPr>
            <w:r/>
          </w:p>
        </w:tc>
        <w:tc>
          <w:tcPr>
            <w:tcW w:type="dxa" w:w="2324"/>
          </w:tcPr>
          <w:p>
            <w:pPr>
              <w:bidi/>
              <w:spacing w:after="20" w:before="0" w:line="250"/>
              <w:jc w:val="left"/>
            </w:pPr>
            <w:r/>
          </w:p>
        </w:tc>
      </w:tr>
    </w:tbl>
    <w:p/>
    <w:p>
      <w:pPr>
        <w:bidi/>
        <w:spacing w:after="180" w:before="0" w:line="300"/>
        <w:jc w:val="both"/>
      </w:pPr>
      <w:r>
        <w:rPr>
          <w:rFonts w:ascii="Arial" w:hAnsi="Arial" w:cs="Arial"/>
          <w:b w:val="0"/>
          <w:color w:val="555555"/>
          <w:sz w:val="19"/>
          <w:szCs w:val="19"/>
          <w:rtl/>
        </w:rPr>
        <w:t>הרשימה סגורה. אתר שאינו ברשימה מקודד OTH, והאתר המדויק נרשם בשדה ההערות. לעולם לא ממציאים קוד חדש בשדה — קוד חדש מחייב עדכון של רשימת הגיליון ושל הנוהל הזה.</w:t>
      </w:r>
    </w:p>
    <w:p>
      <w:pPr>
        <w:bidi/>
        <w:spacing w:after="80" w:before="200"/>
        <w:jc w:val="left"/>
      </w:pPr>
      <w:r>
        <w:rPr>
          <w:rFonts w:ascii="Arial" w:hAnsi="Arial" w:cs="Arial"/>
          <w:b/>
          <w:color w:val="1F3A5F"/>
          <w:sz w:val="24"/>
          <w:szCs w:val="24"/>
          <w:bCs/>
          <w:rtl/>
        </w:rPr>
        <w:t>קודי הצד</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907"/>
            <w:shd w:val="clear" w:fill="DCE6F2"/>
          </w:tcPr>
          <w:p>
            <w:pPr>
              <w:bidi/>
              <w:spacing w:after="20" w:before="0" w:line="250"/>
              <w:jc w:val="left"/>
            </w:pPr>
            <w:r/>
            <w:r>
              <w:rPr>
                <w:rFonts w:ascii="Arial" w:hAnsi="Arial" w:cs="Arial"/>
                <w:b/>
                <w:color w:val="1A1A1A"/>
                <w:sz w:val="19"/>
                <w:szCs w:val="19"/>
                <w:bCs/>
                <w:rtl/>
              </w:rPr>
              <w:t>הקוד</w:t>
            </w:r>
          </w:p>
        </w:tc>
        <w:tc>
          <w:tcPr>
            <w:tcW w:type="dxa" w:w="1474"/>
            <w:shd w:val="clear" w:fill="DCE6F2"/>
          </w:tcPr>
          <w:p>
            <w:pPr>
              <w:bidi/>
              <w:spacing w:after="20" w:before="0" w:line="250"/>
              <w:jc w:val="left"/>
            </w:pPr>
            <w:r/>
            <w:r>
              <w:rPr>
                <w:rFonts w:ascii="Arial" w:hAnsi="Arial" w:cs="Arial"/>
                <w:b/>
                <w:color w:val="1A1A1A"/>
                <w:sz w:val="19"/>
                <w:szCs w:val="19"/>
                <w:bCs/>
                <w:rtl/>
              </w:rPr>
              <w:t>המשמעות</w:t>
            </w:r>
          </w:p>
        </w:tc>
        <w:tc>
          <w:tcPr>
            <w:tcW w:type="dxa" w:w="7030"/>
            <w:shd w:val="clear" w:fill="DCE6F2"/>
          </w:tcPr>
          <w:p>
            <w:pPr>
              <w:bidi/>
              <w:spacing w:after="20" w:before="0" w:line="250"/>
              <w:jc w:val="left"/>
            </w:pPr>
            <w:r/>
            <w:r>
              <w:rPr>
                <w:rFonts w:ascii="Arial" w:hAnsi="Arial" w:cs="Arial"/>
                <w:b/>
                <w:color w:val="1A1A1A"/>
                <w:sz w:val="19"/>
                <w:szCs w:val="19"/>
                <w:bCs/>
                <w:rtl/>
              </w:rPr>
              <w:t>מתי</w:t>
            </w:r>
          </w:p>
        </w:tc>
      </w:tr>
      <w:tr>
        <w:tc>
          <w:tcPr>
            <w:tcW w:type="dxa" w:w="907"/>
          </w:tcPr>
          <w:p>
            <w:pPr>
              <w:bidi/>
              <w:spacing w:after="20" w:before="0" w:line="250"/>
              <w:jc w:val="left"/>
            </w:pPr>
            <w:r/>
            <w:r>
              <w:rPr>
                <w:rFonts w:ascii="Consolas" w:hAnsi="Consolas" w:cs="Consolas"/>
                <w:b w:val="0"/>
                <w:color w:val="1A1A1A"/>
                <w:sz w:val="19"/>
                <w:szCs w:val="19"/>
              </w:rPr>
              <w:t>R</w:t>
            </w:r>
          </w:p>
        </w:tc>
        <w:tc>
          <w:tcPr>
            <w:tcW w:type="dxa" w:w="1474"/>
          </w:tcPr>
          <w:p>
            <w:pPr>
              <w:bidi/>
              <w:spacing w:after="20" w:before="0" w:line="250"/>
              <w:jc w:val="left"/>
            </w:pPr>
            <w:r/>
            <w:r>
              <w:rPr>
                <w:rFonts w:ascii="Arial" w:hAnsi="Arial" w:cs="Arial"/>
                <w:b w:val="0"/>
                <w:color w:val="1A1A1A"/>
                <w:sz w:val="19"/>
                <w:szCs w:val="19"/>
                <w:rtl/>
              </w:rPr>
              <w:t>ימין</w:t>
            </w:r>
          </w:p>
        </w:tc>
        <w:tc>
          <w:tcPr>
            <w:tcW w:type="dxa" w:w="7030"/>
          </w:tcPr>
          <w:p>
            <w:pPr>
              <w:bidi/>
              <w:spacing w:after="20" w:before="0" w:line="250"/>
              <w:jc w:val="left"/>
            </w:pPr>
            <w:r/>
            <w:r>
              <w:rPr>
                <w:rFonts w:ascii="Arial" w:hAnsi="Arial" w:cs="Arial"/>
                <w:b w:val="0"/>
                <w:color w:val="1A1A1A"/>
                <w:sz w:val="19"/>
                <w:szCs w:val="19"/>
                <w:rtl/>
              </w:rPr>
              <w:t>גידול צדי בצד ימין</w:t>
            </w:r>
          </w:p>
        </w:tc>
      </w:tr>
      <w:tr>
        <w:tc>
          <w:tcPr>
            <w:tcW w:type="dxa" w:w="907"/>
          </w:tcPr>
          <w:p>
            <w:pPr>
              <w:bidi/>
              <w:spacing w:after="20" w:before="0" w:line="250"/>
              <w:jc w:val="left"/>
            </w:pPr>
            <w:r/>
            <w:r>
              <w:rPr>
                <w:rFonts w:ascii="Consolas" w:hAnsi="Consolas" w:cs="Consolas"/>
                <w:b w:val="0"/>
                <w:color w:val="1A1A1A"/>
                <w:sz w:val="19"/>
                <w:szCs w:val="19"/>
              </w:rPr>
              <w:t>L</w:t>
            </w:r>
          </w:p>
        </w:tc>
        <w:tc>
          <w:tcPr>
            <w:tcW w:type="dxa" w:w="1474"/>
          </w:tcPr>
          <w:p>
            <w:pPr>
              <w:bidi/>
              <w:spacing w:after="20" w:before="0" w:line="250"/>
              <w:jc w:val="left"/>
            </w:pPr>
            <w:r/>
            <w:r>
              <w:rPr>
                <w:rFonts w:ascii="Arial" w:hAnsi="Arial" w:cs="Arial"/>
                <w:b w:val="0"/>
                <w:color w:val="1A1A1A"/>
                <w:sz w:val="19"/>
                <w:szCs w:val="19"/>
                <w:rtl/>
              </w:rPr>
              <w:t>שמאל</w:t>
            </w:r>
          </w:p>
        </w:tc>
        <w:tc>
          <w:tcPr>
            <w:tcW w:type="dxa" w:w="7030"/>
          </w:tcPr>
          <w:p>
            <w:pPr>
              <w:bidi/>
              <w:spacing w:after="20" w:before="0" w:line="250"/>
              <w:jc w:val="left"/>
            </w:pPr>
            <w:r/>
            <w:r>
              <w:rPr>
                <w:rFonts w:ascii="Arial" w:hAnsi="Arial" w:cs="Arial"/>
                <w:b w:val="0"/>
                <w:color w:val="1A1A1A"/>
                <w:sz w:val="19"/>
                <w:szCs w:val="19"/>
                <w:rtl/>
              </w:rPr>
              <w:t>גידול צדי בצד שמאל</w:t>
            </w:r>
          </w:p>
        </w:tc>
      </w:tr>
      <w:tr>
        <w:tc>
          <w:tcPr>
            <w:tcW w:type="dxa" w:w="907"/>
          </w:tcPr>
          <w:p>
            <w:pPr>
              <w:bidi/>
              <w:spacing w:after="20" w:before="0" w:line="250"/>
              <w:jc w:val="left"/>
            </w:pPr>
            <w:r/>
            <w:r>
              <w:rPr>
                <w:rFonts w:ascii="Consolas" w:hAnsi="Consolas" w:cs="Consolas"/>
                <w:b w:val="0"/>
                <w:color w:val="1A1A1A"/>
                <w:sz w:val="19"/>
                <w:szCs w:val="19"/>
              </w:rPr>
              <w:t>M</w:t>
            </w:r>
          </w:p>
        </w:tc>
        <w:tc>
          <w:tcPr>
            <w:tcW w:type="dxa" w:w="1474"/>
          </w:tcPr>
          <w:p>
            <w:pPr>
              <w:bidi/>
              <w:spacing w:after="20" w:before="0" w:line="250"/>
              <w:jc w:val="left"/>
            </w:pPr>
            <w:r/>
            <w:r>
              <w:rPr>
                <w:rFonts w:ascii="Arial" w:hAnsi="Arial" w:cs="Arial"/>
                <w:b w:val="0"/>
                <w:color w:val="1A1A1A"/>
                <w:sz w:val="19"/>
                <w:szCs w:val="19"/>
                <w:rtl/>
              </w:rPr>
              <w:t>קו אמצע</w:t>
            </w:r>
          </w:p>
        </w:tc>
        <w:tc>
          <w:tcPr>
            <w:tcW w:type="dxa" w:w="7030"/>
          </w:tcPr>
          <w:p>
            <w:pPr>
              <w:bidi/>
              <w:spacing w:after="20" w:before="0" w:line="250"/>
              <w:jc w:val="left"/>
            </w:pPr>
            <w:r/>
            <w:r>
              <w:rPr>
                <w:rFonts w:ascii="Arial" w:hAnsi="Arial" w:cs="Arial"/>
                <w:b w:val="0"/>
                <w:color w:val="1A1A1A"/>
                <w:sz w:val="19"/>
                <w:szCs w:val="19"/>
                <w:rtl/>
              </w:rPr>
              <w:t>אתרים שהם קו אמצע מעצם טבעם — לוע האף, גרון, בסיס הלשון בקו האמצע, חך</w:t>
            </w:r>
          </w:p>
        </w:tc>
      </w:tr>
      <w:tr>
        <w:tc>
          <w:tcPr>
            <w:tcW w:type="dxa" w:w="907"/>
          </w:tcPr>
          <w:p>
            <w:pPr>
              <w:bidi/>
              <w:spacing w:after="20" w:before="0" w:line="250"/>
              <w:jc w:val="left"/>
            </w:pPr>
            <w:r/>
            <w:r>
              <w:rPr>
                <w:rFonts w:ascii="Consolas" w:hAnsi="Consolas" w:cs="Consolas"/>
                <w:b w:val="0"/>
                <w:color w:val="1A1A1A"/>
                <w:sz w:val="19"/>
                <w:szCs w:val="19"/>
              </w:rPr>
              <w:t>B</w:t>
            </w:r>
          </w:p>
        </w:tc>
        <w:tc>
          <w:tcPr>
            <w:tcW w:type="dxa" w:w="1474"/>
          </w:tcPr>
          <w:p>
            <w:pPr>
              <w:bidi/>
              <w:spacing w:after="20" w:before="0" w:line="250"/>
              <w:jc w:val="left"/>
            </w:pPr>
            <w:r/>
            <w:r>
              <w:rPr>
                <w:rFonts w:ascii="Arial" w:hAnsi="Arial" w:cs="Arial"/>
                <w:b w:val="0"/>
                <w:color w:val="1A1A1A"/>
                <w:sz w:val="19"/>
                <w:szCs w:val="19"/>
                <w:rtl/>
              </w:rPr>
              <w:t>דו-צדדי</w:t>
            </w:r>
          </w:p>
        </w:tc>
        <w:tc>
          <w:tcPr>
            <w:tcW w:type="dxa" w:w="7030"/>
          </w:tcPr>
          <w:p>
            <w:pPr>
              <w:bidi/>
              <w:spacing w:after="20" w:before="0" w:line="250"/>
              <w:jc w:val="left"/>
            </w:pPr>
            <w:r/>
            <w:r>
              <w:rPr>
                <w:rFonts w:ascii="Arial" w:hAnsi="Arial" w:cs="Arial"/>
                <w:b w:val="0"/>
                <w:color w:val="1A1A1A"/>
                <w:sz w:val="19"/>
                <w:szCs w:val="19"/>
                <w:rtl/>
              </w:rPr>
              <w:t>מעורבות דו-צדדית מתועדת של האתר הראשוני</w:t>
            </w:r>
          </w:p>
        </w:tc>
      </w:tr>
    </w:tbl>
    <w:p/>
    <w:p>
      <w:pPr>
        <w:bidi/>
        <w:spacing w:after="180" w:before="0" w:line="300"/>
        <w:jc w:val="both"/>
      </w:pPr>
      <w:r>
        <w:rPr>
          <w:rFonts w:ascii="Arial" w:hAnsi="Arial" w:cs="Arial"/>
          <w:b w:val="0"/>
          <w:color w:val="555555"/>
          <w:sz w:val="19"/>
          <w:szCs w:val="19"/>
          <w:rtl/>
        </w:rPr>
        <w:t>הצד מתייחס לגידול הראשוני ולא לקשריות הצוואר. גידול חד-צדדי עם קשריות בצד הנגדי מקודד לפי הגידול. אם האתר הוא קו אמצע — הקוד הוא M גם כאשר הקשריות צדיות.</w:t>
      </w:r>
    </w:p>
    <w:p>
      <w:pPr>
        <w:pBdr>
          <w:bottom w:val="single" w:color="9A9A9A" w:sz="6" w:space="6"/>
        </w:pBdr>
        <w:bidi/>
        <w:spacing w:after="160" w:before="360"/>
        <w:jc w:val="left"/>
      </w:pPr>
      <w:r>
        <w:rPr>
          <w:rFonts w:ascii="Arial" w:hAnsi="Arial" w:cs="Arial"/>
          <w:b/>
          <w:color w:val="1F3A5F"/>
          <w:sz w:val="29"/>
          <w:szCs w:val="29"/>
          <w:bCs/>
          <w:rtl/>
        </w:rPr>
        <w:t>3. מה במכוון אינו נמצא במספר</w:t>
      </w:r>
    </w:p>
    <w:p>
      <w:pPr>
        <w:bidi/>
        <w:spacing w:after="140" w:before="0" w:line="300"/>
        <w:jc w:val="both"/>
      </w:pPr>
      <w:r>
        <w:rPr>
          <w:rFonts w:ascii="Arial" w:hAnsi="Arial" w:cs="Arial"/>
          <w:b w:val="0"/>
          <w:color w:val="1A1A1A"/>
          <w:sz w:val="22"/>
          <w:szCs w:val="22"/>
          <w:rtl/>
        </w:rPr>
        <w:t>ארבעה דברים הוצאו מן המספר בהחלטה מפורשת. זו אינה השמטה — זהו תוכן הנוהל.</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1474"/>
            <w:shd w:val="clear" w:fill="DCE6F2"/>
          </w:tcPr>
          <w:p>
            <w:pPr>
              <w:bidi/>
              <w:spacing w:after="20" w:before="0" w:line="250"/>
              <w:jc w:val="left"/>
            </w:pPr>
            <w:r/>
            <w:r>
              <w:rPr>
                <w:rFonts w:ascii="Arial" w:hAnsi="Arial" w:cs="Arial"/>
                <w:b/>
                <w:color w:val="1A1A1A"/>
                <w:sz w:val="19"/>
                <w:szCs w:val="19"/>
                <w:bCs/>
                <w:rtl/>
              </w:rPr>
              <w:t>מה הוצא</w:t>
            </w:r>
          </w:p>
        </w:tc>
        <w:tc>
          <w:tcPr>
            <w:tcW w:type="dxa" w:w="2041"/>
            <w:shd w:val="clear" w:fill="DCE6F2"/>
          </w:tcPr>
          <w:p>
            <w:pPr>
              <w:bidi/>
              <w:spacing w:after="20" w:before="0" w:line="250"/>
              <w:jc w:val="left"/>
            </w:pPr>
            <w:r/>
            <w:r>
              <w:rPr>
                <w:rFonts w:ascii="Arial" w:hAnsi="Arial" w:cs="Arial"/>
                <w:b/>
                <w:color w:val="1A1A1A"/>
                <w:sz w:val="19"/>
                <w:szCs w:val="19"/>
                <w:bCs/>
                <w:rtl/>
              </w:rPr>
              <w:t>הצעה מקורית</w:t>
            </w:r>
          </w:p>
        </w:tc>
        <w:tc>
          <w:tcPr>
            <w:tcW w:type="dxa" w:w="5896"/>
            <w:shd w:val="clear" w:fill="DCE6F2"/>
          </w:tcPr>
          <w:p>
            <w:pPr>
              <w:bidi/>
              <w:spacing w:after="20" w:before="0" w:line="250"/>
              <w:jc w:val="left"/>
            </w:pPr>
            <w:r/>
            <w:r>
              <w:rPr>
                <w:rFonts w:ascii="Arial" w:hAnsi="Arial" w:cs="Arial"/>
                <w:b/>
                <w:color w:val="1A1A1A"/>
                <w:sz w:val="19"/>
                <w:szCs w:val="19"/>
                <w:bCs/>
                <w:rtl/>
              </w:rPr>
              <w:t>מדוע הוצא</w:t>
            </w:r>
          </w:p>
        </w:tc>
      </w:tr>
      <w:tr>
        <w:tc>
          <w:tcPr>
            <w:tcW w:type="dxa" w:w="1474"/>
          </w:tcPr>
          <w:p>
            <w:pPr>
              <w:bidi/>
              <w:spacing w:after="20" w:before="0" w:line="250"/>
              <w:jc w:val="left"/>
            </w:pPr>
            <w:r/>
            <w:r>
              <w:rPr>
                <w:rFonts w:ascii="Arial" w:hAnsi="Arial" w:cs="Arial"/>
                <w:b w:val="0"/>
                <w:color w:val="1A1A1A"/>
                <w:sz w:val="19"/>
                <w:szCs w:val="19"/>
                <w:rtl/>
              </w:rPr>
              <w:t>ראשי תיבות של השם</w:t>
            </w:r>
          </w:p>
        </w:tc>
        <w:tc>
          <w:tcPr>
            <w:tcW w:type="dxa" w:w="2041"/>
          </w:tcPr>
          <w:p>
            <w:pPr>
              <w:bidi/>
              <w:spacing w:after="20" w:before="0" w:line="250"/>
              <w:jc w:val="left"/>
            </w:pPr>
            <w:r/>
            <w:r>
              <w:rPr>
                <w:rFonts w:ascii="Arial" w:hAnsi="Arial" w:cs="Arial"/>
                <w:b w:val="0"/>
                <w:color w:val="1A1A1A"/>
                <w:sz w:val="19"/>
                <w:szCs w:val="19"/>
                <w:rtl/>
              </w:rPr>
              <w:t>האות הראשונה של השם הפרטי ושל שם המשפחה</w:t>
            </w:r>
          </w:p>
        </w:tc>
        <w:tc>
          <w:tcPr>
            <w:tcW w:type="dxa" w:w="5896"/>
          </w:tcPr>
          <w:p>
            <w:pPr>
              <w:bidi/>
              <w:spacing w:after="20" w:before="0" w:line="250"/>
              <w:jc w:val="left"/>
            </w:pPr>
            <w:r/>
            <w:r>
              <w:rPr>
                <w:rFonts w:ascii="Arial" w:hAnsi="Arial" w:cs="Arial"/>
                <w:b w:val="0"/>
                <w:color w:val="1A1A1A"/>
                <w:sz w:val="19"/>
                <w:szCs w:val="19"/>
                <w:rtl/>
              </w:rPr>
              <w:t>ראשי תיבות הופכים את המטופל לניתן לזיהוי. בשילוב עם אתר הגידול וחודש האבחנה, שתי אותיות מצמצמות את מרחב האפשרויות לאדם אחד במחלקה. זהו מזהה ישיר לכל דבר</w:t>
            </w:r>
          </w:p>
        </w:tc>
      </w:tr>
      <w:tr>
        <w:tc>
          <w:tcPr>
            <w:tcW w:type="dxa" w:w="1474"/>
          </w:tcPr>
          <w:p>
            <w:pPr>
              <w:bidi/>
              <w:spacing w:after="20" w:before="0" w:line="250"/>
              <w:jc w:val="left"/>
            </w:pPr>
            <w:r/>
            <w:r>
              <w:rPr>
                <w:rFonts w:ascii="Arial" w:hAnsi="Arial" w:cs="Arial"/>
                <w:b w:val="0"/>
                <w:color w:val="1A1A1A"/>
                <w:sz w:val="19"/>
                <w:szCs w:val="19"/>
                <w:rtl/>
              </w:rPr>
              <w:t>תאריך לידה</w:t>
            </w:r>
          </w:p>
        </w:tc>
        <w:tc>
          <w:tcPr>
            <w:tcW w:type="dxa" w:w="2041"/>
          </w:tcPr>
          <w:p>
            <w:pPr>
              <w:bidi/>
              <w:spacing w:after="20" w:before="0" w:line="250"/>
              <w:jc w:val="left"/>
            </w:pPr>
            <w:r/>
            <w:r>
              <w:rPr>
                <w:rFonts w:ascii="Arial" w:hAnsi="Arial" w:cs="Arial"/>
                <w:b w:val="0"/>
                <w:color w:val="1A1A1A"/>
                <w:sz w:val="19"/>
                <w:szCs w:val="19"/>
                <w:rtl/>
              </w:rPr>
              <w:t>—</w:t>
            </w:r>
          </w:p>
        </w:tc>
        <w:tc>
          <w:tcPr>
            <w:tcW w:type="dxa" w:w="5896"/>
          </w:tcPr>
          <w:p>
            <w:pPr>
              <w:bidi/>
              <w:spacing w:after="20" w:before="0" w:line="250"/>
              <w:jc w:val="left"/>
            </w:pPr>
            <w:r/>
            <w:r>
              <w:rPr>
                <w:rFonts w:ascii="Arial" w:hAnsi="Arial" w:cs="Arial"/>
                <w:b w:val="0"/>
                <w:color w:val="1A1A1A"/>
                <w:sz w:val="19"/>
                <w:szCs w:val="19"/>
                <w:rtl/>
              </w:rPr>
              <w:t>מזהה ישיר. אינו מופיע בשום שדה בקובץ, לא רק במספר. במקומו נאסף גיל באבחנה בלבד</w:t>
            </w:r>
          </w:p>
        </w:tc>
      </w:tr>
      <w:tr>
        <w:tc>
          <w:tcPr>
            <w:tcW w:type="dxa" w:w="1474"/>
          </w:tcPr>
          <w:p>
            <w:pPr>
              <w:bidi/>
              <w:spacing w:after="20" w:before="0" w:line="250"/>
              <w:jc w:val="left"/>
            </w:pPr>
            <w:r/>
            <w:r>
              <w:rPr>
                <w:rFonts w:ascii="Arial" w:hAnsi="Arial" w:cs="Arial"/>
                <w:b w:val="0"/>
                <w:color w:val="1A1A1A"/>
                <w:sz w:val="19"/>
                <w:szCs w:val="19"/>
                <w:rtl/>
              </w:rPr>
              <w:t>מספר תעודת זהות</w:t>
            </w:r>
          </w:p>
        </w:tc>
        <w:tc>
          <w:tcPr>
            <w:tcW w:type="dxa" w:w="2041"/>
          </w:tcPr>
          <w:p>
            <w:pPr>
              <w:bidi/>
              <w:spacing w:after="20" w:before="0" w:line="250"/>
              <w:jc w:val="left"/>
            </w:pPr>
            <w:r/>
            <w:r>
              <w:rPr>
                <w:rFonts w:ascii="Arial" w:hAnsi="Arial" w:cs="Arial"/>
                <w:b w:val="0"/>
                <w:color w:val="1A1A1A"/>
                <w:sz w:val="19"/>
                <w:szCs w:val="19"/>
                <w:rtl/>
              </w:rPr>
              <w:t>—</w:t>
            </w:r>
          </w:p>
        </w:tc>
        <w:tc>
          <w:tcPr>
            <w:tcW w:type="dxa" w:w="5896"/>
          </w:tcPr>
          <w:p>
            <w:pPr>
              <w:bidi/>
              <w:spacing w:after="20" w:before="0" w:line="250"/>
              <w:jc w:val="left"/>
            </w:pPr>
            <w:r/>
            <w:r>
              <w:rPr>
                <w:rFonts w:ascii="Arial" w:hAnsi="Arial" w:cs="Arial"/>
                <w:b w:val="0"/>
                <w:color w:val="1A1A1A"/>
                <w:sz w:val="19"/>
                <w:szCs w:val="19"/>
                <w:rtl/>
              </w:rPr>
              <w:t>מזהה ישיר. קיים אך ורק בקובץ המפתח הנפרד</w:t>
            </w:r>
          </w:p>
        </w:tc>
      </w:tr>
      <w:tr>
        <w:tc>
          <w:tcPr>
            <w:tcW w:type="dxa" w:w="1474"/>
          </w:tcPr>
          <w:p>
            <w:pPr>
              <w:bidi/>
              <w:spacing w:after="20" w:before="0" w:line="250"/>
              <w:jc w:val="left"/>
            </w:pPr>
            <w:r/>
            <w:r>
              <w:rPr>
                <w:rFonts w:ascii="Arial" w:hAnsi="Arial" w:cs="Arial"/>
                <w:b w:val="0"/>
                <w:color w:val="1A1A1A"/>
                <w:sz w:val="19"/>
                <w:szCs w:val="19"/>
                <w:rtl/>
              </w:rPr>
              <w:t>שלב ה-TNM</w:t>
            </w:r>
          </w:p>
        </w:tc>
        <w:tc>
          <w:tcPr>
            <w:tcW w:type="dxa" w:w="2041"/>
          </w:tcPr>
          <w:p>
            <w:pPr>
              <w:bidi/>
              <w:spacing w:after="20" w:before="0" w:line="250"/>
              <w:jc w:val="left"/>
            </w:pPr>
            <w:r/>
            <w:r>
              <w:rPr>
                <w:rFonts w:ascii="Arial" w:hAnsi="Arial" w:cs="Arial"/>
                <w:b w:val="0"/>
                <w:color w:val="1A1A1A"/>
                <w:sz w:val="19"/>
                <w:szCs w:val="19"/>
                <w:rtl/>
              </w:rPr>
              <w:t>N2 בהצעה המקורית</w:t>
            </w:r>
          </w:p>
        </w:tc>
        <w:tc>
          <w:tcPr>
            <w:tcW w:type="dxa" w:w="5896"/>
          </w:tcPr>
          <w:p>
            <w:pPr>
              <w:bidi/>
              <w:spacing w:after="20" w:before="0" w:line="250"/>
              <w:jc w:val="left"/>
            </w:pPr>
            <w:r/>
            <w:r>
              <w:rPr>
                <w:rFonts w:ascii="Arial" w:hAnsi="Arial" w:cs="Arial"/>
                <w:b w:val="0"/>
                <w:color w:val="1A1A1A"/>
                <w:sz w:val="19"/>
                <w:szCs w:val="19"/>
                <w:rtl/>
              </w:rPr>
              <w:t>שתי בעיות. האחת: השלב משתנה — שלב קליני הופך לשלב פתולוגי אחרי הניתוח, והמספר היה נהיה לא נכון או, גרוע מכך, היה משתנה באמצע המחקר. השנייה: השלב הוא משתנה מחקרי שנבדק — אסור שהוא יהיה חלק מן המזהה שלפיו מנתחים אותו</w:t>
            </w:r>
          </w:p>
        </w:tc>
      </w:tr>
    </w:tbl>
    <w:p/>
    <w:p>
      <w:pPr>
        <w:bidi/>
        <w:spacing w:after="180" w:before="0" w:line="300"/>
        <w:jc w:val="both"/>
      </w:pPr>
      <w:r>
        <w:rPr>
          <w:rFonts w:ascii="Arial" w:hAnsi="Arial" w:cs="Arial"/>
          <w:b w:val="0"/>
          <w:color w:val="555555"/>
          <w:sz w:val="19"/>
          <w:szCs w:val="19"/>
          <w:rtl/>
        </w:rPr>
        <w:t>ההצעה המקורית שנשקלה הייתה 9ARNPC1N26 — יום, ראשי תיבות, אתר, שלב ותאריך. היא נדחתה משני הטעמים הראשון והרביעי גם יחד.</w:t>
      </w:r>
    </w:p>
    <w:p>
      <w:pPr>
        <w:pBdr>
          <w:bottom w:val="single" w:color="9A9A9A" w:sz="6" w:space="6"/>
        </w:pBdr>
        <w:bidi/>
        <w:spacing w:after="160" w:before="360"/>
        <w:jc w:val="left"/>
      </w:pPr>
      <w:r>
        <w:rPr>
          <w:rFonts w:ascii="Arial" w:hAnsi="Arial" w:cs="Arial"/>
          <w:b/>
          <w:color w:val="1F3A5F"/>
          <w:sz w:val="29"/>
          <w:szCs w:val="29"/>
          <w:bCs/>
          <w:rtl/>
        </w:rPr>
        <w:t>4. מדוע אתר, צד וחודש כן נמצאים במספר</w:t>
      </w:r>
    </w:p>
    <w:p>
      <w:pPr>
        <w:bidi/>
        <w:spacing w:after="140" w:before="0" w:line="300"/>
        <w:jc w:val="both"/>
      </w:pPr>
      <w:r>
        <w:rPr>
          <w:rFonts w:ascii="Arial" w:hAnsi="Arial" w:cs="Arial"/>
          <w:b w:val="0"/>
          <w:color w:val="1A1A1A"/>
          <w:sz w:val="22"/>
          <w:szCs w:val="22"/>
          <w:rtl/>
        </w:rPr>
        <w:t>מזהה חסר משמעות לחלוטין הוא הבטוח ביותר מבחינת פרטיות, והוא גם המסוכן ביותר מבחינה קלינית. זו ההחלטה המרכזית בנוהל הזה, והיא מודעת לעצמה.</w:t>
      </w:r>
    </w:p>
    <w:p>
      <w:pPr>
        <w:bidi/>
        <w:spacing w:after="140" w:before="0" w:line="300"/>
        <w:jc w:val="both"/>
      </w:pPr>
      <w:r>
        <w:rPr>
          <w:rFonts w:ascii="Arial" w:hAnsi="Arial" w:cs="Arial"/>
          <w:b w:val="0"/>
          <w:color w:val="1A1A1A"/>
          <w:sz w:val="22"/>
          <w:szCs w:val="22"/>
          <w:rtl/>
        </w:rPr>
        <w:t>הסיכון שאותו שלושת הרכיבים האלה מונעים: בדיון על ״מטופל 014״ — בוועדה, בשיחת מסדרון, בבדיקת נתונים או בהודעה בין מטפלים — אין שום דבר שיעצור טעות. שני משתתפים סמוכים במספרם הם שני אנשים שונים לחלוטין, ואין באמירה עצמה רמז לכך שמישהו דיבר על הלא-נכון.</w:t>
      </w:r>
    </w:p>
    <w:p>
      <w:pPr>
        <w:bidi/>
        <w:spacing w:after="140" w:before="0" w:line="300"/>
        <w:jc w:val="both"/>
      </w:pPr>
      <w:r>
        <w:rPr>
          <w:rFonts w:ascii="Arial" w:hAnsi="Arial" w:cs="Arial"/>
          <w:b w:val="0"/>
          <w:color w:val="1A1A1A"/>
          <w:sz w:val="22"/>
          <w:szCs w:val="22"/>
          <w:rtl/>
        </w:rPr>
        <w:t>עם אתר, צד וחודש, טעות כזו מתגלה מיידית ובלי מאמץ: מי שרואה RET-23-014-GLT-L-03 ובראשו מטופל של בלוטת הרוק בצד ימין — עוצר. הרכיבים אינם משמשים לזיהוי המטופל; הם משמשים לשלילת הזיהוי השגוי.</w:t>
      </w:r>
    </w:p>
    <w:p>
      <w:pPr>
        <w:bidi/>
        <w:spacing w:after="140" w:before="0" w:line="300"/>
        <w:jc w:val="both"/>
      </w:pPr>
      <w:r>
        <w:rPr>
          <w:rFonts w:ascii="Arial" w:hAnsi="Arial" w:cs="Arial"/>
          <w:b w:val="0"/>
          <w:color w:val="1A1A1A"/>
          <w:sz w:val="22"/>
          <w:szCs w:val="22"/>
          <w:rtl/>
        </w:rPr>
        <w:t>המחיר של ההחלטה הזו מוכר ומטופל: המספר נושא מידע קליני, ולכן:</w:t>
      </w:r>
    </w:p>
    <w:p>
      <w:pPr>
        <w:bidi/>
        <w:spacing w:after="60" w:before="0" w:line="300"/>
        <w:jc w:val="both"/>
        <w:ind w:start="340" w:hanging="200"/>
      </w:pPr>
      <w:r>
        <w:rPr>
          <w:rFonts w:ascii="Arial" w:hAnsi="Arial" w:cs="Arial"/>
          <w:b w:val="0"/>
          <w:color w:val="1A1A1A"/>
          <w:sz w:val="22"/>
          <w:szCs w:val="22"/>
          <w:rtl/>
        </w:rPr>
        <w:t>•  הוא נשאר אך ורק בתוך הסביבה המאובטחת של כללית.</w:t>
      </w:r>
    </w:p>
    <w:p>
      <w:pPr>
        <w:bidi/>
        <w:spacing w:after="60" w:before="0" w:line="300"/>
        <w:jc w:val="both"/>
        <w:ind w:start="340" w:hanging="200"/>
      </w:pPr>
      <w:r>
        <w:rPr>
          <w:rFonts w:ascii="Arial" w:hAnsi="Arial" w:cs="Arial"/>
          <w:b w:val="0"/>
          <w:color w:val="1A1A1A"/>
          <w:sz w:val="22"/>
          <w:szCs w:val="22"/>
          <w:rtl/>
        </w:rPr>
        <w:t>•  בפרסום, בכנס, בפוסטר או בכל מצגת — מופיע המספר הרץ בלבד, או נתונים מקובצים. לעולם לא המספר המלא.</w:t>
      </w:r>
    </w:p>
    <w:p>
      <w:pPr>
        <w:bidi/>
        <w:spacing w:after="60" w:before="0" w:line="300"/>
        <w:jc w:val="both"/>
        <w:ind w:start="340" w:hanging="200"/>
      </w:pPr>
      <w:r>
        <w:rPr>
          <w:rFonts w:ascii="Arial" w:hAnsi="Arial" w:cs="Arial"/>
          <w:b w:val="0"/>
          <w:color w:val="1A1A1A"/>
          <w:sz w:val="22"/>
          <w:szCs w:val="22"/>
          <w:rtl/>
        </w:rPr>
        <w:t>•  בקובץ עצמו אין אף שדה מזהה ישיר, כך שהמספר לבדו אינו מוביל לאדם.</w:t>
      </w:r>
    </w:p>
    <w:p>
      <w:pPr>
        <w:pBdr>
          <w:bottom w:val="single" w:color="9A9A9A" w:sz="6" w:space="6"/>
        </w:pBdr>
        <w:bidi/>
        <w:spacing w:after="160" w:before="360"/>
        <w:jc w:val="left"/>
      </w:pPr>
      <w:r>
        <w:rPr>
          <w:rFonts w:ascii="Arial" w:hAnsi="Arial" w:cs="Arial"/>
          <w:b/>
          <w:color w:val="1F3A5F"/>
          <w:sz w:val="29"/>
          <w:szCs w:val="29"/>
          <w:bCs/>
          <w:rtl/>
        </w:rPr>
        <w:t>5. איך המספר נוצר בפועל</w:t>
      </w:r>
    </w:p>
    <w:p>
      <w:pPr>
        <w:bidi/>
        <w:spacing w:after="140" w:before="0" w:line="300"/>
        <w:jc w:val="both"/>
      </w:pPr>
      <w:r>
        <w:rPr>
          <w:rFonts w:ascii="Arial" w:hAnsi="Arial" w:cs="Arial"/>
          <w:b w:val="0"/>
          <w:color w:val="1A1A1A"/>
          <w:sz w:val="22"/>
          <w:szCs w:val="22"/>
          <w:rtl/>
        </w:rPr>
        <w:t>המספר אינו מוקלד. הוא נבנה בנוסחה בעמודה הראשונה של גיליון המטופלים, ברגע שארבעה שדות מולאו: מספר רץ, קוד אתר, צד ותאריך דוח הפתולוגיה.</w:t>
      </w:r>
    </w:p>
    <w:p>
      <w:pPr>
        <w:spacing w:after="0" w:before="80"/>
        <w:jc w:val="left"/>
      </w:pPr>
      <w:r>
        <w:rPr>
          <w:rFonts w:ascii="Consolas" w:hAnsi="Consolas" w:cs="Consolas"/>
          <w:b w:val="0"/>
          <w:color w:val="1F3A5F"/>
          <w:sz w:val="17"/>
          <w:szCs w:val="17"/>
        </w:rPr>
        <w:t>=IF(OR(seq="",site="",side="",t0=""),"",</w:t>
      </w:r>
    </w:p>
    <w:p>
      <w:pPr>
        <w:spacing w:after="200" w:before="80"/>
        <w:jc w:val="left"/>
      </w:pPr>
      <w:r>
        <w:rPr>
          <w:rFonts w:ascii="Consolas" w:hAnsi="Consolas" w:cs="Consolas"/>
          <w:b w:val="0"/>
          <w:color w:val="1F3A5F"/>
          <w:sz w:val="17"/>
          <w:szCs w:val="17"/>
        </w:rPr>
        <w:t xml:space="preserve">    "RET-"&amp;RIGHT(YEAR(t0),2)&amp;"-"&amp;TEXT(seq,"000")&amp;"-"&amp;site&amp;"-"&amp;side&amp;"-"&amp;TEXT(MONTH(t0),"00"))</w:t>
      </w:r>
    </w:p>
    <w:p>
      <w:pPr>
        <w:bidi/>
        <w:spacing w:after="60" w:before="0" w:line="300"/>
        <w:jc w:val="both"/>
        <w:ind w:start="340" w:hanging="200"/>
      </w:pPr>
      <w:r>
        <w:rPr>
          <w:rFonts w:ascii="Arial" w:hAnsi="Arial" w:cs="Arial"/>
          <w:b w:val="0"/>
          <w:color w:val="1A1A1A"/>
          <w:sz w:val="22"/>
          <w:szCs w:val="22"/>
          <w:rtl/>
        </w:rPr>
        <w:t>•  שלושת האפסים ב-TEXT(seq,"000") מבטיחים שהמספר הרץ תמיד בן שלוש ספרות, כך שהמיון האלפביתי זהה למיון המספרי.</w:t>
      </w:r>
    </w:p>
    <w:p>
      <w:pPr>
        <w:bidi/>
        <w:spacing w:after="60" w:before="0" w:line="300"/>
        <w:jc w:val="both"/>
        <w:ind w:start="340" w:hanging="200"/>
      </w:pPr>
      <w:r>
        <w:rPr>
          <w:rFonts w:ascii="Arial" w:hAnsi="Arial" w:cs="Arial"/>
          <w:b w:val="0"/>
          <w:color w:val="1A1A1A"/>
          <w:sz w:val="22"/>
          <w:szCs w:val="22"/>
          <w:rtl/>
        </w:rPr>
        <w:t>•  אותו הדבר לחודש: TEXT(MONTH(t0),"00") נותן 03 ולא 3.</w:t>
      </w:r>
    </w:p>
    <w:p>
      <w:pPr>
        <w:bidi/>
        <w:spacing w:after="60" w:before="0" w:line="300"/>
        <w:jc w:val="both"/>
        <w:ind w:start="340" w:hanging="200"/>
      </w:pPr>
      <w:r>
        <w:rPr>
          <w:rFonts w:ascii="Arial" w:hAnsi="Arial" w:cs="Arial"/>
          <w:b w:val="0"/>
          <w:color w:val="1A1A1A"/>
          <w:sz w:val="22"/>
          <w:szCs w:val="22"/>
          <w:rtl/>
        </w:rPr>
        <w:t>•  כל עוד אחד מארבעת השדות ריק — התא ריק. אין מספר חלקי.</w:t>
      </w:r>
    </w:p>
    <w:p>
      <w:pPr>
        <w:bidi/>
        <w:spacing w:after="60" w:before="0" w:line="300"/>
        <w:jc w:val="both"/>
        <w:ind w:start="340" w:hanging="200"/>
      </w:pPr>
      <w:r>
        <w:rPr>
          <w:rFonts w:ascii="Arial" w:hAnsi="Arial" w:cs="Arial"/>
          <w:b w:val="0"/>
          <w:color w:val="1A1A1A"/>
          <w:sz w:val="22"/>
          <w:szCs w:val="22"/>
          <w:rtl/>
        </w:rPr>
        <w:t>•  בקובץ הפיילוט הקידומת היא ENT או HIS; בקובץ הרטרוספקטיבי RET. הנוסחה זהה בכל השאר.</w:t>
      </w:r>
    </w:p>
    <w:p>
      <w:pPr>
        <w:bidi/>
        <w:spacing w:after="140" w:before="0" w:line="300"/>
        <w:jc w:val="both"/>
      </w:pPr>
      <w:r>
        <w:rPr>
          <w:rFonts w:ascii="Arial" w:hAnsi="Arial" w:cs="Arial"/>
          <w:b w:val="0"/>
          <w:color w:val="1A1A1A"/>
          <w:sz w:val="22"/>
          <w:szCs w:val="22"/>
          <w:rtl/>
        </w:rPr>
        <w:t>באפליקציה עצמה המספר מוקצה באותו אופן, בקוד: ‏lib/study-id.ts מחזיק את רשימת 23 קודי האתר, את פונקציית הבנייה, את הפירוק חזרה לרכיבים, את בדיקת התקינות ואת חישוב המספר הרץ הבא. שני המימושים נבדקו זה מול זה — הגיליון שחזר את כל עשרים המספרים שהאפליקציה הקצתה בסימולציה.</w:t>
      </w:r>
    </w:p>
    <w:p>
      <w:pPr>
        <w:pBdr>
          <w:bottom w:val="single" w:color="9A9A9A" w:sz="6" w:space="6"/>
        </w:pBdr>
        <w:bidi/>
        <w:spacing w:after="160" w:before="360"/>
        <w:jc w:val="left"/>
      </w:pPr>
      <w:r>
        <w:rPr>
          <w:rFonts w:ascii="Arial" w:hAnsi="Arial" w:cs="Arial"/>
          <w:b/>
          <w:color w:val="1F3A5F"/>
          <w:sz w:val="29"/>
          <w:szCs w:val="29"/>
          <w:bCs/>
          <w:rtl/>
        </w:rPr>
        <w:t>6. כללי ההקצאה</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ההקצאה נעשית פעם אחת</w:t>
      </w:r>
      <w:r>
        <w:rPr>
          <w:rFonts w:ascii="Arial" w:hAnsi="Arial" w:cs="Arial"/>
          <w:b w:val="0"/>
          <w:color w:val="1A1A1A"/>
          <w:sz w:val="22"/>
          <w:szCs w:val="22"/>
          <w:rtl/>
        </w:rPr>
        <w:t>, בכניסה למחקר, לפי סדר האיתור או ההכללה. המספר הרץ הבא הוא תמיד הגבוה ביותר שהוקצה ועוד אחד.</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המספר מוקפא ברגע שהוקצה.</w:t>
      </w:r>
      <w:r>
        <w:rPr>
          <w:rFonts w:ascii="Arial" w:hAnsi="Arial" w:cs="Arial"/>
          <w:b w:val="0"/>
          <w:color w:val="1A1A1A"/>
          <w:sz w:val="22"/>
          <w:szCs w:val="22"/>
          <w:rtl/>
        </w:rPr>
        <w:t xml:space="preserve"> זהו הכלל החשוב ביותר בנוהל.</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אם האתר מתוקן בהמשך</w:t>
      </w:r>
      <w:r>
        <w:rPr>
          <w:rFonts w:ascii="Arial" w:hAnsi="Arial" w:cs="Arial"/>
          <w:b w:val="0"/>
          <w:color w:val="1A1A1A"/>
          <w:sz w:val="22"/>
          <w:szCs w:val="22"/>
          <w:rtl/>
        </w:rPr>
        <w:t xml:space="preserve"> — למשל, מה שנרשם כגידול של בסיס הלשון מתברר בפתולוגיה הסופית כשקד — מתקנים את שדה האתר, מתעדים את התיקון בהערות, ומשאירים את המספר כפי שהוא. כדי לעשות זאת בגיליון: העתקה של תא המספר והדבקה שלו כערך, לפני שינוי שדה האתר.</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אותו הדבר לצד ולתאריך.</w:t>
      </w:r>
      <w:r>
        <w:rPr>
          <w:rFonts w:ascii="Arial" w:hAnsi="Arial" w:cs="Arial"/>
          <w:b w:val="0"/>
          <w:color w:val="1A1A1A"/>
          <w:sz w:val="22"/>
          <w:szCs w:val="22"/>
          <w:rtl/>
        </w:rPr>
        <w:t xml:space="preserve"> מספר שהשתנה הוא מספר שאבד: כל פלט, כל טבלה וכל רישום שנעשה לפני השינוי מפנים עכשיו לשום מקום.</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מספר של מטופל שהוצא מן המחקר אינו ממוחזר.</w:t>
      </w:r>
      <w:r>
        <w:rPr>
          <w:rFonts w:ascii="Arial" w:hAnsi="Arial" w:cs="Arial"/>
          <w:b w:val="0"/>
          <w:color w:val="1A1A1A"/>
          <w:sz w:val="22"/>
          <w:szCs w:val="22"/>
          <w:rtl/>
        </w:rPr>
        <w:t xml:space="preserve"> השורה נשארת, עם סיבת ההוצאה, והמספר הבא ממשיך הלאה. זה מה שמאפשר לבנות את תרשים ה-STROBE.</w:t>
      </w:r>
    </w:p>
    <w:p>
      <w:pPr>
        <w:bidi/>
        <w:spacing w:after="60" w:before="0" w:line="300"/>
        <w:jc w:val="both"/>
        <w:ind w:start="340" w:hanging="200"/>
      </w:pPr>
      <w:r>
        <w:rPr>
          <w:rFonts w:ascii="Arial" w:hAnsi="Arial" w:cs="Arial"/>
          <w:b w:val="0"/>
          <w:color w:val="1A1A1A"/>
          <w:sz w:val="22"/>
          <w:szCs w:val="22"/>
          <w:rtl/>
        </w:rPr>
        <w:t xml:space="preserve">•  </w:t>
      </w:r>
      <w:r>
        <w:rPr>
          <w:rFonts w:ascii="Arial" w:hAnsi="Arial" w:cs="Arial"/>
          <w:b/>
          <w:color w:val="1A1A1A"/>
          <w:sz w:val="22"/>
          <w:szCs w:val="22"/>
          <w:bCs/>
          <w:rtl/>
        </w:rPr>
        <w:t>אין מספר בלי תאריך פתולוגיה.</w:t>
      </w:r>
      <w:r>
        <w:rPr>
          <w:rFonts w:ascii="Arial" w:hAnsi="Arial" w:cs="Arial"/>
          <w:b w:val="0"/>
          <w:color w:val="1A1A1A"/>
          <w:sz w:val="22"/>
          <w:szCs w:val="22"/>
          <w:rtl/>
        </w:rPr>
        <w:t xml:space="preserve"> מטופל שנדון בוועדה לפני שהתקבל דוח ממאיר אינו מקבל מספר עדיין.</w:t>
      </w:r>
    </w:p>
    <w:p>
      <w:pPr>
        <w:bidi/>
        <w:spacing w:after="80" w:before="200"/>
        <w:jc w:val="left"/>
      </w:pPr>
      <w:r>
        <w:rPr>
          <w:rFonts w:ascii="Arial" w:hAnsi="Arial" w:cs="Arial"/>
          <w:b/>
          <w:color w:val="1F3A5F"/>
          <w:sz w:val="24"/>
          <w:szCs w:val="24"/>
          <w:bCs/>
          <w:rtl/>
        </w:rPr>
        <w:t>הגנות שהגיליון מפעיל מעצמו</w:t>
      </w:r>
    </w:p>
    <w:p>
      <w:pPr>
        <w:bidi/>
        <w:spacing w:after="60" w:before="0" w:line="300"/>
        <w:jc w:val="both"/>
        <w:ind w:start="340" w:hanging="200"/>
      </w:pPr>
      <w:r>
        <w:rPr>
          <w:rFonts w:ascii="Arial" w:hAnsi="Arial" w:cs="Arial"/>
          <w:b w:val="0"/>
          <w:color w:val="1A1A1A"/>
          <w:sz w:val="22"/>
          <w:szCs w:val="22"/>
          <w:rtl/>
        </w:rPr>
        <w:t>•  מספר מחקר שמופיע פעמיים נצבע באדום אוטומטית.</w:t>
      </w:r>
    </w:p>
    <w:p>
      <w:pPr>
        <w:bidi/>
        <w:spacing w:after="60" w:before="0" w:line="300"/>
        <w:jc w:val="both"/>
        <w:ind w:start="340" w:hanging="200"/>
      </w:pPr>
      <w:r>
        <w:rPr>
          <w:rFonts w:ascii="Arial" w:hAnsi="Arial" w:cs="Arial"/>
          <w:b w:val="0"/>
          <w:color w:val="1A1A1A"/>
          <w:sz w:val="22"/>
          <w:szCs w:val="22"/>
          <w:rtl/>
        </w:rPr>
        <w:t>•  שדות האתר והצד מקבלים ערכים מרשימה סגורה בלבד; הקלדה חופשית נדחית.</w:t>
      </w:r>
    </w:p>
    <w:p>
      <w:pPr>
        <w:bidi/>
        <w:spacing w:after="60" w:before="0" w:line="300"/>
        <w:jc w:val="both"/>
        <w:ind w:start="340" w:hanging="200"/>
      </w:pPr>
      <w:r>
        <w:rPr>
          <w:rFonts w:ascii="Arial" w:hAnsi="Arial" w:cs="Arial"/>
          <w:b w:val="0"/>
          <w:color w:val="1A1A1A"/>
          <w:sz w:val="22"/>
          <w:szCs w:val="22"/>
          <w:rtl/>
        </w:rPr>
        <w:t>•  כל מרווח שלילי — כלומר תאריכים שהוזנו הפוך — נצבע באדום.</w:t>
      </w:r>
    </w:p>
    <w:p>
      <w:pPr>
        <w:pBdr>
          <w:bottom w:val="single" w:color="9A9A9A" w:sz="6" w:space="6"/>
        </w:pBdr>
        <w:bidi/>
        <w:spacing w:after="160" w:before="360"/>
        <w:jc w:val="left"/>
      </w:pPr>
      <w:r>
        <w:rPr>
          <w:rFonts w:ascii="Arial" w:hAnsi="Arial" w:cs="Arial"/>
          <w:b/>
          <w:color w:val="1F3A5F"/>
          <w:sz w:val="29"/>
          <w:szCs w:val="29"/>
          <w:bCs/>
          <w:rtl/>
        </w:rPr>
        <w:t>7. קובץ המפתח</w:t>
      </w:r>
    </w:p>
    <w:p>
      <w:pPr>
        <w:bidi/>
        <w:spacing w:after="140" w:before="0" w:line="300"/>
        <w:jc w:val="both"/>
      </w:pPr>
      <w:r>
        <w:rPr>
          <w:rFonts w:ascii="Arial" w:hAnsi="Arial" w:cs="Arial"/>
          <w:b w:val="0"/>
          <w:color w:val="1A1A1A"/>
          <w:sz w:val="22"/>
          <w:szCs w:val="22"/>
          <w:rtl/>
        </w:rPr>
        <w:t>המספר לבדו אינו מוביל לאדם. הקישור בין המספר לזהות קיים בקובץ אחד בלבד — קובץ המפתח.</w:t>
      </w:r>
    </w:p>
    <w:tbl>
      <w:tblPr>
        <w:tblStyle w:val="TableGrid"/>
        <w:tblW w:type="auto" w:w="0"/>
        <w:jc w:val="center"/>
        <w:tblLook w:firstColumn="1" w:firstRow="1" w:lastColumn="0" w:lastRow="0" w:noHBand="0" w:noVBand="1" w:val="04A0"/>
        <w:bidiVisual/>
      </w:tblPr>
      <w:tblGrid>
        <w:gridCol w:w="4706"/>
        <w:gridCol w:w="4706"/>
      </w:tblGrid>
      <w:tr>
        <w:tc>
          <w:tcPr>
            <w:tcW w:type="dxa" w:w="1247"/>
            <w:shd w:val="clear" w:fill="DCE6F2"/>
          </w:tcPr>
          <w:p>
            <w:pPr>
              <w:bidi/>
              <w:spacing w:after="20" w:before="0" w:line="250"/>
              <w:jc w:val="left"/>
            </w:pPr>
            <w:r/>
            <w:r>
              <w:rPr>
                <w:rFonts w:ascii="Arial" w:hAnsi="Arial" w:cs="Arial"/>
                <w:b/>
                <w:color w:val="1A1A1A"/>
                <w:sz w:val="19"/>
                <w:szCs w:val="19"/>
                <w:bCs/>
                <w:rtl/>
              </w:rPr>
              <w:t>מה</w:t>
            </w:r>
          </w:p>
        </w:tc>
        <w:tc>
          <w:tcPr>
            <w:tcW w:type="dxa" w:w="8164"/>
            <w:shd w:val="clear" w:fill="DCE6F2"/>
          </w:tcPr>
          <w:p>
            <w:pPr>
              <w:bidi/>
              <w:spacing w:after="20" w:before="0" w:line="250"/>
              <w:jc w:val="left"/>
            </w:pPr>
            <w:r/>
            <w:r>
              <w:rPr>
                <w:rFonts w:ascii="Arial" w:hAnsi="Arial" w:cs="Arial"/>
                <w:b/>
                <w:color w:val="1A1A1A"/>
                <w:sz w:val="19"/>
                <w:szCs w:val="19"/>
                <w:bCs/>
                <w:rtl/>
              </w:rPr>
              <w:t>הכלל</w:t>
            </w:r>
          </w:p>
        </w:tc>
      </w:tr>
      <w:tr>
        <w:tc>
          <w:tcPr>
            <w:tcW w:type="dxa" w:w="1247"/>
          </w:tcPr>
          <w:p>
            <w:pPr>
              <w:bidi/>
              <w:spacing w:after="20" w:before="0" w:line="250"/>
              <w:jc w:val="left"/>
            </w:pPr>
            <w:r/>
            <w:r>
              <w:rPr>
                <w:rFonts w:ascii="Arial" w:hAnsi="Arial" w:cs="Arial"/>
                <w:b w:val="0"/>
                <w:color w:val="1A1A1A"/>
                <w:sz w:val="19"/>
                <w:szCs w:val="19"/>
                <w:rtl/>
              </w:rPr>
              <w:t>תוכן</w:t>
            </w:r>
          </w:p>
        </w:tc>
        <w:tc>
          <w:tcPr>
            <w:tcW w:type="dxa" w:w="8164"/>
          </w:tcPr>
          <w:p>
            <w:pPr>
              <w:bidi/>
              <w:spacing w:after="20" w:before="0" w:line="250"/>
              <w:jc w:val="left"/>
            </w:pPr>
            <w:r/>
            <w:r>
              <w:rPr>
                <w:rFonts w:ascii="Arial" w:hAnsi="Arial" w:cs="Arial"/>
                <w:b w:val="0"/>
                <w:color w:val="1A1A1A"/>
                <w:sz w:val="19"/>
                <w:szCs w:val="19"/>
                <w:rtl/>
              </w:rPr>
              <w:t>מספר המחקר · שם מלא · מספר תעודת זהות. ולא יותר מזה</w:t>
            </w:r>
          </w:p>
        </w:tc>
      </w:tr>
      <w:tr>
        <w:tc>
          <w:tcPr>
            <w:tcW w:type="dxa" w:w="1247"/>
          </w:tcPr>
          <w:p>
            <w:pPr>
              <w:bidi/>
              <w:spacing w:after="20" w:before="0" w:line="250"/>
              <w:jc w:val="left"/>
            </w:pPr>
            <w:r/>
            <w:r>
              <w:rPr>
                <w:rFonts w:ascii="Arial" w:hAnsi="Arial" w:cs="Arial"/>
                <w:b w:val="0"/>
                <w:color w:val="1A1A1A"/>
                <w:sz w:val="19"/>
                <w:szCs w:val="19"/>
                <w:rtl/>
              </w:rPr>
              <w:t>מיקום</w:t>
            </w:r>
          </w:p>
        </w:tc>
        <w:tc>
          <w:tcPr>
            <w:tcW w:type="dxa" w:w="8164"/>
          </w:tcPr>
          <w:p>
            <w:pPr>
              <w:bidi/>
              <w:spacing w:after="20" w:before="0" w:line="250"/>
              <w:jc w:val="left"/>
            </w:pPr>
            <w:r/>
            <w:r>
              <w:rPr>
                <w:rFonts w:ascii="Arial" w:hAnsi="Arial" w:cs="Arial"/>
                <w:b w:val="0"/>
                <w:color w:val="1A1A1A"/>
                <w:sz w:val="19"/>
                <w:szCs w:val="19"/>
                <w:rtl/>
              </w:rPr>
              <w:t>מחשב כללית בלבד, בתיקייה מוגנת. לא בענן, לא בדואר, לא בהתקן נייד</w:t>
            </w:r>
          </w:p>
        </w:tc>
      </w:tr>
      <w:tr>
        <w:tc>
          <w:tcPr>
            <w:tcW w:type="dxa" w:w="1247"/>
          </w:tcPr>
          <w:p>
            <w:pPr>
              <w:bidi/>
              <w:spacing w:after="20" w:before="0" w:line="250"/>
              <w:jc w:val="left"/>
            </w:pPr>
            <w:r/>
            <w:r>
              <w:rPr>
                <w:rFonts w:ascii="Arial" w:hAnsi="Arial" w:cs="Arial"/>
                <w:b w:val="0"/>
                <w:color w:val="1A1A1A"/>
                <w:sz w:val="19"/>
                <w:szCs w:val="19"/>
                <w:rtl/>
              </w:rPr>
              <w:t>הגנה</w:t>
            </w:r>
          </w:p>
        </w:tc>
        <w:tc>
          <w:tcPr>
            <w:tcW w:type="dxa" w:w="8164"/>
          </w:tcPr>
          <w:p>
            <w:pPr>
              <w:bidi/>
              <w:spacing w:after="20" w:before="0" w:line="250"/>
              <w:jc w:val="left"/>
            </w:pPr>
            <w:r/>
            <w:r>
              <w:rPr>
                <w:rFonts w:ascii="Arial" w:hAnsi="Arial" w:cs="Arial"/>
                <w:b w:val="0"/>
                <w:color w:val="1A1A1A"/>
                <w:sz w:val="19"/>
                <w:szCs w:val="19"/>
                <w:rtl/>
              </w:rPr>
              <w:t>מוגן סיסמה, נפרד פיזית מקובץ הנתונים</w:t>
            </w:r>
          </w:p>
        </w:tc>
      </w:tr>
      <w:tr>
        <w:tc>
          <w:tcPr>
            <w:tcW w:type="dxa" w:w="1247"/>
          </w:tcPr>
          <w:p>
            <w:pPr>
              <w:bidi/>
              <w:spacing w:after="20" w:before="0" w:line="250"/>
              <w:jc w:val="left"/>
            </w:pPr>
            <w:r/>
            <w:r>
              <w:rPr>
                <w:rFonts w:ascii="Arial" w:hAnsi="Arial" w:cs="Arial"/>
                <w:b w:val="0"/>
                <w:color w:val="1A1A1A"/>
                <w:sz w:val="19"/>
                <w:szCs w:val="19"/>
                <w:rtl/>
              </w:rPr>
              <w:t>גישה</w:t>
            </w:r>
          </w:p>
        </w:tc>
        <w:tc>
          <w:tcPr>
            <w:tcW w:type="dxa" w:w="8164"/>
          </w:tcPr>
          <w:p>
            <w:pPr>
              <w:bidi/>
              <w:spacing w:after="20" w:before="0" w:line="250"/>
              <w:jc w:val="left"/>
            </w:pPr>
            <w:r/>
            <w:r>
              <w:rPr>
                <w:rFonts w:ascii="Arial" w:hAnsi="Arial" w:cs="Arial"/>
                <w:b w:val="0"/>
                <w:color w:val="1A1A1A"/>
                <w:sz w:val="19"/>
                <w:szCs w:val="19"/>
                <w:rtl/>
              </w:rPr>
              <w:t>החוקר הראשי, וחוקר נוסף מוגדר בשמו</w:t>
            </w:r>
          </w:p>
        </w:tc>
      </w:tr>
      <w:tr>
        <w:tc>
          <w:tcPr>
            <w:tcW w:type="dxa" w:w="1247"/>
          </w:tcPr>
          <w:p>
            <w:pPr>
              <w:bidi/>
              <w:spacing w:after="20" w:before="0" w:line="250"/>
              <w:jc w:val="left"/>
            </w:pPr>
            <w:r/>
            <w:r>
              <w:rPr>
                <w:rFonts w:ascii="Arial" w:hAnsi="Arial" w:cs="Arial"/>
                <w:b w:val="0"/>
                <w:color w:val="1A1A1A"/>
                <w:sz w:val="19"/>
                <w:szCs w:val="19"/>
                <w:rtl/>
              </w:rPr>
              <w:t>העברה</w:t>
            </w:r>
          </w:p>
        </w:tc>
        <w:tc>
          <w:tcPr>
            <w:tcW w:type="dxa" w:w="8164"/>
          </w:tcPr>
          <w:p>
            <w:pPr>
              <w:bidi/>
              <w:spacing w:after="20" w:before="0" w:line="250"/>
              <w:jc w:val="left"/>
            </w:pPr>
            <w:r/>
            <w:r>
              <w:rPr>
                <w:rFonts w:ascii="Arial" w:hAnsi="Arial" w:cs="Arial"/>
                <w:b w:val="0"/>
                <w:color w:val="1A1A1A"/>
                <w:sz w:val="19"/>
                <w:szCs w:val="19"/>
                <w:rtl/>
              </w:rPr>
              <w:t>אינו מועבר לאיש. לא לסטטיסטיקאי, לא לשותפים, לא לכתב העת</w:t>
            </w:r>
          </w:p>
        </w:tc>
      </w:tr>
      <w:tr>
        <w:tc>
          <w:tcPr>
            <w:tcW w:type="dxa" w:w="1247"/>
          </w:tcPr>
          <w:p>
            <w:pPr>
              <w:bidi/>
              <w:spacing w:after="20" w:before="0" w:line="250"/>
              <w:jc w:val="left"/>
            </w:pPr>
            <w:r/>
            <w:r>
              <w:rPr>
                <w:rFonts w:ascii="Arial" w:hAnsi="Arial" w:cs="Arial"/>
                <w:b w:val="0"/>
                <w:color w:val="1A1A1A"/>
                <w:sz w:val="19"/>
                <w:szCs w:val="19"/>
                <w:rtl/>
              </w:rPr>
              <w:t>השמדה</w:t>
            </w:r>
          </w:p>
        </w:tc>
        <w:tc>
          <w:tcPr>
            <w:tcW w:type="dxa" w:w="8164"/>
          </w:tcPr>
          <w:p>
            <w:pPr>
              <w:bidi/>
              <w:spacing w:after="20" w:before="0" w:line="250"/>
              <w:jc w:val="left"/>
            </w:pPr>
            <w:r/>
            <w:r>
              <w:rPr>
                <w:rFonts w:ascii="Arial" w:hAnsi="Arial" w:cs="Arial"/>
                <w:b w:val="0"/>
                <w:color w:val="1A1A1A"/>
                <w:sz w:val="19"/>
                <w:szCs w:val="19"/>
                <w:rtl/>
              </w:rPr>
              <w:t>בתום תקופת השמירה הנדרשת — קובץ המפתח מושמד, והקובץ המקודד נשאר ללא אפשרות זיהוי</w:t>
            </w:r>
          </w:p>
        </w:tc>
      </w:tr>
    </w:tbl>
    <w:p/>
    <w:p>
      <w:pPr>
        <w:bidi/>
        <w:spacing w:after="180" w:before="0" w:line="300"/>
        <w:jc w:val="both"/>
      </w:pPr>
      <w:r>
        <w:rPr>
          <w:rFonts w:ascii="Arial" w:hAnsi="Arial" w:cs="Arial"/>
          <w:b w:val="0"/>
          <w:color w:val="555555"/>
          <w:sz w:val="19"/>
          <w:szCs w:val="19"/>
          <w:rtl/>
        </w:rPr>
        <w:t>קובץ הנתונים עצמו אינו מכיל שם, תעודת זהות, תאריך לידה, כתובת או טלפון — בשום שדה. גם שדה ההערות החופשי נושא אזהרה מפורשת בגיליון.</w:t>
      </w:r>
    </w:p>
    <w:p>
      <w:pPr>
        <w:pBdr>
          <w:bottom w:val="single" w:color="9A9A9A" w:sz="6" w:space="6"/>
        </w:pBdr>
        <w:bidi/>
        <w:spacing w:after="160" w:before="360"/>
        <w:jc w:val="left"/>
      </w:pPr>
      <w:r>
        <w:rPr>
          <w:rFonts w:ascii="Arial" w:hAnsi="Arial" w:cs="Arial"/>
          <w:b/>
          <w:color w:val="1F3A5F"/>
          <w:sz w:val="29"/>
          <w:szCs w:val="29"/>
          <w:bCs/>
          <w:rtl/>
        </w:rPr>
        <w:t>8. אימות זהות לפני פעולה קלינית</w:t>
      </w:r>
    </w:p>
    <w:p>
      <w:pPr>
        <w:bidi/>
        <w:spacing w:after="140" w:before="0" w:line="300"/>
        <w:jc w:val="both"/>
      </w:pPr>
      <w:r>
        <w:rPr>
          <w:rFonts w:ascii="Arial" w:hAnsi="Arial" w:cs="Arial"/>
          <w:b w:val="0"/>
          <w:color w:val="1A1A1A"/>
          <w:sz w:val="22"/>
          <w:szCs w:val="22"/>
          <w:rtl/>
        </w:rPr>
        <w:t>מספר המחקר הוא מזהה מחקרי. הוא אינו מזהה קליני ואינו משמש כזה — לעולם.</w:t>
      </w:r>
    </w:p>
    <w:p>
      <w:pPr>
        <w:bidi/>
        <w:spacing w:after="140" w:before="0" w:line="300"/>
        <w:jc w:val="both"/>
      </w:pPr>
      <w:r>
        <w:rPr>
          <w:rFonts w:ascii="Arial" w:hAnsi="Arial" w:cs="Arial"/>
          <w:b w:val="0"/>
          <w:color w:val="1A1A1A"/>
          <w:sz w:val="22"/>
          <w:szCs w:val="22"/>
          <w:rtl/>
        </w:rPr>
        <w:t xml:space="preserve">לפני כל פעולה שנוגעת למטופל — הפניה, זימון, בקשת ייעוץ, החלטת טיפול — מאמתים את הזהות ברשומה של כללית בשני פרטים מזהים: </w:t>
      </w:r>
      <w:r>
        <w:rPr>
          <w:rFonts w:ascii="Arial" w:hAnsi="Arial" w:cs="Arial"/>
          <w:b/>
          <w:color w:val="1A1A1A"/>
          <w:sz w:val="22"/>
          <w:szCs w:val="22"/>
          <w:bCs/>
          <w:rtl/>
        </w:rPr>
        <w:t>שם מלא ומספר תעודת זהות</w:t>
      </w:r>
      <w:r>
        <w:rPr>
          <w:rFonts w:ascii="Arial" w:hAnsi="Arial" w:cs="Arial"/>
          <w:b w:val="0"/>
          <w:color w:val="1A1A1A"/>
          <w:sz w:val="22"/>
          <w:szCs w:val="22"/>
          <w:rtl/>
        </w:rPr>
        <w:t>. זהו התקן של ארגון הבריאות העולמי לזיהוי מטופלים, שאוסר במפורש להסתמך על מספר חדר, מספר רשומה או מזהה יחיד כלשהו.</w:t>
      </w:r>
    </w:p>
    <w:p>
      <w:pPr>
        <w:bidi/>
        <w:spacing w:after="140" w:before="0" w:line="300"/>
        <w:jc w:val="both"/>
      </w:pPr>
      <w:r>
        <w:rPr>
          <w:rFonts w:ascii="Arial" w:hAnsi="Arial" w:cs="Arial"/>
          <w:b w:val="0"/>
          <w:color w:val="1A1A1A"/>
          <w:sz w:val="22"/>
          <w:szCs w:val="22"/>
          <w:rtl/>
        </w:rPr>
        <w:t>הסדר הוא קבוע: קודם מאמתים את הזהות ברשומה, ורק אחר כך פועלים. מספר המחקר אינו מחליף את השלב הזה ואינו מקצר אותו.</w:t>
      </w:r>
    </w:p>
    <w:p>
      <w:pPr>
        <w:pBdr>
          <w:bottom w:val="single" w:color="9A9A9A" w:sz="6" w:space="6"/>
        </w:pBdr>
        <w:bidi/>
        <w:spacing w:after="160" w:before="360"/>
        <w:jc w:val="left"/>
      </w:pPr>
      <w:r>
        <w:rPr>
          <w:rFonts w:ascii="Arial" w:hAnsi="Arial" w:cs="Arial"/>
          <w:b/>
          <w:color w:val="1F3A5F"/>
          <w:sz w:val="29"/>
          <w:szCs w:val="29"/>
          <w:bCs/>
          <w:rtl/>
        </w:rPr>
        <w:t>9. שלוש דוגמאות מלאות</w:t>
      </w:r>
    </w:p>
    <w:tbl>
      <w:tblPr>
        <w:tblStyle w:val="TableGrid"/>
        <w:tblW w:type="auto" w:w="0"/>
        <w:jc w:val="center"/>
        <w:tblLook w:firstColumn="1" w:firstRow="1" w:lastColumn="0" w:lastRow="0" w:noHBand="0" w:noVBand="1" w:val="04A0"/>
        <w:bidiVisual/>
      </w:tblPr>
      <w:tblGrid>
        <w:gridCol w:w="3137"/>
        <w:gridCol w:w="3137"/>
        <w:gridCol w:w="3137"/>
      </w:tblGrid>
      <w:tr>
        <w:tc>
          <w:tcPr>
            <w:tcW w:type="dxa" w:w="2381"/>
            <w:shd w:val="clear" w:fill="DCE6F2"/>
          </w:tcPr>
          <w:p>
            <w:pPr>
              <w:bidi/>
              <w:spacing w:after="20" w:before="0" w:line="250"/>
              <w:jc w:val="left"/>
            </w:pPr>
            <w:r/>
            <w:r>
              <w:rPr>
                <w:rFonts w:ascii="Arial" w:hAnsi="Arial" w:cs="Arial"/>
                <w:b/>
                <w:color w:val="1A1A1A"/>
                <w:sz w:val="19"/>
                <w:szCs w:val="19"/>
                <w:bCs/>
                <w:rtl/>
              </w:rPr>
              <w:t>המספר</w:t>
            </w:r>
          </w:p>
        </w:tc>
        <w:tc>
          <w:tcPr>
            <w:tcW w:type="dxa" w:w="3061"/>
            <w:shd w:val="clear" w:fill="DCE6F2"/>
          </w:tcPr>
          <w:p>
            <w:pPr>
              <w:bidi/>
              <w:spacing w:after="20" w:before="0" w:line="250"/>
              <w:jc w:val="left"/>
            </w:pPr>
            <w:r/>
            <w:r>
              <w:rPr>
                <w:rFonts w:ascii="Arial" w:hAnsi="Arial" w:cs="Arial"/>
                <w:b/>
                <w:color w:val="1A1A1A"/>
                <w:sz w:val="19"/>
                <w:szCs w:val="19"/>
                <w:bCs/>
                <w:rtl/>
              </w:rPr>
              <w:t>הפירוק</w:t>
            </w:r>
          </w:p>
        </w:tc>
        <w:tc>
          <w:tcPr>
            <w:tcW w:type="dxa" w:w="3969"/>
            <w:shd w:val="clear" w:fill="DCE6F2"/>
          </w:tcPr>
          <w:p>
            <w:pPr>
              <w:bidi/>
              <w:spacing w:after="20" w:before="0" w:line="250"/>
              <w:jc w:val="left"/>
            </w:pPr>
            <w:r/>
            <w:r>
              <w:rPr>
                <w:rFonts w:ascii="Arial" w:hAnsi="Arial" w:cs="Arial"/>
                <w:b/>
                <w:color w:val="1A1A1A"/>
                <w:sz w:val="19"/>
                <w:szCs w:val="19"/>
                <w:bCs/>
                <w:rtl/>
              </w:rPr>
              <w:t>המטופל</w:t>
            </w:r>
          </w:p>
        </w:tc>
      </w:tr>
      <w:tr>
        <w:tc>
          <w:tcPr>
            <w:tcW w:type="dxa" w:w="2381"/>
          </w:tcPr>
          <w:p>
            <w:pPr>
              <w:bidi/>
              <w:spacing w:after="20" w:before="0" w:line="250"/>
              <w:jc w:val="left"/>
            </w:pPr>
            <w:r/>
            <w:r>
              <w:rPr>
                <w:rFonts w:ascii="Consolas" w:hAnsi="Consolas" w:cs="Consolas"/>
                <w:b w:val="0"/>
                <w:color w:val="1A1A1A"/>
                <w:sz w:val="19"/>
                <w:szCs w:val="19"/>
              </w:rPr>
              <w:t>ENT-26-007-NPC-M-09</w:t>
            </w:r>
          </w:p>
        </w:tc>
        <w:tc>
          <w:tcPr>
            <w:tcW w:type="dxa" w:w="3061"/>
          </w:tcPr>
          <w:p>
            <w:pPr>
              <w:bidi/>
              <w:spacing w:after="20" w:before="0" w:line="250"/>
              <w:jc w:val="left"/>
            </w:pPr>
            <w:r/>
            <w:r>
              <w:rPr>
                <w:rFonts w:ascii="Arial" w:hAnsi="Arial" w:cs="Arial"/>
                <w:b w:val="0"/>
                <w:color w:val="1A1A1A"/>
                <w:sz w:val="19"/>
                <w:szCs w:val="19"/>
                <w:rtl/>
              </w:rPr>
              <w:t>פיילוט · 2026 · שביעי שנכנס · לוע האף · קו אמצע · ספטמבר</w:t>
            </w:r>
          </w:p>
        </w:tc>
        <w:tc>
          <w:tcPr>
            <w:tcW w:type="dxa" w:w="3969"/>
          </w:tcPr>
          <w:p>
            <w:pPr>
              <w:bidi/>
              <w:spacing w:after="20" w:before="0" w:line="250"/>
              <w:jc w:val="left"/>
            </w:pPr>
            <w:r/>
            <w:r>
              <w:rPr>
                <w:rFonts w:ascii="Arial" w:hAnsi="Arial" w:cs="Arial"/>
                <w:b w:val="0"/>
                <w:color w:val="1A1A1A"/>
                <w:sz w:val="19"/>
                <w:szCs w:val="19"/>
                <w:rtl/>
              </w:rPr>
              <w:t>קרצינומה של לוע האף, דוח פתולוגיה בספטמבר 2026, המטופל השביעי שנכנס לזרוע ההתערבות</w:t>
            </w:r>
          </w:p>
        </w:tc>
      </w:tr>
      <w:tr>
        <w:tc>
          <w:tcPr>
            <w:tcW w:type="dxa" w:w="2381"/>
          </w:tcPr>
          <w:p>
            <w:pPr>
              <w:bidi/>
              <w:spacing w:after="20" w:before="0" w:line="250"/>
              <w:jc w:val="left"/>
            </w:pPr>
            <w:r/>
            <w:r>
              <w:rPr>
                <w:rFonts w:ascii="Consolas" w:hAnsi="Consolas" w:cs="Consolas"/>
                <w:b w:val="0"/>
                <w:color w:val="1A1A1A"/>
                <w:sz w:val="19"/>
                <w:szCs w:val="19"/>
              </w:rPr>
              <w:t>RET-23-014-GLT-L-03</w:t>
            </w:r>
          </w:p>
        </w:tc>
        <w:tc>
          <w:tcPr>
            <w:tcW w:type="dxa" w:w="3061"/>
          </w:tcPr>
          <w:p>
            <w:pPr>
              <w:bidi/>
              <w:spacing w:after="20" w:before="0" w:line="250"/>
              <w:jc w:val="left"/>
            </w:pPr>
            <w:r/>
            <w:r>
              <w:rPr>
                <w:rFonts w:ascii="Arial" w:hAnsi="Arial" w:cs="Arial"/>
                <w:b w:val="0"/>
                <w:color w:val="1A1A1A"/>
                <w:sz w:val="19"/>
                <w:szCs w:val="19"/>
                <w:rtl/>
              </w:rPr>
              <w:t>רטרוספקטיבי · 2023 · הארבעה-עשר ברשימה · גרון גלוטי · שמאל · מרץ</w:t>
            </w:r>
          </w:p>
        </w:tc>
        <w:tc>
          <w:tcPr>
            <w:tcW w:type="dxa" w:w="3969"/>
          </w:tcPr>
          <w:p>
            <w:pPr>
              <w:bidi/>
              <w:spacing w:after="20" w:before="0" w:line="250"/>
              <w:jc w:val="left"/>
            </w:pPr>
            <w:r/>
            <w:r>
              <w:rPr>
                <w:rFonts w:ascii="Arial" w:hAnsi="Arial" w:cs="Arial"/>
                <w:b w:val="0"/>
                <w:color w:val="1A1A1A"/>
                <w:sz w:val="19"/>
                <w:szCs w:val="19"/>
                <w:rtl/>
              </w:rPr>
              <w:t>קרצינומה של מיתר הקול השמאלי, דוח פתולוגיה במרץ 2023, התיק הארבעה-עשר שנאסף</w:t>
            </w:r>
          </w:p>
        </w:tc>
      </w:tr>
      <w:tr>
        <w:tc>
          <w:tcPr>
            <w:tcW w:type="dxa" w:w="2381"/>
          </w:tcPr>
          <w:p>
            <w:pPr>
              <w:bidi/>
              <w:spacing w:after="20" w:before="0" w:line="250"/>
              <w:jc w:val="left"/>
            </w:pPr>
            <w:r/>
            <w:r>
              <w:rPr>
                <w:rFonts w:ascii="Consolas" w:hAnsi="Consolas" w:cs="Consolas"/>
                <w:b w:val="0"/>
                <w:color w:val="1A1A1A"/>
                <w:sz w:val="19"/>
                <w:szCs w:val="19"/>
              </w:rPr>
              <w:t>HIS-25-032-OT-R-11</w:t>
            </w:r>
          </w:p>
        </w:tc>
        <w:tc>
          <w:tcPr>
            <w:tcW w:type="dxa" w:w="3061"/>
          </w:tcPr>
          <w:p>
            <w:pPr>
              <w:bidi/>
              <w:spacing w:after="20" w:before="0" w:line="250"/>
              <w:jc w:val="left"/>
            </w:pPr>
            <w:r/>
            <w:r>
              <w:rPr>
                <w:rFonts w:ascii="Arial" w:hAnsi="Arial" w:cs="Arial"/>
                <w:b w:val="0"/>
                <w:color w:val="1A1A1A"/>
                <w:sz w:val="19"/>
                <w:szCs w:val="19"/>
                <w:rtl/>
              </w:rPr>
              <w:t>בקרה היסטורית · 2025 · השלושים ושניים · לשון · ימין · נובמבר</w:t>
            </w:r>
          </w:p>
        </w:tc>
        <w:tc>
          <w:tcPr>
            <w:tcW w:type="dxa" w:w="3969"/>
          </w:tcPr>
          <w:p>
            <w:pPr>
              <w:bidi/>
              <w:spacing w:after="20" w:before="0" w:line="250"/>
              <w:jc w:val="left"/>
            </w:pPr>
            <w:r/>
            <w:r>
              <w:rPr>
                <w:rFonts w:ascii="Arial" w:hAnsi="Arial" w:cs="Arial"/>
                <w:b w:val="0"/>
                <w:color w:val="1A1A1A"/>
                <w:sz w:val="19"/>
                <w:szCs w:val="19"/>
                <w:rtl/>
              </w:rPr>
              <w:t>קרצינומה של הלשון בצד ימין, דוח פתולוגיה בנובמבר 2025, מן המאגר הקיים</w:t>
            </w:r>
          </w:p>
        </w:tc>
      </w:tr>
    </w:tbl>
    <w:p/>
    <w:p>
      <w:pPr>
        <w:pBdr>
          <w:bottom w:val="single" w:color="9A9A9A" w:sz="6" w:space="6"/>
        </w:pBdr>
        <w:bidi/>
        <w:spacing w:after="160" w:before="360"/>
        <w:jc w:val="left"/>
      </w:pPr>
      <w:r>
        <w:rPr>
          <w:rFonts w:ascii="Arial" w:hAnsi="Arial" w:cs="Arial"/>
          <w:b/>
          <w:color w:val="1F3A5F"/>
          <w:sz w:val="29"/>
          <w:szCs w:val="29"/>
          <w:bCs/>
          <w:rtl/>
        </w:rPr>
        <w:t>10. תקלות שכיחות ומה עושים</w:t>
      </w:r>
    </w:p>
    <w:tbl>
      <w:tblPr>
        <w:tblStyle w:val="TableGrid"/>
        <w:tblW w:type="auto" w:w="0"/>
        <w:jc w:val="center"/>
        <w:tblLook w:firstColumn="1" w:firstRow="1" w:lastColumn="0" w:lastRow="0" w:noHBand="0" w:noVBand="1" w:val="04A0"/>
        <w:bidiVisual/>
      </w:tblPr>
      <w:tblGrid>
        <w:gridCol w:w="4706"/>
        <w:gridCol w:w="4706"/>
      </w:tblGrid>
      <w:tr>
        <w:tc>
          <w:tcPr>
            <w:tcW w:type="dxa" w:w="2948"/>
            <w:shd w:val="clear" w:fill="DCE6F2"/>
          </w:tcPr>
          <w:p>
            <w:pPr>
              <w:bidi/>
              <w:spacing w:after="20" w:before="0" w:line="250"/>
              <w:jc w:val="left"/>
            </w:pPr>
            <w:r/>
            <w:r>
              <w:rPr>
                <w:rFonts w:ascii="Arial" w:hAnsi="Arial" w:cs="Arial"/>
                <w:b/>
                <w:color w:val="1A1A1A"/>
                <w:sz w:val="19"/>
                <w:szCs w:val="19"/>
                <w:bCs/>
                <w:rtl/>
              </w:rPr>
              <w:t>המצב</w:t>
            </w:r>
          </w:p>
        </w:tc>
        <w:tc>
          <w:tcPr>
            <w:tcW w:type="dxa" w:w="6463"/>
            <w:shd w:val="clear" w:fill="DCE6F2"/>
          </w:tcPr>
          <w:p>
            <w:pPr>
              <w:bidi/>
              <w:spacing w:after="20" w:before="0" w:line="250"/>
              <w:jc w:val="left"/>
            </w:pPr>
            <w:r/>
            <w:r>
              <w:rPr>
                <w:rFonts w:ascii="Arial" w:hAnsi="Arial" w:cs="Arial"/>
                <w:b/>
                <w:color w:val="1A1A1A"/>
                <w:sz w:val="19"/>
                <w:szCs w:val="19"/>
                <w:bCs/>
                <w:rtl/>
              </w:rPr>
              <w:t>הפעולה</w:t>
            </w:r>
          </w:p>
        </w:tc>
      </w:tr>
      <w:tr>
        <w:tc>
          <w:tcPr>
            <w:tcW w:type="dxa" w:w="2948"/>
          </w:tcPr>
          <w:p>
            <w:pPr>
              <w:bidi/>
              <w:spacing w:after="20" w:before="0" w:line="250"/>
              <w:jc w:val="left"/>
            </w:pPr>
            <w:r/>
            <w:r>
              <w:rPr>
                <w:rFonts w:ascii="Arial" w:hAnsi="Arial" w:cs="Arial"/>
                <w:b w:val="0"/>
                <w:color w:val="1A1A1A"/>
                <w:sz w:val="19"/>
                <w:szCs w:val="19"/>
                <w:rtl/>
              </w:rPr>
              <w:t>האתר התברר כשונה אחרי הפתולוגיה הסופית</w:t>
            </w:r>
          </w:p>
        </w:tc>
        <w:tc>
          <w:tcPr>
            <w:tcW w:type="dxa" w:w="6463"/>
          </w:tcPr>
          <w:p>
            <w:pPr>
              <w:bidi/>
              <w:spacing w:after="20" w:before="0" w:line="250"/>
              <w:jc w:val="left"/>
            </w:pPr>
            <w:r/>
            <w:r>
              <w:rPr>
                <w:rFonts w:ascii="Arial" w:hAnsi="Arial" w:cs="Arial"/>
                <w:b w:val="0"/>
                <w:color w:val="1A1A1A"/>
                <w:sz w:val="19"/>
                <w:szCs w:val="19"/>
                <w:rtl/>
              </w:rPr>
              <w:t xml:space="preserve">מתקנים את שדה האתר, מתעדים בהערות. </w:t>
            </w:r>
            <w:r>
              <w:rPr>
                <w:rFonts w:ascii="Arial" w:hAnsi="Arial" w:cs="Arial"/>
                <w:b/>
                <w:color w:val="1A1A1A"/>
                <w:sz w:val="19"/>
                <w:szCs w:val="19"/>
                <w:bCs/>
                <w:rtl/>
              </w:rPr>
              <w:t>המספר נשאר.</w:t>
            </w:r>
            <w:r>
              <w:rPr>
                <w:rFonts w:ascii="Arial" w:hAnsi="Arial" w:cs="Arial"/>
                <w:b w:val="0"/>
                <w:color w:val="1A1A1A"/>
                <w:sz w:val="19"/>
                <w:szCs w:val="19"/>
                <w:rtl/>
              </w:rPr>
              <w:t xml:space="preserve"> להקפיא את התא כערך לפני השינוי</w:t>
            </w:r>
          </w:p>
        </w:tc>
      </w:tr>
      <w:tr>
        <w:tc>
          <w:tcPr>
            <w:tcW w:type="dxa" w:w="2948"/>
          </w:tcPr>
          <w:p>
            <w:pPr>
              <w:bidi/>
              <w:spacing w:after="20" w:before="0" w:line="250"/>
              <w:jc w:val="left"/>
            </w:pPr>
            <w:r/>
            <w:r>
              <w:rPr>
                <w:rFonts w:ascii="Arial" w:hAnsi="Arial" w:cs="Arial"/>
                <w:b w:val="0"/>
                <w:color w:val="1A1A1A"/>
                <w:sz w:val="19"/>
                <w:szCs w:val="19"/>
                <w:rtl/>
              </w:rPr>
              <w:t>הוזן תאריך פתולוגיה שגוי והמספר השתנה מעצמו</w:t>
            </w:r>
          </w:p>
        </w:tc>
        <w:tc>
          <w:tcPr>
            <w:tcW w:type="dxa" w:w="6463"/>
          </w:tcPr>
          <w:p>
            <w:pPr>
              <w:bidi/>
              <w:spacing w:after="20" w:before="0" w:line="250"/>
              <w:jc w:val="left"/>
            </w:pPr>
            <w:r/>
            <w:r>
              <w:rPr>
                <w:rFonts w:ascii="Arial" w:hAnsi="Arial" w:cs="Arial"/>
                <w:b w:val="0"/>
                <w:color w:val="1A1A1A"/>
                <w:sz w:val="19"/>
                <w:szCs w:val="19"/>
                <w:rtl/>
              </w:rPr>
              <w:t>לשחזר את התאריך הנכון; אם המספר כבר הופץ בפלט קודם — להקפיא אותו כערך ולתעד את הפער</w:t>
            </w:r>
          </w:p>
        </w:tc>
      </w:tr>
      <w:tr>
        <w:tc>
          <w:tcPr>
            <w:tcW w:type="dxa" w:w="2948"/>
          </w:tcPr>
          <w:p>
            <w:pPr>
              <w:bidi/>
              <w:spacing w:after="20" w:before="0" w:line="250"/>
              <w:jc w:val="left"/>
            </w:pPr>
            <w:r/>
            <w:r>
              <w:rPr>
                <w:rFonts w:ascii="Arial" w:hAnsi="Arial" w:cs="Arial"/>
                <w:b w:val="0"/>
                <w:color w:val="1A1A1A"/>
                <w:sz w:val="19"/>
                <w:szCs w:val="19"/>
                <w:rtl/>
              </w:rPr>
              <w:t>שני מטופלים קיבלו אותו מספר</w:t>
            </w:r>
          </w:p>
        </w:tc>
        <w:tc>
          <w:tcPr>
            <w:tcW w:type="dxa" w:w="6463"/>
          </w:tcPr>
          <w:p>
            <w:pPr>
              <w:bidi/>
              <w:spacing w:after="20" w:before="0" w:line="250"/>
              <w:jc w:val="left"/>
            </w:pPr>
            <w:r/>
            <w:r>
              <w:rPr>
                <w:rFonts w:ascii="Arial" w:hAnsi="Arial" w:cs="Arial"/>
                <w:b w:val="0"/>
                <w:color w:val="1A1A1A"/>
                <w:sz w:val="19"/>
                <w:szCs w:val="19"/>
                <w:rtl/>
              </w:rPr>
              <w:t>הגיליון צובע אדום. אחד מהם מקבל את המספר הרץ הפנוי הבא; המספר הישן שייך למי שנרשם ראשון</w:t>
            </w:r>
          </w:p>
        </w:tc>
      </w:tr>
      <w:tr>
        <w:tc>
          <w:tcPr>
            <w:tcW w:type="dxa" w:w="2948"/>
          </w:tcPr>
          <w:p>
            <w:pPr>
              <w:bidi/>
              <w:spacing w:after="20" w:before="0" w:line="250"/>
              <w:jc w:val="left"/>
            </w:pPr>
            <w:r/>
            <w:r>
              <w:rPr>
                <w:rFonts w:ascii="Arial" w:hAnsi="Arial" w:cs="Arial"/>
                <w:b w:val="0"/>
                <w:color w:val="1A1A1A"/>
                <w:sz w:val="19"/>
                <w:szCs w:val="19"/>
                <w:rtl/>
              </w:rPr>
              <w:t>מטופל הוצא מן המחקר</w:t>
            </w:r>
          </w:p>
        </w:tc>
        <w:tc>
          <w:tcPr>
            <w:tcW w:type="dxa" w:w="6463"/>
          </w:tcPr>
          <w:p>
            <w:pPr>
              <w:bidi/>
              <w:spacing w:after="20" w:before="0" w:line="250"/>
              <w:jc w:val="left"/>
            </w:pPr>
            <w:r/>
            <w:r>
              <w:rPr>
                <w:rFonts w:ascii="Arial" w:hAnsi="Arial" w:cs="Arial"/>
                <w:b w:val="0"/>
                <w:color w:val="1A1A1A"/>
                <w:sz w:val="19"/>
                <w:szCs w:val="19"/>
                <w:rtl/>
              </w:rPr>
              <w:t>משאירים את השורה ואת המספר, מסמנים ״לא נכלל״ ורושמים את סיבת ההוצאה. לא למחוק ולא למחזר</w:t>
            </w:r>
          </w:p>
        </w:tc>
      </w:tr>
      <w:tr>
        <w:tc>
          <w:tcPr>
            <w:tcW w:type="dxa" w:w="2948"/>
          </w:tcPr>
          <w:p>
            <w:pPr>
              <w:bidi/>
              <w:spacing w:after="20" w:before="0" w:line="250"/>
              <w:jc w:val="left"/>
            </w:pPr>
            <w:r/>
            <w:r>
              <w:rPr>
                <w:rFonts w:ascii="Arial" w:hAnsi="Arial" w:cs="Arial"/>
                <w:b w:val="0"/>
                <w:color w:val="1A1A1A"/>
                <w:sz w:val="19"/>
                <w:szCs w:val="19"/>
                <w:rtl/>
              </w:rPr>
              <w:t>מטופל עם שני גידולים ראשוניים בו-זמנית</w:t>
            </w:r>
          </w:p>
        </w:tc>
        <w:tc>
          <w:tcPr>
            <w:tcW w:type="dxa" w:w="6463"/>
          </w:tcPr>
          <w:p>
            <w:pPr>
              <w:bidi/>
              <w:spacing w:after="20" w:before="0" w:line="250"/>
              <w:jc w:val="left"/>
            </w:pPr>
            <w:r/>
            <w:r>
              <w:rPr>
                <w:rFonts w:ascii="Arial" w:hAnsi="Arial" w:cs="Arial"/>
                <w:b w:val="0"/>
                <w:color w:val="1A1A1A"/>
                <w:sz w:val="19"/>
                <w:szCs w:val="19"/>
                <w:rtl/>
              </w:rPr>
              <w:t>מספר אחד, לפי הגידול שקבע את הטיפול המכריע. הגידול השני מתועד בהערות</w:t>
            </w:r>
          </w:p>
        </w:tc>
      </w:tr>
      <w:tr>
        <w:tc>
          <w:tcPr>
            <w:tcW w:type="dxa" w:w="2948"/>
          </w:tcPr>
          <w:p>
            <w:pPr>
              <w:bidi/>
              <w:spacing w:after="20" w:before="0" w:line="250"/>
              <w:jc w:val="left"/>
            </w:pPr>
            <w:r/>
            <w:r>
              <w:rPr>
                <w:rFonts w:ascii="Arial" w:hAnsi="Arial" w:cs="Arial"/>
                <w:b w:val="0"/>
                <w:color w:val="1A1A1A"/>
                <w:sz w:val="19"/>
                <w:szCs w:val="19"/>
                <w:rtl/>
              </w:rPr>
              <w:t>גידול דו-צדדי</w:t>
            </w:r>
          </w:p>
        </w:tc>
        <w:tc>
          <w:tcPr>
            <w:tcW w:type="dxa" w:w="6463"/>
          </w:tcPr>
          <w:p>
            <w:pPr>
              <w:bidi/>
              <w:spacing w:after="20" w:before="0" w:line="250"/>
              <w:jc w:val="left"/>
            </w:pPr>
            <w:r/>
            <w:r>
              <w:rPr>
                <w:rFonts w:ascii="Arial" w:hAnsi="Arial" w:cs="Arial"/>
                <w:b w:val="0"/>
                <w:color w:val="1A1A1A"/>
                <w:sz w:val="19"/>
                <w:szCs w:val="19"/>
                <w:rtl/>
              </w:rPr>
              <w:t>קוד הצד הוא B. אין שני מספרים</w:t>
            </w:r>
          </w:p>
        </w:tc>
      </w:tr>
      <w:tr>
        <w:tc>
          <w:tcPr>
            <w:tcW w:type="dxa" w:w="2948"/>
          </w:tcPr>
          <w:p>
            <w:pPr>
              <w:bidi/>
              <w:spacing w:after="20" w:before="0" w:line="250"/>
              <w:jc w:val="left"/>
            </w:pPr>
            <w:r/>
            <w:r>
              <w:rPr>
                <w:rFonts w:ascii="Arial" w:hAnsi="Arial" w:cs="Arial"/>
                <w:b w:val="0"/>
                <w:color w:val="1A1A1A"/>
                <w:sz w:val="19"/>
                <w:szCs w:val="19"/>
                <w:rtl/>
              </w:rPr>
              <w:t>הצד אינו מתועד ברשומה</w:t>
            </w:r>
          </w:p>
        </w:tc>
        <w:tc>
          <w:tcPr>
            <w:tcW w:type="dxa" w:w="6463"/>
          </w:tcPr>
          <w:p>
            <w:pPr>
              <w:bidi/>
              <w:spacing w:after="20" w:before="0" w:line="250"/>
              <w:jc w:val="left"/>
            </w:pPr>
            <w:r/>
            <w:r>
              <w:rPr>
                <w:rFonts w:ascii="Arial" w:hAnsi="Arial" w:cs="Arial"/>
                <w:b w:val="0"/>
                <w:color w:val="1A1A1A"/>
                <w:sz w:val="19"/>
                <w:szCs w:val="19"/>
                <w:rtl/>
              </w:rPr>
              <w:t>אם האתר הוא קו אמצע — M. אחרת יש לברר; אין להקצות מספר על סמך ניחוש</w:t>
            </w:r>
          </w:p>
        </w:tc>
      </w:tr>
    </w:tbl>
    <w:p/>
    <w:p>
      <w:pPr>
        <w:pBdr>
          <w:bottom w:val="single" w:color="9A9A9A" w:sz="6" w:space="6"/>
        </w:pBdr>
        <w:bidi/>
        <w:spacing w:after="160" w:before="360"/>
        <w:jc w:val="left"/>
      </w:pPr>
      <w:r>
        <w:rPr>
          <w:rFonts w:ascii="Arial" w:hAnsi="Arial" w:cs="Arial"/>
          <w:b/>
          <w:color w:val="1F3A5F"/>
          <w:sz w:val="29"/>
          <w:szCs w:val="29"/>
          <w:bCs/>
          <w:rtl/>
        </w:rPr>
        <w:t>11. היכן הנוהל הזה מעוגן</w:t>
      </w:r>
    </w:p>
    <w:p>
      <w:pPr>
        <w:bidi/>
        <w:spacing w:after="60" w:before="0" w:line="300"/>
        <w:jc w:val="both"/>
        <w:ind w:start="340" w:hanging="200"/>
      </w:pPr>
      <w:r>
        <w:rPr>
          <w:rFonts w:ascii="Arial" w:hAnsi="Arial" w:cs="Arial"/>
          <w:b w:val="0"/>
          <w:color w:val="1A1A1A"/>
          <w:sz w:val="22"/>
          <w:szCs w:val="22"/>
          <w:rtl/>
        </w:rPr>
        <w:t>•  פרוטוקול המחקר הפרוספקטיבי, גרסה 1.1, סעיף 8.6 — שלוש הפסקות על מספר המחקר, על נימוק האתר-צד-חודש ועל אימות הזהות.</w:t>
      </w:r>
    </w:p>
    <w:p>
      <w:pPr>
        <w:bidi/>
        <w:spacing w:after="60" w:before="0" w:line="300"/>
        <w:jc w:val="both"/>
        <w:ind w:start="340" w:hanging="200"/>
      </w:pPr>
      <w:r>
        <w:rPr>
          <w:rFonts w:ascii="Arial" w:hAnsi="Arial" w:cs="Arial"/>
          <w:b w:val="0"/>
          <w:color w:val="1A1A1A"/>
          <w:sz w:val="22"/>
          <w:szCs w:val="22"/>
          <w:rtl/>
        </w:rPr>
        <w:t>•  ההצעה הרטרוספקטיבית, סעיף 7.3 — פרטיות וקידוד.</w:t>
      </w:r>
    </w:p>
    <w:p>
      <w:pPr>
        <w:bidi/>
        <w:spacing w:after="60" w:before="0" w:line="300"/>
        <w:jc w:val="both"/>
        <w:ind w:start="340" w:hanging="200"/>
      </w:pPr>
      <w:r>
        <w:rPr>
          <w:rFonts w:ascii="Arial" w:hAnsi="Arial" w:cs="Arial"/>
          <w:b w:val="0"/>
          <w:color w:val="1A1A1A"/>
          <w:sz w:val="22"/>
          <w:szCs w:val="22"/>
          <w:rtl/>
        </w:rPr>
        <w:t>•  חוזרי משרד הבריאות 1/2018 ו-2/2018 — שימוש משני במידע בריאות: הסרת מזהים, אישור ועדת הלסינקי וגישה מבוקרת.</w:t>
      </w:r>
    </w:p>
    <w:p>
      <w:pPr>
        <w:bidi/>
        <w:spacing w:after="60" w:before="0" w:line="300"/>
        <w:jc w:val="both"/>
        <w:ind w:start="340" w:hanging="200"/>
      </w:pPr>
      <w:r>
        <w:rPr>
          <w:rFonts w:ascii="Arial" w:hAnsi="Arial" w:cs="Arial"/>
          <w:b w:val="0"/>
          <w:color w:val="1A1A1A"/>
          <w:sz w:val="22"/>
          <w:szCs w:val="22"/>
          <w:rtl/>
        </w:rPr>
        <w:t>•  תיקון 13 לחוק הגנת הפרטיות, בתוקף מ-14 באוגוסט 2025.</w:t>
      </w:r>
    </w:p>
    <w:p>
      <w:pPr>
        <w:bidi/>
        <w:spacing w:after="60" w:before="0" w:line="300"/>
        <w:jc w:val="both"/>
        <w:ind w:start="340" w:hanging="200"/>
      </w:pPr>
      <w:r>
        <w:rPr>
          <w:rFonts w:ascii="Arial" w:hAnsi="Arial" w:cs="Arial"/>
          <w:b w:val="0"/>
          <w:color w:val="1A1A1A"/>
          <w:sz w:val="22"/>
          <w:szCs w:val="22"/>
          <w:rtl/>
        </w:rPr>
        <w:t>•  ארגון הבריאות העולמי, Patient Safety Solutions, כרך 1 פתרון 2, מאי 2007 — זיהוי מטופלים בשני פרטים מזהים.</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