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מדריך הסגנון</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line="360" w:lineRule="auto" w:after="160" w:before="0"/>
        <w:jc w:val="both"/>
        <w:bidi w:val="1"/>
      </w:pPr>
      <w:r>
        <w:rPr>
          <w:rFonts w:ascii="Arial" w:hAnsi="Arial" w:cs="Arial" w:eastAsia="Arial"/>
          <w:b w:val="0"/>
          <w:color w:val="1F2933"/>
          <w:sz w:val="24"/>
          <w:szCs w:val="24"/>
          <w:rtl w:val="1"/>
          <w:lang w:val="en-US" w:bidi="he-IL"/>
        </w:rPr>
        <w:t xml:space="preserve">אני מצהירה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הספר מתאר את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כפי שהיא בנויה בפרויקט הזה.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הנחיות עיצוב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כללי צבע, גופן ומבנה מסך בפרויקט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 xml:space="preserve">אחרי שמירת הכתובת הלקוח מאשר את ההזמנה. אין בממשק מסך להזנת פרטי אשראי, ומספר כרטיס אינו נאסף. במסד נרשם מסמך תשלום בסטטוס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בלי פרטי כרטיס.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סכום ההזמנה, בלי ניסיון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1" name="Picture 1"/>
            <wp:cNvGraphicFramePr>
              <a:graphicFrameLocks noChangeAspect="1"/>
            </wp:cNvGraphicFramePr>
            <a:graphic>
              <a:graphicData uri="http://schemas.openxmlformats.org/drawingml/2006/picture">
                <pic:pic>
                  <pic:nvPicPr>
                    <pic:cNvPr id="0" name="product-card-stock.png"/>
                    <pic:cNvPicPr/>
                  </pic:nvPicPr>
                  <pic:blipFill>
                    <a:blip r:embed="rId11"/>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מדריך הסגנון</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STYLE_GUIDE.md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בקוד ישן.</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2" name="Picture 2"/>
            <wp:cNvGraphicFramePr>
              <a:graphicFrameLocks noChangeAspect="1"/>
            </wp:cNvGraphicFramePr>
            <a:graphic>
              <a:graphicData uri="http://schemas.openxmlformats.org/drawingml/2006/picture">
                <pic:pic>
                  <pic:nvPicPr>
                    <pic:cNvPr id="0" name="auth-login-lock.png"/>
                    <pic:cNvPicPr/>
                  </pic:nvPicPr>
                  <pic:blipFill>
                    <a:blip r:embed="rId12"/>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קודם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ואת מסמך התשלום.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אין מסך להזנת פרטי אשראי,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3" name="Picture 3"/>
            <wp:cNvGraphicFramePr>
              <a:graphicFrameLocks noChangeAspect="1"/>
            </wp:cNvGraphicFramePr>
            <a:graphic>
              <a:graphicData uri="http://schemas.openxmlformats.org/drawingml/2006/picture">
                <pic:pic>
                  <pic:nvPicPr>
                    <pic:cNvPr id="0" name="order-transitions.png"/>
                    <pic:cNvPicPr/>
                  </pic:nvPicPr>
                  <pic:blipFill>
                    <a:blip r:embed="rId13"/>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שומר את העגלה. העותק בזיכרון רק מקצר קריאה חוזרת.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הקופה נעצרת היום בכתובת ובאישור ההזמנה. בהמשך אפשר להוסיף ספק סליקה אמיתי.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כבר שומרות כל אירוע פעם אחת, והחיבור יוכל להישען עליהן.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12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תודה למנחה הפרויקט, מור ברגיג, על הליווי לאורך שלבי הפיתוח. תודה למכללת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הסגנון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