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D9488"/>
          <w:sz w:val="56"/>
          <w:szCs w:val="56"/>
        </w:rPr>
        <w:t xml:space="preserve">LEASING SWD</w:t>
      </w:r>
    </w:p>
    <w:p>
      <w:pPr>
        <w:spacing w:after="120"/>
        <w:jc w:val="center"/>
      </w:pPr>
      <w:r>
        <w:rPr>
          <w:color w:val="0F172A"/>
          <w:sz w:val="28"/>
          <w:szCs w:val="28"/>
        </w:rPr>
        <w:t xml:space="preserve">Commercial Leasing, Billing &amp; Investor Disbursement Platform</w:t>
      </w:r>
    </w:p>
    <w:p>
      <w:pPr>
        <w:spacing w:after="2000"/>
        <w:jc w:val="center"/>
      </w:pPr>
      <w:r>
        <w:rPr>
          <w:i/>
          <w:iCs/>
          <w:color w:val="64748B"/>
          <w:sz w:val="24"/>
          <w:szCs w:val="24"/>
        </w:rPr>
        <w:t xml:space="preserve">Application Architecture &amp; On-Premise Deployment Document</w:t>
      </w:r>
    </w:p>
    <w:p>
      <w:pPr>
        <w:jc w:val="center"/>
      </w:pPr>
      <w:r>
        <w:rPr>
          <w:color w:val="0F172A"/>
          <w:sz w:val="22"/>
          <w:szCs w:val="22"/>
        </w:rPr>
        <w:t xml:space="preserve">Smart World Developers — Gems-2 (Adhikaansh), Sector-89, Gurugram</w:t>
      </w:r>
    </w:p>
    <w:p>
      <w:pPr>
        <w:spacing w:before="200"/>
        <w:jc w:val="center"/>
      </w:pPr>
      <w:r>
        <w:rPr>
          <w:color w:val="64748B"/>
          <w:sz w:val="20"/>
          <w:szCs w:val="20"/>
        </w:rPr>
        <w:t xml:space="preserve">Prepared for: HOD &amp; Infrastructure Team   |   Version 1.0   |   August 2026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Application Overview</w:t>
      </w:r>
    </w:p>
    <w:p>
      <w:pPr>
        <w:spacing w:after="100"/>
      </w:pPr>
      <w:r>
        <w:rPr>
          <w:color w:val="0F172A"/>
          <w:sz w:val="21"/>
          <w:szCs w:val="21"/>
        </w:rPr>
        <w:t xml:space="preserve">Leasing SWD is an internal web application that manages the complete commercial leasing lifecycle for Smart World Developers’ retail assets — currently the Gems-2 (Adhikaansh Realtors) commercial development at Sector-89, Gurugram (blocks Commercial 06 / 08 / 09, 90 leasable units).</w:t>
      </w:r>
    </w:p>
    <w:p>
      <w:pPr>
        <w:spacing w:after="100"/>
      </w:pPr>
      <w:r>
        <w:rPr>
          <w:color w:val="0F172A"/>
          <w:sz w:val="21"/>
          <w:szCs w:val="21"/>
        </w:rPr>
        <w:t xml:space="preserve">Functional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Masters — Company, Project, Block, Unit, Brand and User management with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Leases — MG / MG-vs-Revenue-Share / Pure RS / Variable RS rental structures with LOI, CD, possession, CAM, brokerage and security-deposit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Billing — Automated monthly invoice generation (MG, RevShare, CAM, Utility, Ad-hoc) with GST bifurcation (CGST/SGST/IGST), HSN/SAC, PAN/GSTIN, bank details and 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Collections — Receipt entry with TDS capture and security-deposit adjustment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Investor Disbursement — Investor-owned unit registry (maker-checker) and monthly NEFT/NRI rent disbursal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Reports — Disbursement, hold-rent, SD liability, SAP GL entry book, GST / TDS / Agreement / SD reconciliations, Excel (CSV) exports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Alerts — Dashboard notifications for bills not raised, overdue invoices and payments due within 7 days</w:t>
      </w:r>
    </w:p>
    <w:p>
      <w:pPr>
        <w:pStyle w:val="Heading1"/>
        <w:spacing w:after="120" w:before="240"/>
      </w:pPr>
      <w:r>
        <w:t xml:space="preserve">2. Technology Stack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560"/>
      </w:tblGrid>
      <w:tr>
        <w:trPr>
          <w:tblHeader/>
        </w:trPr>
        <w:tc>
          <w:tcPr>
            <w:tcW w:type="dxa" w:w="28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56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React 18 + Vite 5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SPA, built to static files (dist/)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Styling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Custom CSS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 external UI framework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Backend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Node.js 18+ / Express 4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REST API, stateless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JWT (jsonwebtoken) + bcryptjs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8-hour token expiry, RBAC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Microsoft SQL Server 2014+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mssql (tedious) driver, schema: leasing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Process manager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PM2 or NSSM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Run Node as a Windows service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Web server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IIS (ARR) or Nginx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Serves frontend + reverse-proxies /api</w:t>
            </w:r>
          </w:p>
        </w:tc>
      </w:tr>
    </w:tbl>
    <w:p>
      <w:pPr>
        <w:pStyle w:val="Heading1"/>
        <w:spacing w:after="120" w:before="240"/>
      </w:pPr>
      <w:r>
        <w:t xml:space="preserve">3. Deployment Architecture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color w:val="0F172A"/>
          <w:sz w:val="21"/>
          <w:szCs w:val="21"/>
        </w:rPr>
        <w:t xml:space="preserve">Three-tier layout: users on the corporate LAN reach the app server over HTTP/HTTPS; the app server hosts the static React frontend and the Node/Express API as a background service; the API connects to the existing SQL Server (192.168.66.33) over TDS port 1433. No internet exposure is required — the application is LAN-only.</w:t>
      </w:r>
    </w:p>
    <w:p>
      <w:pPr>
        <w:pStyle w:val="Heading1"/>
        <w:spacing w:after="120" w:before="240"/>
      </w:pPr>
      <w:r>
        <w:t xml:space="preserve">4. Repository Structure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160"/>
      </w:tblGrid>
      <w:tr>
        <w:trPr>
          <w:tblHeader/>
        </w:trPr>
        <w:tc>
          <w:tcPr>
            <w:tcW w:type="dxa" w:w="38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16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backend/server.js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Express entry point — registers routes, auth middleware, port 5096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backend/db.js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SQL Server connection pool (env-driven), schema prefix helper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backend/routes/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auth, masters, leases, sales, invoices, collections, investors, disbursement, reports, userAdmin, deletionRequests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backend/lib/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billing.js (GST split, invoice engine), helpers, brand fields, delete gate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backend/sql/schema.sql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Base schema — 22+ tables under the leasing schema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backend/sql/migration_v2.sql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Finance-requirements migration (GST bifurcation, PAN/GSTIN, HSN, SD adjust, settings)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backend/sql/seed_gems2_units.sql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Direct SQL seed — 90 Gems-2 units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backend/sql/update_gems2_details.sql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Unit type / PLC / covered area / RERA updates from Excel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backend/import_gems2.js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API-based inventory import (alternative to SQL seed)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frontend/src/App.jsx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All views: dashboard, masters, leases, billing, disbursement, reports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frontend/src/api.js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REST client with JWT header injection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frontend/src/helpers.js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Master schemas, navigation, permissions metadata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frontend/dist/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Production build output (deployed to web server)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5. Server Requirements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660"/>
      </w:tblGrid>
      <w:tr>
        <w:trPr>
          <w:tblHeader/>
        </w:trPr>
        <w:tc>
          <w:tcPr>
            <w:tcW w:type="dxa" w:w="30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3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W w:type="dxa" w:w="366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Windows Server 2016 / Ubuntu 20.04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Windows Server 2019+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CPU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 vCPU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 vCPU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RAM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 GB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8 GB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Disk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20 GB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40 GB SSD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Node.js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v18 LTS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v20 LTS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Network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LAN access to 192.168.66.33:1433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Static IP + internal DNS name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Concurrent users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≤ 25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≤ 100</w:t>
            </w:r>
          </w:p>
        </w:tc>
      </w:tr>
    </w:tbl>
    <w:p>
      <w:pPr>
        <w:spacing w:after="100"/>
      </w:pPr>
      <w:r>
        <w:rPr>
          <w:color w:val="0F172A"/>
          <w:sz w:val="21"/>
          <w:szCs w:val="21"/>
        </w:rPr>
        <w:t xml:space="preserve">The database tier already exists (2023-DT1 / 192.168.66.33 — SQL Server hosting SmartDeskApp). Only an application server is needed.</w:t>
      </w:r>
    </w:p>
    <w:p>
      <w:pPr>
        <w:pStyle w:val="Heading1"/>
        <w:spacing w:after="120" w:before="240"/>
      </w:pPr>
      <w:r>
        <w:t xml:space="preserve">6. Network &amp; Port Matrix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960"/>
      </w:tblGrid>
      <w:tr>
        <w:trPr>
          <w:tblHeader/>
        </w:trPr>
        <w:tc>
          <w:tcPr>
            <w:tcW w:type="dxa" w:w="24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24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 / Proto</w:t>
            </w:r>
          </w:p>
        </w:tc>
        <w:tc>
          <w:tcPr>
            <w:tcW w:type="dxa" w:w="296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User LAN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App server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80 / 443 TCP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Web UI (HTTP/HTTPS)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App server (local)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App server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5096 TCP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Express API (behind reverse proxy; not exposed to LAN)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App server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192.168.66.33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1433 TCP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SQL Server (TDS)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Admin PCs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App server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3389 / 22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RDP / SSH administration</w:t>
            </w:r>
          </w:p>
        </w:tc>
      </w:tr>
    </w:tbl>
    <w:p>
      <w:pPr>
        <w:spacing w:after="100"/>
      </w:pPr>
      <w:r>
        <w:rPr>
          <w:color w:val="0F172A"/>
          <w:sz w:val="21"/>
          <w:szCs w:val="21"/>
        </w:rPr>
        <w:t xml:space="preserve">Firewall notes: allow only 80/443 inbound to the app server from user VLANs; port 5096 should be bound to localhost or blocked externally; ensure the SQL Server firewall permits the app server IP on 1433.</w:t>
      </w:r>
    </w:p>
    <w:p>
      <w:pPr>
        <w:pStyle w:val="Heading1"/>
        <w:spacing w:after="120" w:before="240"/>
      </w:pPr>
      <w:r>
        <w:t xml:space="preserve">7. Environment Configuration (backend/.env)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760"/>
      </w:tblGrid>
      <w:tr>
        <w:trPr>
          <w:tblHeader/>
        </w:trPr>
        <w:tc>
          <w:tcPr>
            <w:tcW w:type="dxa" w:w="30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2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76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DB_SERVER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192.168.66.33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SQL Server host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DB_DATABASE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SmartDeskApp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Database name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DB_SCHEMA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leasing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Schema for all app tables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DB_USER / DB_PASSWORD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smartapp_user / ****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SQL login (db_owner on SmartDeskApp or DML + DDL on leasing schema)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DB_PORT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1433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SQL port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PORT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5096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Express API port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ADMIN_ID / ADMIN_PASSWORD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admin / ****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Bootstrap admin login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JWT_SECRET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(random 32+ chars)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Token signing key — MUST be changed for production</w:t>
            </w:r>
          </w:p>
        </w:tc>
      </w:tr>
    </w:tbl>
    <w:p>
      <w:pPr>
        <w:spacing w:after="100"/>
      </w:pPr>
      <w:r>
        <w:rPr>
          <w:i/>
          <w:iCs/>
          <w:color w:val="0F172A"/>
          <w:sz w:val="21"/>
          <w:szCs w:val="21"/>
        </w:rPr>
        <w:t xml:space="preserve">Security note: production values (DB password, JWT secret, admin password) must be rotated from development values and stored only on the server.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8. Deployment Steps (Windows Server + IIS)</w:t>
      </w:r>
    </w:p>
    <w:p>
      <w:pPr>
        <w:pStyle w:val="Heading2"/>
        <w:spacing w:after="120" w:before="240"/>
      </w:pPr>
      <w:r>
        <w:t xml:space="preserve">8.1 One-time database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backend/sql/schema.sql (or schema_existing_db.sql) in SSMS against SmartDeskApp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backend/sql/migration_v2.sql — finance columns (idempotent)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backend/sql/seed_gems2_units.sql then update_gems2_details.sql — Gems-2 inventory (already executed)</w:t>
      </w:r>
    </w:p>
    <w:p>
      <w:pPr>
        <w:pStyle w:val="Heading2"/>
        <w:spacing w:after="120" w:before="240"/>
      </w:pPr>
      <w:r>
        <w:t xml:space="preserve">8.2 Backend (API 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Install Node.js LTS on the app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git clone https://github.com/aviverma007/Leasing_swd.git  (or copy release ZIP)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cd backend &amp;&amp; npm install --production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Create backend/.env with production values (Section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npm install -g pm2 &amp;&amp; pm2 start server.js --name leasing-api &amp;&amp; pm2 save  (or register with NSSM as a Windows 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Verify: http://localhost:5096/api/health returns { ok: true }</w:t>
      </w:r>
    </w:p>
    <w:p>
      <w:pPr>
        <w:pStyle w:val="Heading2"/>
        <w:spacing w:after="120" w:before="240"/>
      </w:pPr>
      <w:r>
        <w:t xml:space="preserve">8.3 Frontend (static 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cd frontend &amp;&amp; npm install &amp;&amp; npm run build  — outputs dist/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IIS: create a site pointing at frontend/dist on port 80/443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Install IIS URL-Rewrite + ARR; add a reverse-proxy rule:  /api/*  →  http://localhost:5096/api/*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SPA fallback rewrite: all non-file routes → /index.html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Bind internal DNS name, e.g. leasing.smartworld.local, and (recommended) an internal TLS certificate</w:t>
      </w:r>
    </w:p>
    <w:p>
      <w:pPr>
        <w:pStyle w:val="Heading2"/>
        <w:spacing w:after="120" w:before="240"/>
      </w:pPr>
      <w:r>
        <w:t xml:space="preserve">8.4 Smoke test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Login as admin → Dashboard KPIs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Unit Master shows 90 Gems-2 units (38 / 6 / 46 across blocks)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Create a test lease → Generate invoice → verify GST bifurcation &amp; invoice print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Record a collection with TDS → verify TDS reconciliation report</w:t>
      </w:r>
    </w:p>
    <w:p>
      <w:pPr>
        <w:pStyle w:val="Heading1"/>
        <w:spacing w:after="120" w:before="240"/>
      </w:pPr>
      <w:r>
        <w:t xml:space="preserve">9. Operations: Backup, Monitoring &amp; Recovery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60"/>
      </w:tblGrid>
      <w:tr>
        <w:trPr>
          <w:tblHeader/>
        </w:trPr>
        <w:tc>
          <w:tcPr>
            <w:tcW w:type="dxa" w:w="28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16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Practice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Database backup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Include SmartDeskApp in the existing SQL backup plan (daily full + hourly log recommended). All application data lives in the leasing schema.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App backup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Application is stateless — repo + .env file is sufficient to rebuild. Keep .env in the infra vault.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pm2 monit / Windows service status; probe GET /api/health every 5 min; disk &amp; CPU via existing tooling.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Logs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PM2 log files (~/.pm2/logs) or NSSM stdout redirect; SQL errors surface in API responses and logs.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Recovery (app)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Reinstall Node, restore repo + .env, pm2 start — RTO under 30 minutes.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Recovery (DB)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Standard SQL Server restore of SmartDeskApp.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Updates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git pull → npm install (if package.json changed) → npm run build (frontend) → pm2 restart leasing-api. Run any new sql/*.sql migration in SSMS first.</w:t>
            </w:r>
          </w:p>
        </w:tc>
      </w:tr>
    </w:tbl>
    <w:p>
      <w:pPr>
        <w:pStyle w:val="Heading1"/>
        <w:spacing w:after="120" w:before="240"/>
      </w:pPr>
      <w:r>
        <w:t xml:space="preserve">10. Security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Authentication: JWT bearer tokens, 8-hour expiry; passwords hashed with bcrypt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Authorization: 5 roles (Admin, Leasing, Billing, Finance, Viewer) with per-module access control enforced server-side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Maker-Checker: investor units and disbursals require second-person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Deletion governance: destructive deletes route through an approval queue (deletion requests)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Network: LAN-only; API not directly exposed; SQL access restricted to the app server 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Secrets: .env stored only on the server; JWT secret and DB password rotated for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Audit: ChangeLog table records key actions with user attribution</w:t>
      </w:r>
    </w:p>
    <w:p>
      <w:pPr>
        <w:spacing w:before="300"/>
      </w:pPr>
      <w:r>
        <w:rPr>
          <w:i/>
          <w:iCs/>
          <w:color w:val="64748B"/>
          <w:sz w:val="20"/>
          <w:szCs w:val="20"/>
        </w:rPr>
        <w:t xml:space="preserve">Prepared by: Anirudh Verma (IT) — for review by HOD &amp; Infrastructure Team.</w:t>
      </w:r>
    </w:p>
    <w:sectPr>
      <w:pgSz w:w="12240" w:h="15840" w:orient="portrait"/>
      <w:pgMar w:top="1080" w:right="1152" w:bottom="108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ba068320d3f3684846c7fddd5820a9e97cab0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2026-08-27T08:52:32.949Z</dcterms:created>
  <dcterms:modified xsi:type="dcterms:W3CDTF">2026-08-27T08:52:32.962Z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