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8"/>
          <w:szCs w:val="48"/>
        </w:rPr>
        <w:t xml:space="preserve">M3M Customer Complaint MIS</w:t>
      </w:r>
    </w:p>
    <w:p>
      <w:pPr>
        <w:spacing w:after="40"/>
      </w:pPr>
      <w:r>
        <w:rPr>
          <w:b/>
          <w:bCs/>
          <w:color w:val="0F9B8E"/>
          <w:sz w:val="26"/>
          <w:szCs w:val="26"/>
        </w:rPr>
        <w:t xml:space="preserve">Field Mapping &amp; Application Reference Guide</w:t>
      </w:r>
    </w:p>
    <w:p>
      <w:pPr>
        <w:spacing w:after="12"/>
      </w:pPr>
      <w:r>
        <w:rPr>
          <w:b/>
          <w:bCs/>
          <w:color w:val="0F9B8E"/>
          <w:sz w:val="15"/>
          <w:szCs w:val="15"/>
        </w:rPr>
        <w:t xml:space="preserve">Version 2 — adds SFDC date normalization, business-rule formulas, and the Manage Lists admin screen</w:t>
      </w:r>
    </w:p>
    <w:p>
      <w:pPr>
        <w:spacing w:after="400"/>
      </w:pPr>
      <w:r>
        <w:rPr>
          <w:i/>
          <w:iCs/>
          <w:color w:val="4A5568"/>
          <w:sz w:val="18"/>
          <w:szCs w:val="18"/>
        </w:rPr>
        <w:t xml:space="preserve">Companion document to m3m_mis_app.py · Generated from M3M_Sample_Template.xlsx, Compile_M3M_Data.xlsx, and LIST.xlsx</w:t>
      </w:r>
    </w:p>
    <w:p>
      <w:pPr>
        <w:pStyle w:val="Heading1"/>
        <w:spacing w:after="140" w:before="320"/>
      </w:pPr>
      <w:r>
        <w:t xml:space="preserve">1. What This Document Is</w:t>
      </w:r>
    </w:p>
    <w:p>
      <w:pPr>
        <w:spacing w:after="140"/>
      </w:pPr>
      <w:r>
        <w:t xml:space="preserve">This is the supporting reference for the M3M Customer Complaint MIS application (m3m_mis_app.py). It explains exactly how each column in the “Compile M3M Data” sheet is detected and used, what every KPI and report means, how the app normalizes SFDC's date formats and replicates the workbook's formula fields, how the Manage Lists admin screen works, and how to adjust the built-in business rules. It was generated against the attached sample workbooks, on which every field below was detected — or, for the formula fields, independently verified against the workbook's own Excel formulas — automatically, with no manual mapping required.</w:t>
      </w:r>
    </w:p>
    <w:p>
      <w:pPr>
        <w:pStyle w:val="Heading1"/>
        <w:spacing w:after="140" w:before="320"/>
      </w:pPr>
      <w:r>
        <w:t xml:space="preserve">2. Quick Start</w:t>
      </w:r>
    </w:p>
    <w:p>
      <w:pPr>
        <w:pStyle w:val="ListParagraph"/>
        <w:numPr>
          <w:ilvl w:val="0"/>
          <w:numId w:val="1"/>
        </w:numPr>
        <w:spacing w:after="60"/>
      </w:pPr>
      <w:r>
        <w:t xml:space="preserve">Install Python 3.9+ (Windows: python.org, tick “Add python.exe to PATH”).</w:t>
      </w:r>
    </w:p>
    <w:p>
      <w:pPr>
        <w:pStyle w:val="ListParagraph"/>
        <w:numPr>
          <w:ilvl w:val="0"/>
          <w:numId w:val="1"/>
        </w:numPr>
        <w:spacing w:after="60"/>
      </w:pPr>
      <w:r>
        <w:t xml:space="preserve">Double-click m3m_mis_app.py, or run:  python m3m_mis_app.py</w:t>
      </w:r>
    </w:p>
    <w:p>
      <w:pPr>
        <w:pStyle w:val="ListParagraph"/>
        <w:numPr>
          <w:ilvl w:val="0"/>
          <w:numId w:val="1"/>
        </w:numPr>
        <w:spacing w:after="60"/>
      </w:pPr>
      <w:r>
        <w:t xml:space="preserve">The first run installs a few Python packages automatically (needs internet once).</w:t>
      </w:r>
    </w:p>
    <w:p>
      <w:pPr>
        <w:pStyle w:val="ListParagraph"/>
        <w:numPr>
          <w:ilvl w:val="0"/>
          <w:numId w:val="1"/>
        </w:numPr>
        <w:spacing w:after="60"/>
      </w:pPr>
      <w:r>
        <w:t xml:space="preserve">A browser tab opens automatically at http://127.0.0.1:8000 once the server is ready.</w:t>
      </w:r>
    </w:p>
    <w:p>
      <w:pPr>
        <w:pStyle w:val="ListParagraph"/>
        <w:numPr>
          <w:ilvl w:val="0"/>
          <w:numId w:val="1"/>
        </w:numPr>
        <w:spacing w:after="60"/>
      </w:pPr>
      <w:r>
        <w:t xml:space="preserve">Upload your M3M workbook (.xlsx) — it must contain a sheet named “Compile M3M Data”.</w:t>
      </w:r>
    </w:p>
    <w:p>
      <w:pPr>
        <w:pStyle w:val="ListParagraph"/>
        <w:numPr>
          <w:ilvl w:val="0"/>
          <w:numId w:val="1"/>
        </w:numPr>
        <w:spacing w:after="60"/>
      </w:pPr>
      <w:r>
        <w:t xml:space="preserve">Press Ctrl+C in the terminal window to stop the app. Nothing is written to disk except the app’s own program files — uploaded data lives only in memory for that session.</w:t>
      </w:r>
    </w:p>
    <w:p>
      <w:pPr>
        <w:pStyle w:val="Heading1"/>
        <w:spacing w:after="140" w:before="320"/>
      </w:pPr>
      <w:r>
        <w:t xml:space="preserve">3. How Column Detection Works</w:t>
      </w:r>
    </w:p>
    <w:p>
      <w:pPr>
        <w:spacing w:after="140"/>
      </w:pPr>
      <w:r>
        <w:t xml:space="preserve">The app never assumes column position. On upload, it normalizes every header in “Compile M3M Data” (lower-cased, punctuation-stripped) and matches it against a list of accepted aliases for each of the 26 fields below — first trying an exact match, then a “contains” match. Each source column can only be claimed by one field, so duplicate or derived helper columns in the workbook (for example the leftover pivot-style columns some exports include) are never mistaken for the real data. If a workbook uses different wording — “Ticket No.” instead of “Case Number,” for example — it will usually still be recognized; fields that truly can’t be found are listed back to the user after upload rather than silently ignored.</w:t>
      </w:r>
    </w:p>
    <w:p>
      <w:pPr>
        <w:pStyle w:val="Heading1"/>
        <w:spacing w:after="140" w:before="320"/>
      </w:pPr>
      <w:r>
        <w:t xml:space="preserve">4. Field Mapping (Detected From the Attached Sample File)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750"/>
            <w:shd w:fill="1F3864" w:val="clear"/>
            <w:tcMar>
              <w:top w:type="dxa" w:w="80"/>
              <w:left w:type="dxa" w:w="100"/>
              <w:bottom w:type="dxa" w:w="80"/>
              <w:right w:type="dxa" w:w="100"/>
            </w:tcMar>
          </w:tcPr>
          <w:p>
            <w:r>
              <w:rPr>
                <w:b/>
                <w:bCs/>
                <w:color w:val="FFFFFF"/>
                <w:sz w:val="18"/>
                <w:szCs w:val="18"/>
              </w:rPr>
              <w:t xml:space="preserve">Canonical Field</w:t>
            </w:r>
          </w:p>
        </w:tc>
        <w:tc>
          <w:tcPr>
            <w:tcW w:type="dxa" w:w="1750"/>
            <w:shd w:fill="1F3864" w:val="clear"/>
            <w:tcMar>
              <w:top w:type="dxa" w:w="80"/>
              <w:left w:type="dxa" w:w="100"/>
              <w:bottom w:type="dxa" w:w="80"/>
              <w:right w:type="dxa" w:w="100"/>
            </w:tcMar>
          </w:tcPr>
          <w:p>
            <w:r>
              <w:rPr>
                <w:b/>
                <w:bCs/>
                <w:color w:val="FFFFFF"/>
                <w:sz w:val="18"/>
                <w:szCs w:val="18"/>
              </w:rPr>
              <w:t xml:space="preserve">Detected Column (this file)</w:t>
            </w:r>
          </w:p>
        </w:tc>
        <w:tc>
          <w:tcPr>
            <w:tcW w:type="dxa" w:w="3600"/>
            <w:shd w:fill="1F3864" w:val="clear"/>
            <w:tcMar>
              <w:top w:type="dxa" w:w="80"/>
              <w:left w:type="dxa" w:w="100"/>
              <w:bottom w:type="dxa" w:w="80"/>
              <w:right w:type="dxa" w:w="100"/>
            </w:tcMar>
          </w:tcPr>
          <w:p>
            <w:r>
              <w:rPr>
                <w:b/>
                <w:bCs/>
                <w:color w:val="FFFFFF"/>
                <w:sz w:val="18"/>
                <w:szCs w:val="18"/>
              </w:rPr>
              <w:t xml:space="preserve">Description</w:t>
            </w:r>
          </w:p>
        </w:tc>
        <w:tc>
          <w:tcPr>
            <w:tcW w:type="dxa" w:w="2250"/>
            <w:shd w:fill="1F3864" w:val="clear"/>
            <w:tcMar>
              <w:top w:type="dxa" w:w="80"/>
              <w:left w:type="dxa" w:w="100"/>
              <w:bottom w:type="dxa" w:w="80"/>
              <w:right w:type="dxa" w:w="100"/>
            </w:tcMar>
          </w:tcPr>
          <w:p>
            <w:r>
              <w:rPr>
                <w:b/>
                <w:bCs/>
                <w:color w:val="FFFFFF"/>
                <w:sz w:val="18"/>
                <w:szCs w:val="18"/>
              </w:rPr>
              <w:t xml:space="preserve">Used In</w:t>
            </w:r>
          </w:p>
        </w:tc>
      </w:tr>
      <w:tr>
        <w:tc>
          <w:tcPr>
            <w:tcW w:type="dxa" w:w="1750"/>
            <w:tcMar>
              <w:top w:type="dxa" w:w="70"/>
              <w:left w:type="dxa" w:w="100"/>
              <w:bottom w:type="dxa" w:w="70"/>
              <w:right w:type="dxa" w:w="100"/>
            </w:tcMar>
          </w:tcPr>
          <w:p>
            <w:r>
              <w:rPr>
                <w:sz w:val="18"/>
                <w:szCs w:val="18"/>
              </w:rPr>
              <w:t xml:space="preserve">Case Number</w:t>
            </w:r>
          </w:p>
        </w:tc>
        <w:tc>
          <w:tcPr>
            <w:tcW w:type="dxa" w:w="1750"/>
            <w:tcMar>
              <w:top w:type="dxa" w:w="70"/>
              <w:left w:type="dxa" w:w="100"/>
              <w:bottom w:type="dxa" w:w="70"/>
              <w:right w:type="dxa" w:w="100"/>
            </w:tcMar>
          </w:tcPr>
          <w:p>
            <w:r>
              <w:rPr>
                <w:sz w:val="18"/>
                <w:szCs w:val="18"/>
              </w:rPr>
              <w:t xml:space="preserve">Case Number</w:t>
            </w:r>
          </w:p>
        </w:tc>
        <w:tc>
          <w:tcPr>
            <w:tcW w:type="dxa" w:w="3600"/>
            <w:tcMar>
              <w:top w:type="dxa" w:w="70"/>
              <w:left w:type="dxa" w:w="100"/>
              <w:bottom w:type="dxa" w:w="70"/>
              <w:right w:type="dxa" w:w="100"/>
            </w:tcMar>
          </w:tcPr>
          <w:p>
            <w:r>
              <w:rPr>
                <w:sz w:val="18"/>
                <w:szCs w:val="18"/>
              </w:rPr>
              <w:t xml:space="preserve">Unique case/ticket identifier.</w:t>
            </w:r>
          </w:p>
        </w:tc>
        <w:tc>
          <w:tcPr>
            <w:tcW w:type="dxa" w:w="2250"/>
            <w:tcMar>
              <w:top w:type="dxa" w:w="70"/>
              <w:left w:type="dxa" w:w="100"/>
              <w:bottom w:type="dxa" w:w="70"/>
              <w:right w:type="dxa" w:w="100"/>
            </w:tcMar>
          </w:tcPr>
          <w:p>
            <w:r>
              <w:rPr>
                <w:sz w:val="18"/>
                <w:szCs w:val="18"/>
              </w:rPr>
              <w:t xml:space="preserve">Primary key for every count (KPIs use a unique-case-number count)</w:t>
            </w:r>
          </w:p>
        </w:tc>
      </w:tr>
      <w:tr>
        <w:tc>
          <w:tcPr>
            <w:tcW w:type="dxa" w:w="1750"/>
            <w:shd w:fill="F2F5FA" w:val="clear"/>
            <w:tcMar>
              <w:top w:type="dxa" w:w="70"/>
              <w:left w:type="dxa" w:w="100"/>
              <w:bottom w:type="dxa" w:w="70"/>
              <w:right w:type="dxa" w:w="100"/>
            </w:tcMar>
          </w:tcPr>
          <w:p>
            <w:r>
              <w:rPr>
                <w:sz w:val="18"/>
                <w:szCs w:val="18"/>
              </w:rPr>
              <w:t xml:space="preserve">Account Name</w:t>
            </w:r>
          </w:p>
        </w:tc>
        <w:tc>
          <w:tcPr>
            <w:tcW w:type="dxa" w:w="1750"/>
            <w:shd w:fill="F2F5FA" w:val="clear"/>
            <w:tcMar>
              <w:top w:type="dxa" w:w="70"/>
              <w:left w:type="dxa" w:w="100"/>
              <w:bottom w:type="dxa" w:w="70"/>
              <w:right w:type="dxa" w:w="100"/>
            </w:tcMar>
          </w:tcPr>
          <w:p>
            <w:r>
              <w:rPr>
                <w:sz w:val="18"/>
                <w:szCs w:val="18"/>
              </w:rPr>
              <w:t xml:space="preserve">Account Name</w:t>
            </w:r>
          </w:p>
        </w:tc>
        <w:tc>
          <w:tcPr>
            <w:tcW w:type="dxa" w:w="3600"/>
            <w:shd w:fill="F2F5FA" w:val="clear"/>
            <w:tcMar>
              <w:top w:type="dxa" w:w="70"/>
              <w:left w:type="dxa" w:w="100"/>
              <w:bottom w:type="dxa" w:w="70"/>
              <w:right w:type="dxa" w:w="100"/>
            </w:tcMar>
          </w:tcPr>
          <w:p>
            <w:r>
              <w:rPr>
                <w:sz w:val="18"/>
                <w:szCs w:val="18"/>
              </w:rPr>
              <w:t xml:space="preserve">Customer / account name.</w:t>
            </w:r>
          </w:p>
        </w:tc>
        <w:tc>
          <w:tcPr>
            <w:tcW w:type="dxa" w:w="2250"/>
            <w:shd w:fill="F2F5FA" w:val="clear"/>
            <w:tcMar>
              <w:top w:type="dxa" w:w="70"/>
              <w:left w:type="dxa" w:w="100"/>
              <w:bottom w:type="dxa" w:w="70"/>
              <w:right w:type="dxa" w:w="100"/>
            </w:tcMar>
          </w:tcPr>
          <w:p>
            <w:r>
              <w:rPr>
                <w:sz w:val="18"/>
                <w:szCs w:val="18"/>
              </w:rPr>
              <w:t xml:space="preserve">Case table, case detail view</w:t>
            </w:r>
          </w:p>
        </w:tc>
      </w:tr>
      <w:tr>
        <w:tc>
          <w:tcPr>
            <w:tcW w:type="dxa" w:w="1750"/>
            <w:tcMar>
              <w:top w:type="dxa" w:w="70"/>
              <w:left w:type="dxa" w:w="100"/>
              <w:bottom w:type="dxa" w:w="70"/>
              <w:right w:type="dxa" w:w="100"/>
            </w:tcMar>
          </w:tcPr>
          <w:p>
            <w:r>
              <w:rPr>
                <w:sz w:val="18"/>
                <w:szCs w:val="18"/>
              </w:rPr>
              <w:t xml:space="preserve">Subject</w:t>
            </w:r>
          </w:p>
        </w:tc>
        <w:tc>
          <w:tcPr>
            <w:tcW w:type="dxa" w:w="1750"/>
            <w:tcMar>
              <w:top w:type="dxa" w:w="70"/>
              <w:left w:type="dxa" w:w="100"/>
              <w:bottom w:type="dxa" w:w="70"/>
              <w:right w:type="dxa" w:w="100"/>
            </w:tcMar>
          </w:tcPr>
          <w:p>
            <w:r>
              <w:rPr>
                <w:sz w:val="18"/>
                <w:szCs w:val="18"/>
              </w:rPr>
              <w:t xml:space="preserve">Subject</w:t>
            </w:r>
          </w:p>
        </w:tc>
        <w:tc>
          <w:tcPr>
            <w:tcW w:type="dxa" w:w="3600"/>
            <w:tcMar>
              <w:top w:type="dxa" w:w="70"/>
              <w:left w:type="dxa" w:w="100"/>
              <w:bottom w:type="dxa" w:w="70"/>
              <w:right w:type="dxa" w:w="100"/>
            </w:tcMar>
          </w:tcPr>
          <w:p>
            <w:r>
              <w:rPr>
                <w:sz w:val="18"/>
                <w:szCs w:val="18"/>
              </w:rPr>
              <w:t xml:space="preserve">Free-text case subject line.</w:t>
            </w:r>
          </w:p>
        </w:tc>
        <w:tc>
          <w:tcPr>
            <w:tcW w:type="dxa" w:w="2250"/>
            <w:tcMar>
              <w:top w:type="dxa" w:w="70"/>
              <w:left w:type="dxa" w:w="100"/>
              <w:bottom w:type="dxa" w:w="70"/>
              <w:right w:type="dxa" w:w="100"/>
            </w:tcMar>
          </w:tcPr>
          <w:p>
            <w:r>
              <w:rPr>
                <w:sz w:val="18"/>
                <w:szCs w:val="18"/>
              </w:rPr>
              <w:t xml:space="preserve">Case table, case detail view, search</w:t>
            </w:r>
          </w:p>
        </w:tc>
      </w:tr>
      <w:tr>
        <w:tc>
          <w:tcPr>
            <w:tcW w:type="dxa" w:w="1750"/>
            <w:shd w:fill="F2F5FA" w:val="clear"/>
            <w:tcMar>
              <w:top w:type="dxa" w:w="70"/>
              <w:left w:type="dxa" w:w="100"/>
              <w:bottom w:type="dxa" w:w="70"/>
              <w:right w:type="dxa" w:w="100"/>
            </w:tcMar>
          </w:tcPr>
          <w:p>
            <w:r>
              <w:rPr>
                <w:sz w:val="18"/>
                <w:szCs w:val="18"/>
              </w:rPr>
              <w:t xml:space="preserve">Priority</w:t>
            </w:r>
          </w:p>
        </w:tc>
        <w:tc>
          <w:tcPr>
            <w:tcW w:type="dxa" w:w="1750"/>
            <w:shd w:fill="F2F5FA" w:val="clear"/>
            <w:tcMar>
              <w:top w:type="dxa" w:w="70"/>
              <w:left w:type="dxa" w:w="100"/>
              <w:bottom w:type="dxa" w:w="70"/>
              <w:right w:type="dxa" w:w="100"/>
            </w:tcMar>
          </w:tcPr>
          <w:p>
            <w:r>
              <w:rPr>
                <w:sz w:val="18"/>
                <w:szCs w:val="18"/>
              </w:rPr>
              <w:t xml:space="preserve">Priority</w:t>
            </w:r>
          </w:p>
        </w:tc>
        <w:tc>
          <w:tcPr>
            <w:tcW w:type="dxa" w:w="3600"/>
            <w:shd w:fill="F2F5FA" w:val="clear"/>
            <w:tcMar>
              <w:top w:type="dxa" w:w="70"/>
              <w:left w:type="dxa" w:w="100"/>
              <w:bottom w:type="dxa" w:w="70"/>
              <w:right w:type="dxa" w:w="100"/>
            </w:tcMar>
          </w:tcPr>
          <w:p>
            <w:r>
              <w:rPr>
                <w:sz w:val="18"/>
                <w:szCs w:val="18"/>
              </w:rPr>
              <w:t xml:space="preserve">Priority assigned in the source system.</w:t>
            </w:r>
          </w:p>
        </w:tc>
        <w:tc>
          <w:tcPr>
            <w:tcW w:type="dxa" w:w="2250"/>
            <w:shd w:fill="F2F5FA" w:val="clear"/>
            <w:tcMar>
              <w:top w:type="dxa" w:w="70"/>
              <w:left w:type="dxa" w:w="100"/>
              <w:bottom w:type="dxa" w:w="70"/>
              <w:right w:type="dxa" w:w="100"/>
            </w:tcMar>
          </w:tcPr>
          <w:p>
            <w:r>
              <w:rPr>
                <w:sz w:val="18"/>
                <w:szCs w:val="18"/>
              </w:rPr>
              <w:t xml:space="preserve">Priority analysis, Management Attention (high-priority pending)</w:t>
            </w:r>
          </w:p>
        </w:tc>
      </w:tr>
      <w:tr>
        <w:tc>
          <w:tcPr>
            <w:tcW w:type="dxa" w:w="1750"/>
            <w:tcMar>
              <w:top w:type="dxa" w:w="70"/>
              <w:left w:type="dxa" w:w="100"/>
              <w:bottom w:type="dxa" w:w="70"/>
              <w:right w:type="dxa" w:w="100"/>
            </w:tcMar>
          </w:tcPr>
          <w:p>
            <w:r>
              <w:rPr>
                <w:sz w:val="18"/>
                <w:szCs w:val="18"/>
              </w:rPr>
              <w:t xml:space="preserve">M_Category</w:t>
            </w:r>
          </w:p>
        </w:tc>
        <w:tc>
          <w:tcPr>
            <w:tcW w:type="dxa" w:w="1750"/>
            <w:tcMar>
              <w:top w:type="dxa" w:w="70"/>
              <w:left w:type="dxa" w:w="100"/>
              <w:bottom w:type="dxa" w:w="70"/>
              <w:right w:type="dxa" w:w="100"/>
            </w:tcMar>
          </w:tcPr>
          <w:p>
            <w:r>
              <w:rPr>
                <w:sz w:val="18"/>
                <w:szCs w:val="18"/>
              </w:rPr>
              <w:t xml:space="preserve">M_Category</w:t>
            </w:r>
          </w:p>
        </w:tc>
        <w:tc>
          <w:tcPr>
            <w:tcW w:type="dxa" w:w="3600"/>
            <w:tcMar>
              <w:top w:type="dxa" w:w="70"/>
              <w:left w:type="dxa" w:w="100"/>
              <w:bottom w:type="dxa" w:w="70"/>
              <w:right w:type="dxa" w:w="100"/>
            </w:tcMar>
          </w:tcPr>
          <w:p>
            <w:r>
              <w:rPr>
                <w:sz w:val="18"/>
                <w:szCs w:val="18"/>
              </w:rPr>
              <w:t xml:space="preserve">Management-level rollup category.</w:t>
            </w:r>
          </w:p>
        </w:tc>
        <w:tc>
          <w:tcPr>
            <w:tcW w:type="dxa" w:w="2250"/>
            <w:tcMar>
              <w:top w:type="dxa" w:w="70"/>
              <w:left w:type="dxa" w:w="100"/>
              <w:bottom w:type="dxa" w:w="70"/>
              <w:right w:type="dxa" w:w="100"/>
            </w:tcMar>
          </w:tcPr>
          <w:p>
            <w:r>
              <w:rPr>
                <w:sz w:val="18"/>
                <w:szCs w:val="18"/>
              </w:rPr>
              <w:t xml:space="preserve">M_Category analysis, category charts</w:t>
            </w:r>
          </w:p>
        </w:tc>
      </w:tr>
      <w:tr>
        <w:tc>
          <w:tcPr>
            <w:tcW w:type="dxa" w:w="1750"/>
            <w:shd w:fill="F2F5FA" w:val="clear"/>
            <w:tcMar>
              <w:top w:type="dxa" w:w="70"/>
              <w:left w:type="dxa" w:w="100"/>
              <w:bottom w:type="dxa" w:w="70"/>
              <w:right w:type="dxa" w:w="100"/>
            </w:tcMar>
          </w:tcPr>
          <w:p>
            <w:r>
              <w:rPr>
                <w:sz w:val="18"/>
                <w:szCs w:val="18"/>
              </w:rPr>
              <w:t xml:space="preserve">Service Category</w:t>
            </w:r>
          </w:p>
        </w:tc>
        <w:tc>
          <w:tcPr>
            <w:tcW w:type="dxa" w:w="1750"/>
            <w:shd w:fill="F2F5FA" w:val="clear"/>
            <w:tcMar>
              <w:top w:type="dxa" w:w="70"/>
              <w:left w:type="dxa" w:w="100"/>
              <w:bottom w:type="dxa" w:w="70"/>
              <w:right w:type="dxa" w:w="100"/>
            </w:tcMar>
          </w:tcPr>
          <w:p>
            <w:r>
              <w:rPr>
                <w:sz w:val="18"/>
                <w:szCs w:val="18"/>
              </w:rPr>
              <w:t xml:space="preserve">Service Category</w:t>
            </w:r>
          </w:p>
        </w:tc>
        <w:tc>
          <w:tcPr>
            <w:tcW w:type="dxa" w:w="3600"/>
            <w:shd w:fill="F2F5FA" w:val="clear"/>
            <w:tcMar>
              <w:top w:type="dxa" w:w="70"/>
              <w:left w:type="dxa" w:w="100"/>
              <w:bottom w:type="dxa" w:w="70"/>
              <w:right w:type="dxa" w:w="100"/>
            </w:tcMar>
          </w:tcPr>
          <w:p>
            <w:r>
              <w:rPr>
                <w:sz w:val="18"/>
                <w:szCs w:val="18"/>
              </w:rPr>
              <w:t xml:space="preserve">Detailed service category.</w:t>
            </w:r>
          </w:p>
        </w:tc>
        <w:tc>
          <w:tcPr>
            <w:tcW w:type="dxa" w:w="2250"/>
            <w:shd w:fill="F2F5FA" w:val="clear"/>
            <w:tcMar>
              <w:top w:type="dxa" w:w="70"/>
              <w:left w:type="dxa" w:w="100"/>
              <w:bottom w:type="dxa" w:w="70"/>
              <w:right w:type="dxa" w:w="100"/>
            </w:tcMar>
          </w:tcPr>
          <w:p>
            <w:r>
              <w:rPr>
                <w:sz w:val="18"/>
                <w:szCs w:val="18"/>
              </w:rPr>
              <w:t xml:space="preserve">Service Category analysis, Top/Bottom 5, category charts</w:t>
            </w:r>
          </w:p>
        </w:tc>
      </w:tr>
      <w:tr>
        <w:tc>
          <w:tcPr>
            <w:tcW w:type="dxa" w:w="1750"/>
            <w:tcMar>
              <w:top w:type="dxa" w:w="70"/>
              <w:left w:type="dxa" w:w="100"/>
              <w:bottom w:type="dxa" w:w="70"/>
              <w:right w:type="dxa" w:w="100"/>
            </w:tcMar>
          </w:tcPr>
          <w:p>
            <w:r>
              <w:rPr>
                <w:sz w:val="18"/>
                <w:szCs w:val="18"/>
              </w:rPr>
              <w:t xml:space="preserve">Opened Date</w:t>
            </w:r>
          </w:p>
        </w:tc>
        <w:tc>
          <w:tcPr>
            <w:tcW w:type="dxa" w:w="1750"/>
            <w:tcMar>
              <w:top w:type="dxa" w:w="70"/>
              <w:left w:type="dxa" w:w="100"/>
              <w:bottom w:type="dxa" w:w="70"/>
              <w:right w:type="dxa" w:w="100"/>
            </w:tcMar>
          </w:tcPr>
          <w:p>
            <w:r>
              <w:rPr>
                <w:sz w:val="18"/>
                <w:szCs w:val="18"/>
              </w:rPr>
              <w:t xml:space="preserve">Opened Date</w:t>
            </w:r>
          </w:p>
        </w:tc>
        <w:tc>
          <w:tcPr>
            <w:tcW w:type="dxa" w:w="3600"/>
            <w:tcMar>
              <w:top w:type="dxa" w:w="70"/>
              <w:left w:type="dxa" w:w="100"/>
              <w:bottom w:type="dxa" w:w="70"/>
              <w:right w:type="dxa" w:w="100"/>
            </w:tcMar>
          </w:tcPr>
          <w:p>
            <w:r>
              <w:rPr>
                <w:sz w:val="18"/>
                <w:szCs w:val="18"/>
              </w:rPr>
              <w:t xml:space="preserve">Date the case was received/opened.</w:t>
            </w:r>
          </w:p>
        </w:tc>
        <w:tc>
          <w:tcPr>
            <w:tcW w:type="dxa" w:w="2250"/>
            <w:tcMar>
              <w:top w:type="dxa" w:w="70"/>
              <w:left w:type="dxa" w:w="100"/>
              <w:bottom w:type="dxa" w:w="70"/>
              <w:right w:type="dxa" w:w="100"/>
            </w:tcMar>
          </w:tcPr>
          <w:p>
            <w:r>
              <w:rPr>
                <w:sz w:val="18"/>
                <w:szCs w:val="18"/>
              </w:rPr>
              <w:t xml:space="preserve">Default date used for all trend, ageing and date-range filtering</w:t>
            </w:r>
          </w:p>
        </w:tc>
      </w:tr>
      <w:tr>
        <w:tc>
          <w:tcPr>
            <w:tcW w:type="dxa" w:w="1750"/>
            <w:shd w:fill="F2F5FA" w:val="clear"/>
            <w:tcMar>
              <w:top w:type="dxa" w:w="70"/>
              <w:left w:type="dxa" w:w="100"/>
              <w:bottom w:type="dxa" w:w="70"/>
              <w:right w:type="dxa" w:w="100"/>
            </w:tcMar>
          </w:tcPr>
          <w:p>
            <w:r>
              <w:rPr>
                <w:sz w:val="18"/>
                <w:szCs w:val="18"/>
              </w:rPr>
              <w:t xml:space="preserve">Closed Date</w:t>
            </w:r>
          </w:p>
        </w:tc>
        <w:tc>
          <w:tcPr>
            <w:tcW w:type="dxa" w:w="1750"/>
            <w:shd w:fill="F2F5FA" w:val="clear"/>
            <w:tcMar>
              <w:top w:type="dxa" w:w="70"/>
              <w:left w:type="dxa" w:w="100"/>
              <w:bottom w:type="dxa" w:w="70"/>
              <w:right w:type="dxa" w:w="100"/>
            </w:tcMar>
          </w:tcPr>
          <w:p>
            <w:r>
              <w:rPr>
                <w:sz w:val="18"/>
                <w:szCs w:val="18"/>
              </w:rPr>
              <w:t xml:space="preserve">Closed Date</w:t>
            </w:r>
          </w:p>
        </w:tc>
        <w:tc>
          <w:tcPr>
            <w:tcW w:type="dxa" w:w="3600"/>
            <w:shd w:fill="F2F5FA" w:val="clear"/>
            <w:tcMar>
              <w:top w:type="dxa" w:w="70"/>
              <w:left w:type="dxa" w:w="100"/>
              <w:bottom w:type="dxa" w:w="70"/>
              <w:right w:type="dxa" w:w="100"/>
            </w:tcMar>
          </w:tcPr>
          <w:p>
            <w:r>
              <w:rPr>
                <w:sz w:val="18"/>
                <w:szCs w:val="18"/>
              </w:rPr>
              <w:t xml:space="preserve">Date the case was closed.</w:t>
            </w:r>
          </w:p>
        </w:tc>
        <w:tc>
          <w:tcPr>
            <w:tcW w:type="dxa" w:w="2250"/>
            <w:shd w:fill="F2F5FA" w:val="clear"/>
            <w:tcMar>
              <w:top w:type="dxa" w:w="70"/>
              <w:left w:type="dxa" w:w="100"/>
              <w:bottom w:type="dxa" w:w="70"/>
              <w:right w:type="dxa" w:w="100"/>
            </w:tcMar>
          </w:tcPr>
          <w:p>
            <w:r>
              <w:rPr>
                <w:sz w:val="18"/>
                <w:szCs w:val="18"/>
              </w:rPr>
              <w:t xml:space="preserve">TAT / resolution-trend calculations</w:t>
            </w:r>
          </w:p>
        </w:tc>
      </w:tr>
      <w:tr>
        <w:tc>
          <w:tcPr>
            <w:tcW w:type="dxa" w:w="1750"/>
            <w:tcMar>
              <w:top w:type="dxa" w:w="70"/>
              <w:left w:type="dxa" w:w="100"/>
              <w:bottom w:type="dxa" w:w="70"/>
              <w:right w:type="dxa" w:w="100"/>
            </w:tcMar>
          </w:tcPr>
          <w:p>
            <w:r>
              <w:rPr>
                <w:sz w:val="18"/>
                <w:szCs w:val="18"/>
              </w:rPr>
              <w:t xml:space="preserve">Case Owner</w:t>
            </w:r>
          </w:p>
        </w:tc>
        <w:tc>
          <w:tcPr>
            <w:tcW w:type="dxa" w:w="1750"/>
            <w:tcMar>
              <w:top w:type="dxa" w:w="70"/>
              <w:left w:type="dxa" w:w="100"/>
              <w:bottom w:type="dxa" w:w="70"/>
              <w:right w:type="dxa" w:w="100"/>
            </w:tcMar>
          </w:tcPr>
          <w:p>
            <w:r>
              <w:rPr>
                <w:sz w:val="18"/>
                <w:szCs w:val="18"/>
              </w:rPr>
              <w:t xml:space="preserve">Case Owner</w:t>
            </w:r>
          </w:p>
        </w:tc>
        <w:tc>
          <w:tcPr>
            <w:tcW w:type="dxa" w:w="3600"/>
            <w:tcMar>
              <w:top w:type="dxa" w:w="70"/>
              <w:left w:type="dxa" w:w="100"/>
              <w:bottom w:type="dxa" w:w="70"/>
              <w:right w:type="dxa" w:w="100"/>
            </w:tcMar>
          </w:tcPr>
          <w:p>
            <w:r>
              <w:rPr>
                <w:sz w:val="18"/>
                <w:szCs w:val="18"/>
              </w:rPr>
              <w:t xml:space="preserve">Individual handling the case.</w:t>
            </w:r>
          </w:p>
        </w:tc>
        <w:tc>
          <w:tcPr>
            <w:tcW w:type="dxa" w:w="2250"/>
            <w:tcMar>
              <w:top w:type="dxa" w:w="70"/>
              <w:left w:type="dxa" w:w="100"/>
              <w:bottom w:type="dxa" w:w="70"/>
              <w:right w:type="dxa" w:w="100"/>
            </w:tcMar>
          </w:tcPr>
          <w:p>
            <w:r>
              <w:rPr>
                <w:sz w:val="18"/>
                <w:szCs w:val="18"/>
              </w:rPr>
              <w:t xml:space="preserve">Case Owner analysis, filters, Management Attention (missing owner)</w:t>
            </w:r>
          </w:p>
        </w:tc>
      </w:tr>
      <w:tr>
        <w:tc>
          <w:tcPr>
            <w:tcW w:type="dxa" w:w="1750"/>
            <w:shd w:fill="F2F5FA" w:val="clear"/>
            <w:tcMar>
              <w:top w:type="dxa" w:w="70"/>
              <w:left w:type="dxa" w:w="100"/>
              <w:bottom w:type="dxa" w:w="70"/>
              <w:right w:type="dxa" w:w="100"/>
            </w:tcMar>
          </w:tcPr>
          <w:p>
            <w:r>
              <w:rPr>
                <w:sz w:val="18"/>
                <w:szCs w:val="18"/>
              </w:rPr>
              <w:t xml:space="preserve">Case Type</w:t>
            </w:r>
          </w:p>
        </w:tc>
        <w:tc>
          <w:tcPr>
            <w:tcW w:type="dxa" w:w="1750"/>
            <w:shd w:fill="F2F5FA" w:val="clear"/>
            <w:tcMar>
              <w:top w:type="dxa" w:w="70"/>
              <w:left w:type="dxa" w:w="100"/>
              <w:bottom w:type="dxa" w:w="70"/>
              <w:right w:type="dxa" w:w="100"/>
            </w:tcMar>
          </w:tcPr>
          <w:p>
            <w:r>
              <w:rPr>
                <w:sz w:val="18"/>
                <w:szCs w:val="18"/>
              </w:rPr>
              <w:t xml:space="preserve">Case Type</w:t>
            </w:r>
          </w:p>
        </w:tc>
        <w:tc>
          <w:tcPr>
            <w:tcW w:type="dxa" w:w="3600"/>
            <w:shd w:fill="F2F5FA" w:val="clear"/>
            <w:tcMar>
              <w:top w:type="dxa" w:w="70"/>
              <w:left w:type="dxa" w:w="100"/>
              <w:bottom w:type="dxa" w:w="70"/>
              <w:right w:type="dxa" w:w="100"/>
            </w:tcMar>
          </w:tcPr>
          <w:p>
            <w:r>
              <w:rPr>
                <w:sz w:val="18"/>
                <w:szCs w:val="18"/>
              </w:rPr>
              <w:t xml:space="preserve">Query / Complaint classification.</w:t>
            </w:r>
          </w:p>
        </w:tc>
        <w:tc>
          <w:tcPr>
            <w:tcW w:type="dxa" w:w="2250"/>
            <w:shd w:fill="F2F5FA" w:val="clear"/>
            <w:tcMar>
              <w:top w:type="dxa" w:w="70"/>
              <w:left w:type="dxa" w:w="100"/>
              <w:bottom w:type="dxa" w:w="70"/>
              <w:right w:type="dxa" w:w="100"/>
            </w:tcMar>
          </w:tcPr>
          <w:p>
            <w:r>
              <w:rPr>
                <w:sz w:val="18"/>
                <w:szCs w:val="18"/>
              </w:rPr>
              <w:t xml:space="preserve">Case table, filters</w:t>
            </w:r>
          </w:p>
        </w:tc>
      </w:tr>
      <w:tr>
        <w:tc>
          <w:tcPr>
            <w:tcW w:type="dxa" w:w="1750"/>
            <w:tcMar>
              <w:top w:type="dxa" w:w="70"/>
              <w:left w:type="dxa" w:w="100"/>
              <w:bottom w:type="dxa" w:w="70"/>
              <w:right w:type="dxa" w:w="100"/>
            </w:tcMar>
          </w:tcPr>
          <w:p>
            <w:r>
              <w:rPr>
                <w:sz w:val="18"/>
                <w:szCs w:val="18"/>
              </w:rPr>
              <w:t xml:space="preserve">Case Status</w:t>
            </w:r>
          </w:p>
        </w:tc>
        <w:tc>
          <w:tcPr>
            <w:tcW w:type="dxa" w:w="1750"/>
            <w:tcMar>
              <w:top w:type="dxa" w:w="70"/>
              <w:left w:type="dxa" w:w="100"/>
              <w:bottom w:type="dxa" w:w="70"/>
              <w:right w:type="dxa" w:w="100"/>
            </w:tcMar>
          </w:tcPr>
          <w:p>
            <w:r>
              <w:rPr>
                <w:sz w:val="18"/>
                <w:szCs w:val="18"/>
              </w:rPr>
              <w:t xml:space="preserve">Case Status</w:t>
            </w:r>
          </w:p>
        </w:tc>
        <w:tc>
          <w:tcPr>
            <w:tcW w:type="dxa" w:w="3600"/>
            <w:tcMar>
              <w:top w:type="dxa" w:w="70"/>
              <w:left w:type="dxa" w:w="100"/>
              <w:bottom w:type="dxa" w:w="70"/>
              <w:right w:type="dxa" w:w="100"/>
            </w:tcMar>
          </w:tcPr>
          <w:p>
            <w:r>
              <w:rPr>
                <w:sz w:val="18"/>
                <w:szCs w:val="18"/>
              </w:rPr>
              <w:t xml:space="preserve">Raw status text (Closed, In progress, New, Re-Open...).</w:t>
            </w:r>
          </w:p>
        </w:tc>
        <w:tc>
          <w:tcPr>
            <w:tcW w:type="dxa" w:w="2250"/>
            <w:tcMar>
              <w:top w:type="dxa" w:w="70"/>
              <w:left w:type="dxa" w:w="100"/>
              <w:bottom w:type="dxa" w:w="70"/>
              <w:right w:type="dxa" w:w="100"/>
            </w:tcMar>
          </w:tcPr>
          <w:p>
            <w:r>
              <w:rPr>
                <w:sz w:val="18"/>
                <w:szCs w:val="18"/>
              </w:rPr>
              <w:t xml:space="preserve">Normalized into the Open/Closed status bucket used for every KPI</w:t>
            </w:r>
          </w:p>
        </w:tc>
      </w:tr>
      <w:tr>
        <w:tc>
          <w:tcPr>
            <w:tcW w:type="dxa" w:w="1750"/>
            <w:shd w:fill="F2F5FA" w:val="clear"/>
            <w:tcMar>
              <w:top w:type="dxa" w:w="70"/>
              <w:left w:type="dxa" w:w="100"/>
              <w:bottom w:type="dxa" w:w="70"/>
              <w:right w:type="dxa" w:w="100"/>
            </w:tcMar>
          </w:tcPr>
          <w:p>
            <w:r>
              <w:rPr>
                <w:sz w:val="18"/>
                <w:szCs w:val="18"/>
              </w:rPr>
              <w:t xml:space="preserve">Sub Category</w:t>
            </w:r>
          </w:p>
        </w:tc>
        <w:tc>
          <w:tcPr>
            <w:tcW w:type="dxa" w:w="1750"/>
            <w:shd w:fill="F2F5FA" w:val="clear"/>
            <w:tcMar>
              <w:top w:type="dxa" w:w="70"/>
              <w:left w:type="dxa" w:w="100"/>
              <w:bottom w:type="dxa" w:w="70"/>
              <w:right w:type="dxa" w:w="100"/>
            </w:tcMar>
          </w:tcPr>
          <w:p>
            <w:r>
              <w:rPr>
                <w:sz w:val="18"/>
                <w:szCs w:val="18"/>
              </w:rPr>
              <w:t xml:space="preserve">Sub Category</w:t>
            </w:r>
          </w:p>
        </w:tc>
        <w:tc>
          <w:tcPr>
            <w:tcW w:type="dxa" w:w="3600"/>
            <w:shd w:fill="F2F5FA" w:val="clear"/>
            <w:tcMar>
              <w:top w:type="dxa" w:w="70"/>
              <w:left w:type="dxa" w:w="100"/>
              <w:bottom w:type="dxa" w:w="70"/>
              <w:right w:type="dxa" w:w="100"/>
            </w:tcMar>
          </w:tcPr>
          <w:p>
            <w:r>
              <w:rPr>
                <w:sz w:val="18"/>
                <w:szCs w:val="18"/>
              </w:rPr>
              <w:t xml:space="preserve">Granular category under Service Category.</w:t>
            </w:r>
          </w:p>
        </w:tc>
        <w:tc>
          <w:tcPr>
            <w:tcW w:type="dxa" w:w="2250"/>
            <w:shd w:fill="F2F5FA" w:val="clear"/>
            <w:tcMar>
              <w:top w:type="dxa" w:w="70"/>
              <w:left w:type="dxa" w:w="100"/>
              <w:bottom w:type="dxa" w:w="70"/>
              <w:right w:type="dxa" w:w="100"/>
            </w:tcMar>
          </w:tcPr>
          <w:p>
            <w:r>
              <w:rPr>
                <w:sz w:val="18"/>
                <w:szCs w:val="18"/>
              </w:rPr>
              <w:t xml:space="preserve">Sub Category analysis, filters</w:t>
            </w:r>
          </w:p>
        </w:tc>
      </w:tr>
      <w:tr>
        <w:tc>
          <w:tcPr>
            <w:tcW w:type="dxa" w:w="1750"/>
            <w:tcMar>
              <w:top w:type="dxa" w:w="70"/>
              <w:left w:type="dxa" w:w="100"/>
              <w:bottom w:type="dxa" w:w="70"/>
              <w:right w:type="dxa" w:w="100"/>
            </w:tcMar>
          </w:tcPr>
          <w:p>
            <w:r>
              <w:rPr>
                <w:sz w:val="18"/>
                <w:szCs w:val="18"/>
              </w:rPr>
              <w:t xml:space="preserve">Case Source</w:t>
            </w:r>
          </w:p>
        </w:tc>
        <w:tc>
          <w:tcPr>
            <w:tcW w:type="dxa" w:w="1750"/>
            <w:tcMar>
              <w:top w:type="dxa" w:w="70"/>
              <w:left w:type="dxa" w:w="100"/>
              <w:bottom w:type="dxa" w:w="70"/>
              <w:right w:type="dxa" w:w="100"/>
            </w:tcMar>
          </w:tcPr>
          <w:p>
            <w:r>
              <w:rPr>
                <w:sz w:val="18"/>
                <w:szCs w:val="18"/>
              </w:rPr>
              <w:t xml:space="preserve">Case Source</w:t>
            </w:r>
          </w:p>
        </w:tc>
        <w:tc>
          <w:tcPr>
            <w:tcW w:type="dxa" w:w="3600"/>
            <w:tcMar>
              <w:top w:type="dxa" w:w="70"/>
              <w:left w:type="dxa" w:w="100"/>
              <w:bottom w:type="dxa" w:w="70"/>
              <w:right w:type="dxa" w:w="100"/>
            </w:tcMar>
          </w:tcPr>
          <w:p>
            <w:r>
              <w:rPr>
                <w:sz w:val="18"/>
                <w:szCs w:val="18"/>
              </w:rPr>
              <w:t xml:space="preserve">Originating inbound channel/address.</w:t>
            </w:r>
          </w:p>
        </w:tc>
        <w:tc>
          <w:tcPr>
            <w:tcW w:type="dxa" w:w="2250"/>
            <w:tcMar>
              <w:top w:type="dxa" w:w="70"/>
              <w:left w:type="dxa" w:w="100"/>
              <w:bottom w:type="dxa" w:w="70"/>
              <w:right w:type="dxa" w:w="100"/>
            </w:tcMar>
          </w:tcPr>
          <w:p>
            <w:r>
              <w:rPr>
                <w:sz w:val="18"/>
                <w:szCs w:val="18"/>
              </w:rPr>
              <w:t xml:space="preserve">Filters, case detail view</w:t>
            </w:r>
          </w:p>
        </w:tc>
      </w:tr>
      <w:tr>
        <w:tc>
          <w:tcPr>
            <w:tcW w:type="dxa" w:w="1750"/>
            <w:shd w:fill="F2F5FA" w:val="clear"/>
            <w:tcMar>
              <w:top w:type="dxa" w:w="70"/>
              <w:left w:type="dxa" w:w="100"/>
              <w:bottom w:type="dxa" w:w="70"/>
              <w:right w:type="dxa" w:w="100"/>
            </w:tcMar>
          </w:tcPr>
          <w:p>
            <w:r>
              <w:rPr>
                <w:sz w:val="18"/>
                <w:szCs w:val="18"/>
              </w:rPr>
              <w:t xml:space="preserve">Case Origin</w:t>
            </w:r>
          </w:p>
        </w:tc>
        <w:tc>
          <w:tcPr>
            <w:tcW w:type="dxa" w:w="1750"/>
            <w:shd w:fill="F2F5FA" w:val="clear"/>
            <w:tcMar>
              <w:top w:type="dxa" w:w="70"/>
              <w:left w:type="dxa" w:w="100"/>
              <w:bottom w:type="dxa" w:w="70"/>
              <w:right w:type="dxa" w:w="100"/>
            </w:tcMar>
          </w:tcPr>
          <w:p>
            <w:r>
              <w:rPr>
                <w:sz w:val="18"/>
                <w:szCs w:val="18"/>
              </w:rPr>
              <w:t xml:space="preserve">Case Origin</w:t>
            </w:r>
          </w:p>
        </w:tc>
        <w:tc>
          <w:tcPr>
            <w:tcW w:type="dxa" w:w="3600"/>
            <w:shd w:fill="F2F5FA" w:val="clear"/>
            <w:tcMar>
              <w:top w:type="dxa" w:w="70"/>
              <w:left w:type="dxa" w:w="100"/>
              <w:bottom w:type="dxa" w:w="70"/>
              <w:right w:type="dxa" w:w="100"/>
            </w:tcMar>
          </w:tcPr>
          <w:p>
            <w:r>
              <w:rPr>
                <w:sz w:val="18"/>
                <w:szCs w:val="18"/>
              </w:rPr>
              <w:t xml:space="preserve">Channel the case arrived through.</w:t>
            </w:r>
          </w:p>
        </w:tc>
        <w:tc>
          <w:tcPr>
            <w:tcW w:type="dxa" w:w="2250"/>
            <w:shd w:fill="F2F5FA" w:val="clear"/>
            <w:tcMar>
              <w:top w:type="dxa" w:w="70"/>
              <w:left w:type="dxa" w:w="100"/>
              <w:bottom w:type="dxa" w:w="70"/>
              <w:right w:type="dxa" w:w="100"/>
            </w:tcMar>
          </w:tcPr>
          <w:p>
            <w:r>
              <w:rPr>
                <w:sz w:val="18"/>
                <w:szCs w:val="18"/>
              </w:rPr>
              <w:t xml:space="preserve">Case detail view, filters</w:t>
            </w:r>
          </w:p>
        </w:tc>
      </w:tr>
      <w:tr>
        <w:tc>
          <w:tcPr>
            <w:tcW w:type="dxa" w:w="1750"/>
            <w:tcMar>
              <w:top w:type="dxa" w:w="70"/>
              <w:left w:type="dxa" w:w="100"/>
              <w:bottom w:type="dxa" w:w="70"/>
              <w:right w:type="dxa" w:w="100"/>
            </w:tcMar>
          </w:tcPr>
          <w:p>
            <w:r>
              <w:rPr>
                <w:sz w:val="18"/>
                <w:szCs w:val="18"/>
              </w:rPr>
              <w:t xml:space="preserve">Case Ageing</w:t>
            </w:r>
          </w:p>
        </w:tc>
        <w:tc>
          <w:tcPr>
            <w:tcW w:type="dxa" w:w="1750"/>
            <w:tcMar>
              <w:top w:type="dxa" w:w="70"/>
              <w:left w:type="dxa" w:w="100"/>
              <w:bottom w:type="dxa" w:w="70"/>
              <w:right w:type="dxa" w:w="100"/>
            </w:tcMar>
          </w:tcPr>
          <w:p>
            <w:r>
              <w:rPr>
                <w:sz w:val="18"/>
                <w:szCs w:val="18"/>
              </w:rPr>
              <w:t xml:space="preserve">Case Ageing</w:t>
            </w:r>
          </w:p>
        </w:tc>
        <w:tc>
          <w:tcPr>
            <w:tcW w:type="dxa" w:w="3600"/>
            <w:tcMar>
              <w:top w:type="dxa" w:w="70"/>
              <w:left w:type="dxa" w:w="100"/>
              <w:bottom w:type="dxa" w:w="70"/>
              <w:right w:type="dxa" w:w="100"/>
            </w:tcMar>
          </w:tcPr>
          <w:p>
            <w:r>
              <w:rPr>
                <w:sz w:val="18"/>
                <w:szCs w:val="18"/>
              </w:rPr>
              <w:t xml:space="preserve">Days the case has been open (as supplied).</w:t>
            </w:r>
          </w:p>
        </w:tc>
        <w:tc>
          <w:tcPr>
            <w:tcW w:type="dxa" w:w="2250"/>
            <w:tcMar>
              <w:top w:type="dxa" w:w="70"/>
              <w:left w:type="dxa" w:w="100"/>
              <w:bottom w:type="dxa" w:w="70"/>
              <w:right w:type="dxa" w:w="100"/>
            </w:tcMar>
          </w:tcPr>
          <w:p>
            <w:r>
              <w:rPr>
                <w:sz w:val="18"/>
                <w:szCs w:val="18"/>
              </w:rPr>
              <w:t xml:space="preserve">Avg Case Age KPI, ageing bucket analysis, Attention (30+ days)</w:t>
            </w:r>
          </w:p>
        </w:tc>
      </w:tr>
      <w:tr>
        <w:tc>
          <w:tcPr>
            <w:tcW w:type="dxa" w:w="1750"/>
            <w:shd w:fill="F2F5FA" w:val="clear"/>
            <w:tcMar>
              <w:top w:type="dxa" w:w="70"/>
              <w:left w:type="dxa" w:w="100"/>
              <w:bottom w:type="dxa" w:w="70"/>
              <w:right w:type="dxa" w:w="100"/>
            </w:tcMar>
          </w:tcPr>
          <w:p>
            <w:r>
              <w:rPr>
                <w:sz w:val="18"/>
                <w:szCs w:val="18"/>
              </w:rPr>
              <w:t xml:space="preserve">Escalation</w:t>
            </w:r>
          </w:p>
        </w:tc>
        <w:tc>
          <w:tcPr>
            <w:tcW w:type="dxa" w:w="1750"/>
            <w:shd w:fill="F2F5FA" w:val="clear"/>
            <w:tcMar>
              <w:top w:type="dxa" w:w="70"/>
              <w:left w:type="dxa" w:w="100"/>
              <w:bottom w:type="dxa" w:w="70"/>
              <w:right w:type="dxa" w:w="100"/>
            </w:tcMar>
          </w:tcPr>
          <w:p>
            <w:r>
              <w:rPr>
                <w:sz w:val="18"/>
                <w:szCs w:val="18"/>
              </w:rPr>
              <w:t xml:space="preserve">Is Escalated closure</w:t>
            </w:r>
          </w:p>
        </w:tc>
        <w:tc>
          <w:tcPr>
            <w:tcW w:type="dxa" w:w="3600"/>
            <w:shd w:fill="F2F5FA" w:val="clear"/>
            <w:tcMar>
              <w:top w:type="dxa" w:w="70"/>
              <w:left w:type="dxa" w:w="100"/>
              <w:bottom w:type="dxa" w:w="70"/>
              <w:right w:type="dxa" w:w="100"/>
            </w:tcMar>
          </w:tcPr>
          <w:p>
            <w:r>
              <w:rPr>
                <w:sz w:val="18"/>
                <w:szCs w:val="18"/>
              </w:rPr>
              <w:t xml:space="preserve">Escalation / closure-quality text.</w:t>
            </w:r>
          </w:p>
        </w:tc>
        <w:tc>
          <w:tcPr>
            <w:tcW w:type="dxa" w:w="2250"/>
            <w:shd w:fill="F2F5FA" w:val="clear"/>
            <w:tcMar>
              <w:top w:type="dxa" w:w="70"/>
              <w:left w:type="dxa" w:w="100"/>
              <w:bottom w:type="dxa" w:w="70"/>
              <w:right w:type="dxa" w:w="100"/>
            </w:tcMar>
          </w:tcPr>
          <w:p>
            <w:r>
              <w:rPr>
                <w:sz w:val="18"/>
                <w:szCs w:val="18"/>
              </w:rPr>
              <w:t xml:space="preserve">Parsed into the Escalated / Not Escalated flag used everywhere</w:t>
            </w:r>
          </w:p>
        </w:tc>
      </w:tr>
      <w:tr>
        <w:tc>
          <w:tcPr>
            <w:tcW w:type="dxa" w:w="1750"/>
            <w:tcMar>
              <w:top w:type="dxa" w:w="70"/>
              <w:left w:type="dxa" w:w="100"/>
              <w:bottom w:type="dxa" w:w="70"/>
              <w:right w:type="dxa" w:w="100"/>
            </w:tcMar>
          </w:tcPr>
          <w:p>
            <w:r>
              <w:rPr>
                <w:sz w:val="18"/>
                <w:szCs w:val="18"/>
              </w:rPr>
              <w:t xml:space="preserve">Project Name</w:t>
            </w:r>
          </w:p>
        </w:tc>
        <w:tc>
          <w:tcPr>
            <w:tcW w:type="dxa" w:w="1750"/>
            <w:tcMar>
              <w:top w:type="dxa" w:w="70"/>
              <w:left w:type="dxa" w:w="100"/>
              <w:bottom w:type="dxa" w:w="70"/>
              <w:right w:type="dxa" w:w="100"/>
            </w:tcMar>
          </w:tcPr>
          <w:p>
            <w:r>
              <w:rPr>
                <w:sz w:val="18"/>
                <w:szCs w:val="18"/>
              </w:rPr>
              <w:t xml:space="preserve">Project Name</w:t>
            </w:r>
          </w:p>
        </w:tc>
        <w:tc>
          <w:tcPr>
            <w:tcW w:type="dxa" w:w="3600"/>
            <w:tcMar>
              <w:top w:type="dxa" w:w="70"/>
              <w:left w:type="dxa" w:w="100"/>
              <w:bottom w:type="dxa" w:w="70"/>
              <w:right w:type="dxa" w:w="100"/>
            </w:tcMar>
          </w:tcPr>
          <w:p>
            <w:r>
              <w:rPr>
                <w:sz w:val="18"/>
                <w:szCs w:val="18"/>
              </w:rPr>
              <w:t xml:space="preserve">M3M project / property.</w:t>
            </w:r>
          </w:p>
        </w:tc>
        <w:tc>
          <w:tcPr>
            <w:tcW w:type="dxa" w:w="2250"/>
            <w:tcMar>
              <w:top w:type="dxa" w:w="70"/>
              <w:left w:type="dxa" w:w="100"/>
              <w:bottom w:type="dxa" w:w="70"/>
              <w:right w:type="dxa" w:w="100"/>
            </w:tcMar>
          </w:tcPr>
          <w:p>
            <w:r>
              <w:rPr>
                <w:sz w:val="18"/>
                <w:szCs w:val="18"/>
              </w:rPr>
              <w:t xml:space="preserve">Project analysis, Top/Bottom 5, cross-filtering</w:t>
            </w:r>
          </w:p>
        </w:tc>
      </w:tr>
      <w:tr>
        <w:tc>
          <w:tcPr>
            <w:tcW w:type="dxa" w:w="1750"/>
            <w:shd w:fill="F2F5FA" w:val="clear"/>
            <w:tcMar>
              <w:top w:type="dxa" w:w="70"/>
              <w:left w:type="dxa" w:w="100"/>
              <w:bottom w:type="dxa" w:w="70"/>
              <w:right w:type="dxa" w:w="100"/>
            </w:tcMar>
          </w:tcPr>
          <w:p>
            <w:r>
              <w:rPr>
                <w:sz w:val="18"/>
                <w:szCs w:val="18"/>
              </w:rPr>
              <w:t xml:space="preserve">Project Unit</w:t>
            </w:r>
          </w:p>
        </w:tc>
        <w:tc>
          <w:tcPr>
            <w:tcW w:type="dxa" w:w="1750"/>
            <w:shd w:fill="F2F5FA" w:val="clear"/>
            <w:tcMar>
              <w:top w:type="dxa" w:w="70"/>
              <w:left w:type="dxa" w:w="100"/>
              <w:bottom w:type="dxa" w:w="70"/>
              <w:right w:type="dxa" w:w="100"/>
            </w:tcMar>
          </w:tcPr>
          <w:p>
            <w:r>
              <w:rPr>
                <w:sz w:val="18"/>
                <w:szCs w:val="18"/>
              </w:rPr>
              <w:t xml:space="preserve">Project Unit</w:t>
            </w:r>
          </w:p>
        </w:tc>
        <w:tc>
          <w:tcPr>
            <w:tcW w:type="dxa" w:w="3600"/>
            <w:shd w:fill="F2F5FA" w:val="clear"/>
            <w:tcMar>
              <w:top w:type="dxa" w:w="70"/>
              <w:left w:type="dxa" w:w="100"/>
              <w:bottom w:type="dxa" w:w="70"/>
              <w:right w:type="dxa" w:w="100"/>
            </w:tcMar>
          </w:tcPr>
          <w:p>
            <w:r>
              <w:rPr>
                <w:sz w:val="18"/>
                <w:szCs w:val="18"/>
              </w:rPr>
              <w:t xml:space="preserve">Unit number within the project.</w:t>
            </w:r>
          </w:p>
        </w:tc>
        <w:tc>
          <w:tcPr>
            <w:tcW w:type="dxa" w:w="2250"/>
            <w:shd w:fill="F2F5FA" w:val="clear"/>
            <w:tcMar>
              <w:top w:type="dxa" w:w="70"/>
              <w:left w:type="dxa" w:w="100"/>
              <w:bottom w:type="dxa" w:w="70"/>
              <w:right w:type="dxa" w:w="100"/>
            </w:tcMar>
          </w:tcPr>
          <w:p>
            <w:r>
              <w:rPr>
                <w:sz w:val="18"/>
                <w:szCs w:val="18"/>
              </w:rPr>
              <w:t xml:space="preserve">Case table, case detail view</w:t>
            </w:r>
          </w:p>
        </w:tc>
      </w:tr>
      <w:tr>
        <w:tc>
          <w:tcPr>
            <w:tcW w:type="dxa" w:w="1750"/>
            <w:tcMar>
              <w:top w:type="dxa" w:w="70"/>
              <w:left w:type="dxa" w:w="100"/>
              <w:bottom w:type="dxa" w:w="70"/>
              <w:right w:type="dxa" w:w="100"/>
            </w:tcMar>
          </w:tcPr>
          <w:p>
            <w:r>
              <w:rPr>
                <w:sz w:val="18"/>
                <w:szCs w:val="18"/>
              </w:rPr>
              <w:t xml:space="preserve">Team Leader</w:t>
            </w:r>
          </w:p>
        </w:tc>
        <w:tc>
          <w:tcPr>
            <w:tcW w:type="dxa" w:w="1750"/>
            <w:tcMar>
              <w:top w:type="dxa" w:w="70"/>
              <w:left w:type="dxa" w:w="100"/>
              <w:bottom w:type="dxa" w:w="70"/>
              <w:right w:type="dxa" w:w="100"/>
            </w:tcMar>
          </w:tcPr>
          <w:p>
            <w:r>
              <w:rPr>
                <w:sz w:val="18"/>
                <w:szCs w:val="18"/>
              </w:rPr>
              <w:t xml:space="preserve">Team Leader</w:t>
            </w:r>
          </w:p>
        </w:tc>
        <w:tc>
          <w:tcPr>
            <w:tcW w:type="dxa" w:w="3600"/>
            <w:tcMar>
              <w:top w:type="dxa" w:w="70"/>
              <w:left w:type="dxa" w:w="100"/>
              <w:bottom w:type="dxa" w:w="70"/>
              <w:right w:type="dxa" w:w="100"/>
            </w:tcMar>
          </w:tcPr>
          <w:p>
            <w:r>
              <w:rPr>
                <w:sz w:val="18"/>
                <w:szCs w:val="18"/>
              </w:rPr>
              <w:t xml:space="preserve">Team Leader over the case owner.</w:t>
            </w:r>
          </w:p>
        </w:tc>
        <w:tc>
          <w:tcPr>
            <w:tcW w:type="dxa" w:w="2250"/>
            <w:tcMar>
              <w:top w:type="dxa" w:w="70"/>
              <w:left w:type="dxa" w:w="100"/>
              <w:bottom w:type="dxa" w:w="70"/>
              <w:right w:type="dxa" w:w="100"/>
            </w:tcMar>
          </w:tcPr>
          <w:p>
            <w:r>
              <w:rPr>
                <w:sz w:val="18"/>
                <w:szCs w:val="18"/>
              </w:rPr>
              <w:t xml:space="preserve">Team Leader analysis, filters</w:t>
            </w:r>
          </w:p>
        </w:tc>
      </w:tr>
      <w:tr>
        <w:tc>
          <w:tcPr>
            <w:tcW w:type="dxa" w:w="1750"/>
            <w:shd w:fill="F2F5FA" w:val="clear"/>
            <w:tcMar>
              <w:top w:type="dxa" w:w="70"/>
              <w:left w:type="dxa" w:w="100"/>
              <w:bottom w:type="dxa" w:w="70"/>
              <w:right w:type="dxa" w:w="100"/>
            </w:tcMar>
          </w:tcPr>
          <w:p>
            <w:r>
              <w:rPr>
                <w:sz w:val="18"/>
                <w:szCs w:val="18"/>
              </w:rPr>
              <w:t xml:space="preserve">HOD</w:t>
            </w:r>
          </w:p>
        </w:tc>
        <w:tc>
          <w:tcPr>
            <w:tcW w:type="dxa" w:w="1750"/>
            <w:shd w:fill="F2F5FA" w:val="clear"/>
            <w:tcMar>
              <w:top w:type="dxa" w:w="70"/>
              <w:left w:type="dxa" w:w="100"/>
              <w:bottom w:type="dxa" w:w="70"/>
              <w:right w:type="dxa" w:w="100"/>
            </w:tcMar>
          </w:tcPr>
          <w:p>
            <w:r>
              <w:rPr>
                <w:sz w:val="18"/>
                <w:szCs w:val="18"/>
              </w:rPr>
              <w:t xml:space="preserve">HOD 1</w:t>
            </w:r>
          </w:p>
        </w:tc>
        <w:tc>
          <w:tcPr>
            <w:tcW w:type="dxa" w:w="3600"/>
            <w:shd w:fill="F2F5FA" w:val="clear"/>
            <w:tcMar>
              <w:top w:type="dxa" w:w="70"/>
              <w:left w:type="dxa" w:w="100"/>
              <w:bottom w:type="dxa" w:w="70"/>
              <w:right w:type="dxa" w:w="100"/>
            </w:tcMar>
          </w:tcPr>
          <w:p>
            <w:r>
              <w:rPr>
                <w:sz w:val="18"/>
                <w:szCs w:val="18"/>
              </w:rPr>
              <w:t xml:space="preserve">Head of Department.</w:t>
            </w:r>
          </w:p>
        </w:tc>
        <w:tc>
          <w:tcPr>
            <w:tcW w:type="dxa" w:w="2250"/>
            <w:shd w:fill="F2F5FA" w:val="clear"/>
            <w:tcMar>
              <w:top w:type="dxa" w:w="70"/>
              <w:left w:type="dxa" w:w="100"/>
              <w:bottom w:type="dxa" w:w="70"/>
              <w:right w:type="dxa" w:w="100"/>
            </w:tcMar>
          </w:tcPr>
          <w:p>
            <w:r>
              <w:rPr>
                <w:sz w:val="18"/>
                <w:szCs w:val="18"/>
              </w:rPr>
              <w:t xml:space="preserve">HOD analysis, filters</w:t>
            </w:r>
          </w:p>
        </w:tc>
      </w:tr>
      <w:tr>
        <w:tc>
          <w:tcPr>
            <w:tcW w:type="dxa" w:w="1750"/>
            <w:tcMar>
              <w:top w:type="dxa" w:w="70"/>
              <w:left w:type="dxa" w:w="100"/>
              <w:bottom w:type="dxa" w:w="70"/>
              <w:right w:type="dxa" w:w="100"/>
            </w:tcMar>
          </w:tcPr>
          <w:p>
            <w:r>
              <w:rPr>
                <w:sz w:val="18"/>
                <w:szCs w:val="18"/>
              </w:rPr>
              <w:t xml:space="preserve">Client Category</w:t>
            </w:r>
          </w:p>
        </w:tc>
        <w:tc>
          <w:tcPr>
            <w:tcW w:type="dxa" w:w="1750"/>
            <w:tcMar>
              <w:top w:type="dxa" w:w="70"/>
              <w:left w:type="dxa" w:w="100"/>
              <w:bottom w:type="dxa" w:w="70"/>
              <w:right w:type="dxa" w:w="100"/>
            </w:tcMar>
          </w:tcPr>
          <w:p>
            <w:r>
              <w:rPr>
                <w:sz w:val="18"/>
                <w:szCs w:val="18"/>
              </w:rPr>
              <w:t xml:space="preserve">Client Category</w:t>
            </w:r>
          </w:p>
        </w:tc>
        <w:tc>
          <w:tcPr>
            <w:tcW w:type="dxa" w:w="3600"/>
            <w:tcMar>
              <w:top w:type="dxa" w:w="70"/>
              <w:left w:type="dxa" w:w="100"/>
              <w:bottom w:type="dxa" w:w="70"/>
              <w:right w:type="dxa" w:w="100"/>
            </w:tcMar>
          </w:tcPr>
          <w:p>
            <w:r>
              <w:rPr>
                <w:sz w:val="18"/>
                <w:szCs w:val="18"/>
              </w:rPr>
              <w:t xml:space="preserve">VIP / Legal / Blacklisted / Whitelisted / HWC.</w:t>
            </w:r>
          </w:p>
        </w:tc>
        <w:tc>
          <w:tcPr>
            <w:tcW w:type="dxa" w:w="2250"/>
            <w:tcMar>
              <w:top w:type="dxa" w:w="70"/>
              <w:left w:type="dxa" w:w="100"/>
              <w:bottom w:type="dxa" w:w="70"/>
              <w:right w:type="dxa" w:w="100"/>
            </w:tcMar>
          </w:tcPr>
          <w:p>
            <w:r>
              <w:rPr>
                <w:sz w:val="18"/>
                <w:szCs w:val="18"/>
              </w:rPr>
              <w:t xml:space="preserve">Client Category analysis, filters</w:t>
            </w:r>
          </w:p>
        </w:tc>
      </w:tr>
      <w:tr>
        <w:tc>
          <w:tcPr>
            <w:tcW w:type="dxa" w:w="1750"/>
            <w:shd w:fill="F2F5FA" w:val="clear"/>
            <w:tcMar>
              <w:top w:type="dxa" w:w="70"/>
              <w:left w:type="dxa" w:w="100"/>
              <w:bottom w:type="dxa" w:w="70"/>
              <w:right w:type="dxa" w:w="100"/>
            </w:tcMar>
          </w:tcPr>
          <w:p>
            <w:r>
              <w:rPr>
                <w:sz w:val="18"/>
                <w:szCs w:val="18"/>
              </w:rPr>
              <w:t xml:space="preserve">Updated Status</w:t>
            </w:r>
          </w:p>
        </w:tc>
        <w:tc>
          <w:tcPr>
            <w:tcW w:type="dxa" w:w="1750"/>
            <w:shd w:fill="F2F5FA" w:val="clear"/>
            <w:tcMar>
              <w:top w:type="dxa" w:w="70"/>
              <w:left w:type="dxa" w:w="100"/>
              <w:bottom w:type="dxa" w:w="70"/>
              <w:right w:type="dxa" w:w="100"/>
            </w:tcMar>
          </w:tcPr>
          <w:p>
            <w:r>
              <w:rPr>
                <w:sz w:val="18"/>
                <w:szCs w:val="18"/>
              </w:rPr>
              <w:t xml:space="preserve">Updated Status</w:t>
            </w:r>
          </w:p>
        </w:tc>
        <w:tc>
          <w:tcPr>
            <w:tcW w:type="dxa" w:w="3600"/>
            <w:shd w:fill="F2F5FA" w:val="clear"/>
            <w:tcMar>
              <w:top w:type="dxa" w:w="70"/>
              <w:left w:type="dxa" w:w="100"/>
              <w:bottom w:type="dxa" w:w="70"/>
              <w:right w:type="dxa" w:w="100"/>
            </w:tcMar>
          </w:tcPr>
          <w:p>
            <w:r>
              <w:rPr>
                <w:sz w:val="18"/>
                <w:szCs w:val="18"/>
              </w:rPr>
              <w:t xml:space="preserve">Simplified status (fallback if Case Status is absent).</w:t>
            </w:r>
          </w:p>
        </w:tc>
        <w:tc>
          <w:tcPr>
            <w:tcW w:type="dxa" w:w="2250"/>
            <w:shd w:fill="F2F5FA" w:val="clear"/>
            <w:tcMar>
              <w:top w:type="dxa" w:w="70"/>
              <w:left w:type="dxa" w:w="100"/>
              <w:bottom w:type="dxa" w:w="70"/>
              <w:right w:type="dxa" w:w="100"/>
            </w:tcMar>
          </w:tcPr>
          <w:p>
            <w:r>
              <w:rPr>
                <w:sz w:val="18"/>
                <w:szCs w:val="18"/>
              </w:rPr>
              <w:t xml:space="preserve">Status bucket fallback, filters</w:t>
            </w:r>
          </w:p>
        </w:tc>
      </w:tr>
      <w:tr>
        <w:tc>
          <w:tcPr>
            <w:tcW w:type="dxa" w:w="1750"/>
            <w:tcMar>
              <w:top w:type="dxa" w:w="70"/>
              <w:left w:type="dxa" w:w="100"/>
              <w:bottom w:type="dxa" w:w="70"/>
              <w:right w:type="dxa" w:w="100"/>
            </w:tcMar>
          </w:tcPr>
          <w:p>
            <w:r>
              <w:rPr>
                <w:sz w:val="18"/>
                <w:szCs w:val="18"/>
              </w:rPr>
              <w:t xml:space="preserve">TAT Days</w:t>
            </w:r>
          </w:p>
        </w:tc>
        <w:tc>
          <w:tcPr>
            <w:tcW w:type="dxa" w:w="1750"/>
            <w:tcMar>
              <w:top w:type="dxa" w:w="70"/>
              <w:left w:type="dxa" w:w="100"/>
              <w:bottom w:type="dxa" w:w="70"/>
              <w:right w:type="dxa" w:w="100"/>
            </w:tcMar>
          </w:tcPr>
          <w:p>
            <w:r>
              <w:rPr>
                <w:sz w:val="18"/>
                <w:szCs w:val="18"/>
              </w:rPr>
              <w:t xml:space="preserve">TAT Days</w:t>
            </w:r>
          </w:p>
        </w:tc>
        <w:tc>
          <w:tcPr>
            <w:tcW w:type="dxa" w:w="3600"/>
            <w:tcMar>
              <w:top w:type="dxa" w:w="70"/>
              <w:left w:type="dxa" w:w="100"/>
              <w:bottom w:type="dxa" w:w="70"/>
              <w:right w:type="dxa" w:w="100"/>
            </w:tcMar>
          </w:tcPr>
          <w:p>
            <w:r>
              <w:rPr>
                <w:sz w:val="18"/>
                <w:szCs w:val="18"/>
              </w:rPr>
              <w:t xml:space="preserve">Turnaround time in days.</w:t>
            </w:r>
          </w:p>
        </w:tc>
        <w:tc>
          <w:tcPr>
            <w:tcW w:type="dxa" w:w="2250"/>
            <w:tcMar>
              <w:top w:type="dxa" w:w="70"/>
              <w:left w:type="dxa" w:w="100"/>
              <w:bottom w:type="dxa" w:w="70"/>
              <w:right w:type="dxa" w:w="100"/>
            </w:tcMar>
          </w:tcPr>
          <w:p>
            <w:r>
              <w:rPr>
                <w:sz w:val="18"/>
                <w:szCs w:val="18"/>
              </w:rPr>
              <w:t xml:space="preserve">Avg TAT KPI, SLA breach fallback, Attention (unusually high TAT)</w:t>
            </w:r>
          </w:p>
        </w:tc>
      </w:tr>
      <w:tr>
        <w:tc>
          <w:tcPr>
            <w:tcW w:type="dxa" w:w="1750"/>
            <w:shd w:fill="F2F5FA" w:val="clear"/>
            <w:tcMar>
              <w:top w:type="dxa" w:w="70"/>
              <w:left w:type="dxa" w:w="100"/>
              <w:bottom w:type="dxa" w:w="70"/>
              <w:right w:type="dxa" w:w="100"/>
            </w:tcMar>
          </w:tcPr>
          <w:p>
            <w:r>
              <w:rPr>
                <w:sz w:val="18"/>
                <w:szCs w:val="18"/>
              </w:rPr>
              <w:t xml:space="preserve">SLAB</w:t>
            </w:r>
          </w:p>
        </w:tc>
        <w:tc>
          <w:tcPr>
            <w:tcW w:type="dxa" w:w="1750"/>
            <w:shd w:fill="F2F5FA" w:val="clear"/>
            <w:tcMar>
              <w:top w:type="dxa" w:w="70"/>
              <w:left w:type="dxa" w:w="100"/>
              <w:bottom w:type="dxa" w:w="70"/>
              <w:right w:type="dxa" w:w="100"/>
            </w:tcMar>
          </w:tcPr>
          <w:p>
            <w:r>
              <w:rPr>
                <w:sz w:val="18"/>
                <w:szCs w:val="18"/>
              </w:rPr>
              <w:t xml:space="preserve">SLAB</w:t>
            </w:r>
          </w:p>
        </w:tc>
        <w:tc>
          <w:tcPr>
            <w:tcW w:type="dxa" w:w="3600"/>
            <w:shd w:fill="F2F5FA" w:val="clear"/>
            <w:tcMar>
              <w:top w:type="dxa" w:w="70"/>
              <w:left w:type="dxa" w:w="100"/>
              <w:bottom w:type="dxa" w:w="70"/>
              <w:right w:type="dxa" w:w="100"/>
            </w:tcMar>
          </w:tcPr>
          <w:p>
            <w:r>
              <w:rPr>
                <w:sz w:val="18"/>
                <w:szCs w:val="18"/>
              </w:rPr>
              <w:t xml:space="preserve">SLA bucket label (e.g. “0 to 2”, “More than 30”).</w:t>
            </w:r>
          </w:p>
        </w:tc>
        <w:tc>
          <w:tcPr>
            <w:tcW w:type="dxa" w:w="2250"/>
            <w:shd w:fill="F2F5FA" w:val="clear"/>
            <w:tcMar>
              <w:top w:type="dxa" w:w="70"/>
              <w:left w:type="dxa" w:w="100"/>
              <w:bottom w:type="dxa" w:w="70"/>
              <w:right w:type="dxa" w:w="100"/>
            </w:tcMar>
          </w:tcPr>
          <w:p>
            <w:r>
              <w:rPr>
                <w:sz w:val="18"/>
                <w:szCs w:val="18"/>
              </w:rPr>
              <w:t xml:space="preserve">SLA analysis, SLA Breach % KPI</w:t>
            </w:r>
          </w:p>
        </w:tc>
      </w:tr>
      <w:tr>
        <w:tc>
          <w:tcPr>
            <w:tcW w:type="dxa" w:w="1750"/>
            <w:tcMar>
              <w:top w:type="dxa" w:w="70"/>
              <w:left w:type="dxa" w:w="100"/>
              <w:bottom w:type="dxa" w:w="70"/>
              <w:right w:type="dxa" w:w="100"/>
            </w:tcMar>
          </w:tcPr>
          <w:p>
            <w:r>
              <w:rPr>
                <w:sz w:val="18"/>
                <w:szCs w:val="18"/>
              </w:rPr>
              <w:t xml:space="preserve">IA Status</w:t>
            </w:r>
          </w:p>
        </w:tc>
        <w:tc>
          <w:tcPr>
            <w:tcW w:type="dxa" w:w="1750"/>
            <w:tcMar>
              <w:top w:type="dxa" w:w="70"/>
              <w:left w:type="dxa" w:w="100"/>
              <w:bottom w:type="dxa" w:w="70"/>
              <w:right w:type="dxa" w:w="100"/>
            </w:tcMar>
          </w:tcPr>
          <w:p>
            <w:r>
              <w:rPr>
                <w:sz w:val="18"/>
                <w:szCs w:val="18"/>
              </w:rPr>
              <w:t xml:space="preserve">IA Status</w:t>
            </w:r>
          </w:p>
        </w:tc>
        <w:tc>
          <w:tcPr>
            <w:tcW w:type="dxa" w:w="3600"/>
            <w:tcMar>
              <w:top w:type="dxa" w:w="70"/>
              <w:left w:type="dxa" w:w="100"/>
              <w:bottom w:type="dxa" w:w="70"/>
              <w:right w:type="dxa" w:w="100"/>
            </w:tcMar>
          </w:tcPr>
          <w:p>
            <w:r>
              <w:rPr>
                <w:sz w:val="18"/>
                <w:szCs w:val="18"/>
              </w:rPr>
              <w:t xml:space="preserve">Internal Audit status, where present.</w:t>
            </w:r>
          </w:p>
        </w:tc>
        <w:tc>
          <w:tcPr>
            <w:tcW w:type="dxa" w:w="2250"/>
            <w:tcMar>
              <w:top w:type="dxa" w:w="70"/>
              <w:left w:type="dxa" w:w="100"/>
              <w:bottom w:type="dxa" w:w="70"/>
              <w:right w:type="dxa" w:w="100"/>
            </w:tcMar>
          </w:tcPr>
          <w:p>
            <w:r>
              <w:rPr>
                <w:sz w:val="18"/>
                <w:szCs w:val="18"/>
              </w:rPr>
              <w:t xml:space="preserve">Case detail view, filters</w:t>
            </w:r>
          </w:p>
        </w:tc>
      </w:tr>
      <w:tr>
        <w:tc>
          <w:tcPr>
            <w:tcW w:type="dxa" w:w="1750"/>
            <w:shd w:fill="F2F5FA" w:val="clear"/>
            <w:tcMar>
              <w:top w:type="dxa" w:w="70"/>
              <w:left w:type="dxa" w:w="100"/>
              <w:bottom w:type="dxa" w:w="70"/>
              <w:right w:type="dxa" w:w="100"/>
            </w:tcMar>
          </w:tcPr>
          <w:p>
            <w:r>
              <w:rPr>
                <w:sz w:val="18"/>
                <w:szCs w:val="18"/>
              </w:rPr>
              <w:t xml:space="preserve">IA Remarks</w:t>
            </w:r>
          </w:p>
        </w:tc>
        <w:tc>
          <w:tcPr>
            <w:tcW w:type="dxa" w:w="1750"/>
            <w:shd w:fill="F2F5FA" w:val="clear"/>
            <w:tcMar>
              <w:top w:type="dxa" w:w="70"/>
              <w:left w:type="dxa" w:w="100"/>
              <w:bottom w:type="dxa" w:w="70"/>
              <w:right w:type="dxa" w:w="100"/>
            </w:tcMar>
          </w:tcPr>
          <w:p>
            <w:r>
              <w:rPr>
                <w:sz w:val="18"/>
                <w:szCs w:val="18"/>
              </w:rPr>
              <w:t xml:space="preserve">IA Remarks</w:t>
            </w:r>
          </w:p>
        </w:tc>
        <w:tc>
          <w:tcPr>
            <w:tcW w:type="dxa" w:w="3600"/>
            <w:shd w:fill="F2F5FA" w:val="clear"/>
            <w:tcMar>
              <w:top w:type="dxa" w:w="70"/>
              <w:left w:type="dxa" w:w="100"/>
              <w:bottom w:type="dxa" w:w="70"/>
              <w:right w:type="dxa" w:w="100"/>
            </w:tcMar>
          </w:tcPr>
          <w:p>
            <w:r>
              <w:rPr>
                <w:sz w:val="18"/>
                <w:szCs w:val="18"/>
              </w:rPr>
              <w:t xml:space="preserve">Internal Audit remarks, where present.</w:t>
            </w:r>
          </w:p>
        </w:tc>
        <w:tc>
          <w:tcPr>
            <w:tcW w:type="dxa" w:w="2250"/>
            <w:shd w:fill="F2F5FA" w:val="clear"/>
            <w:tcMar>
              <w:top w:type="dxa" w:w="70"/>
              <w:left w:type="dxa" w:w="100"/>
              <w:bottom w:type="dxa" w:w="70"/>
              <w:right w:type="dxa" w:w="100"/>
            </w:tcMar>
          </w:tcPr>
          <w:p>
            <w:r>
              <w:rPr>
                <w:sz w:val="18"/>
                <w:szCs w:val="18"/>
              </w:rPr>
              <w:t xml:space="preserve">Case detail view</w:t>
            </w:r>
          </w:p>
        </w:tc>
      </w:tr>
    </w:tbl>
    <w:p>
      <w:r>
        <w:br w:type="page"/>
      </w:r>
    </w:p>
    <w:p>
      <w:pPr>
        <w:pStyle w:val="Heading1"/>
        <w:spacing w:after="140" w:before="320"/>
      </w:pPr>
      <w:r>
        <w:t xml:space="preserve">5. SFDC Date Normalization</w:t>
      </w:r>
    </w:p>
    <w:p>
      <w:pPr>
        <w:spacing w:after="140"/>
      </w:pPr>
      <w:r>
        <w:t xml:space="preserve">Salesforce report exports commonly deliver Opened Date and Closed Date as plain text rather than real Excel dates — typically “08/09/2026” or “08/09/2026, 11:05 am” — and a single export often mixes both shapes in the same column (some rows with a time-of-day, some without). Read literally with the wrong assumption, “08/09/2026” is ambiguous between 8-Sep and 9-Aug; this workbook's convention is day-first (dd/mm/yyyy), confirmed by dates such as “31/05/2026” that are only valid one way.</w:t>
      </w:r>
    </w:p>
    <w:p>
      <w:pPr>
        <w:spacing w:after="140"/>
      </w:pPr>
      <w:r>
        <w:t xml:space="preserve">The app parses every date field with that day-first convention, using a fast vectorized pass for a whole column at once and falling back to a slower, exact element-by-element parse only for the specific values that need it (typically the mixed date+time rows) — so accuracy does not come at the cost of speed on large files. Once parsed, every date displays as DD-MMM-YYYY (e.g. 08-Sep-2026) throughout the dashboard, case table, case detail view, and both exports.</w:t>
      </w:r>
    </w:p>
    <w:p>
      <w:pPr>
        <w:pStyle w:val="Heading1"/>
        <w:spacing w:after="140" w:before="320"/>
      </w:pPr>
      <w:r>
        <w:t xml:space="preserve">6. Business-Rule Formulas (Computed Fresh Each Time)</w:t>
      </w:r>
    </w:p>
    <w:p>
      <w:pPr>
        <w:spacing w:after="140"/>
      </w:pPr>
      <w:r>
        <w:t xml:space="preserve">The original Excel template computed several fields with live formulas — =TODAY(), =XLOOKUP(...) against the LIST sheet, and so on — which only stay correct while the workbook itself is open and recalculating. A raw data export carries none of that logic, so the app recreates each formula itself in Python, computed fresh every time data is uploaded and again whenever the Category mapping is edited (Section 15) — never a stale value copied from a file that can no longer recalculate.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864" w:val="clear"/>
            <w:tcMar>
              <w:top w:type="dxa" w:w="80"/>
              <w:left w:type="dxa" w:w="100"/>
              <w:bottom w:type="dxa" w:w="80"/>
              <w:right w:type="dxa" w:w="100"/>
            </w:tcMar>
          </w:tcPr>
          <w:p>
            <w:r>
              <w:rPr>
                <w:b/>
                <w:bCs/>
                <w:color w:val="FFFFFF"/>
                <w:sz w:val="18"/>
                <w:szCs w:val="18"/>
              </w:rPr>
              <w:t xml:space="preserve">Field</w:t>
            </w:r>
          </w:p>
        </w:tc>
        <w:tc>
          <w:tcPr>
            <w:tcW w:type="dxa" w:w="3550"/>
            <w:shd w:fill="1F3864" w:val="clear"/>
            <w:tcMar>
              <w:top w:type="dxa" w:w="80"/>
              <w:left w:type="dxa" w:w="100"/>
              <w:bottom w:type="dxa" w:w="80"/>
              <w:right w:type="dxa" w:w="100"/>
            </w:tcMar>
          </w:tcPr>
          <w:p>
            <w:r>
              <w:rPr>
                <w:b/>
                <w:bCs/>
                <w:color w:val="FFFFFF"/>
                <w:sz w:val="18"/>
                <w:szCs w:val="18"/>
              </w:rPr>
              <w:t xml:space="preserve">Formula (source workbook)</w:t>
            </w:r>
          </w:p>
        </w:tc>
        <w:tc>
          <w:tcPr>
            <w:tcW w:type="dxa" w:w="3600"/>
            <w:shd w:fill="1F3864" w:val="clear"/>
            <w:tcMar>
              <w:top w:type="dxa" w:w="80"/>
              <w:left w:type="dxa" w:w="100"/>
              <w:bottom w:type="dxa" w:w="80"/>
              <w:right w:type="dxa" w:w="100"/>
            </w:tcMar>
          </w:tcPr>
          <w:p>
            <w:r>
              <w:rPr>
                <w:b/>
                <w:bCs/>
                <w:color w:val="FFFFFF"/>
                <w:sz w:val="18"/>
                <w:szCs w:val="18"/>
              </w:rPr>
              <w:t xml:space="preserve">What It Means</w:t>
            </w:r>
          </w:p>
        </w:tc>
      </w:tr>
      <w:tr>
        <w:tc>
          <w:tcPr>
            <w:tcW w:type="dxa" w:w="2200"/>
            <w:tcMar>
              <w:top w:type="dxa" w:w="70"/>
              <w:left w:type="dxa" w:w="100"/>
              <w:bottom w:type="dxa" w:w="70"/>
              <w:right w:type="dxa" w:w="100"/>
            </w:tcMar>
          </w:tcPr>
          <w:p>
            <w:r>
              <w:rPr>
                <w:sz w:val="18"/>
                <w:szCs w:val="18"/>
              </w:rPr>
              <w:t xml:space="preserve">F_Closed / Closed Date</w:t>
            </w:r>
          </w:p>
        </w:tc>
        <w:tc>
          <w:tcPr>
            <w:tcW w:type="dxa" w:w="3550"/>
            <w:tcMar>
              <w:top w:type="dxa" w:w="70"/>
              <w:left w:type="dxa" w:w="100"/>
              <w:bottom w:type="dxa" w:w="70"/>
              <w:right w:type="dxa" w:w="100"/>
            </w:tcMar>
          </w:tcPr>
          <w:p>
            <w:r>
              <w:rPr>
                <w:sz w:val="18"/>
                <w:szCs w:val="18"/>
              </w:rPr>
              <w:t xml:space="preserve">=IF(Closed_Date&lt;&gt;"",Closed_Date,"")</w:t>
            </w:r>
          </w:p>
        </w:tc>
        <w:tc>
          <w:tcPr>
            <w:tcW w:type="dxa" w:w="3600"/>
            <w:tcMar>
              <w:top w:type="dxa" w:w="70"/>
              <w:left w:type="dxa" w:w="100"/>
              <w:bottom w:type="dxa" w:w="70"/>
              <w:right w:type="dxa" w:w="100"/>
            </w:tcMar>
          </w:tcPr>
          <w:p>
            <w:r>
              <w:rPr>
                <w:sz w:val="18"/>
                <w:szCs w:val="18"/>
              </w:rPr>
              <w:t xml:space="preserve">Closed Date if the case is closed, otherwise blank — a clean copy, not a new value.</w:t>
            </w:r>
          </w:p>
        </w:tc>
      </w:tr>
      <w:tr>
        <w:tc>
          <w:tcPr>
            <w:tcW w:type="dxa" w:w="2200"/>
            <w:shd w:fill="F2F5FA" w:val="clear"/>
            <w:tcMar>
              <w:top w:type="dxa" w:w="70"/>
              <w:left w:type="dxa" w:w="100"/>
              <w:bottom w:type="dxa" w:w="70"/>
              <w:right w:type="dxa" w:w="100"/>
            </w:tcMar>
          </w:tcPr>
          <w:p>
            <w:r>
              <w:rPr>
                <w:sz w:val="18"/>
                <w:szCs w:val="18"/>
              </w:rPr>
              <w:t xml:space="preserve">Received bucket</w:t>
            </w:r>
          </w:p>
        </w:tc>
        <w:tc>
          <w:tcPr>
            <w:tcW w:type="dxa" w:w="3550"/>
            <w:shd w:fill="F2F5FA" w:val="clear"/>
            <w:tcMar>
              <w:top w:type="dxa" w:w="70"/>
              <w:left w:type="dxa" w:w="100"/>
              <w:bottom w:type="dxa" w:w="70"/>
              <w:right w:type="dxa" w:w="100"/>
            </w:tcMar>
          </w:tcPr>
          <w:p>
            <w:r>
              <w:rPr>
                <w:sz w:val="18"/>
                <w:szCs w:val="18"/>
              </w:rPr>
              <w:t xml:space="preserve">=IF(MAX(all Open Dates)=this row's Open Date,"Today","Older")</w:t>
            </w:r>
          </w:p>
        </w:tc>
        <w:tc>
          <w:tcPr>
            <w:tcW w:type="dxa" w:w="3600"/>
            <w:shd w:fill="F2F5FA" w:val="clear"/>
            <w:tcMar>
              <w:top w:type="dxa" w:w="70"/>
              <w:left w:type="dxa" w:w="100"/>
              <w:bottom w:type="dxa" w:w="70"/>
              <w:right w:type="dxa" w:w="100"/>
            </w:tcMar>
          </w:tcPr>
          <w:p>
            <w:r>
              <w:rPr>
                <w:sz w:val="18"/>
                <w:szCs w:val="18"/>
              </w:rPr>
              <w:t xml:space="preserve">Flags cases opened on the most recent date present in the upload.</w:t>
            </w:r>
          </w:p>
        </w:tc>
      </w:tr>
      <w:tr>
        <w:tc>
          <w:tcPr>
            <w:tcW w:type="dxa" w:w="2200"/>
            <w:tcMar>
              <w:top w:type="dxa" w:w="70"/>
              <w:left w:type="dxa" w:w="100"/>
              <w:bottom w:type="dxa" w:w="70"/>
              <w:right w:type="dxa" w:w="100"/>
            </w:tcMar>
          </w:tcPr>
          <w:p>
            <w:r>
              <w:rPr>
                <w:sz w:val="18"/>
                <w:szCs w:val="18"/>
              </w:rPr>
              <w:t xml:space="preserve">Closed bucket</w:t>
            </w:r>
          </w:p>
        </w:tc>
        <w:tc>
          <w:tcPr>
            <w:tcW w:type="dxa" w:w="3550"/>
            <w:tcMar>
              <w:top w:type="dxa" w:w="70"/>
              <w:left w:type="dxa" w:w="100"/>
              <w:bottom w:type="dxa" w:w="70"/>
              <w:right w:type="dxa" w:w="100"/>
            </w:tcMar>
          </w:tcPr>
          <w:p>
            <w:r>
              <w:rPr>
                <w:sz w:val="18"/>
                <w:szCs w:val="18"/>
              </w:rPr>
              <w:t xml:space="preserve">=IF(Closed_Date=Open_Date,"Today","Older")</w:t>
            </w:r>
          </w:p>
        </w:tc>
        <w:tc>
          <w:tcPr>
            <w:tcW w:type="dxa" w:w="3600"/>
            <w:tcMar>
              <w:top w:type="dxa" w:w="70"/>
              <w:left w:type="dxa" w:w="100"/>
              <w:bottom w:type="dxa" w:w="70"/>
              <w:right w:type="dxa" w:w="100"/>
            </w:tcMar>
          </w:tcPr>
          <w:p>
            <w:r>
              <w:rPr>
                <w:sz w:val="18"/>
                <w:szCs w:val="18"/>
              </w:rPr>
              <w:t xml:space="preserve">Flags cases resolved the same day they were opened.</w:t>
            </w:r>
          </w:p>
        </w:tc>
      </w:tr>
      <w:tr>
        <w:tc>
          <w:tcPr>
            <w:tcW w:type="dxa" w:w="2200"/>
            <w:shd w:fill="F2F5FA" w:val="clear"/>
            <w:tcMar>
              <w:top w:type="dxa" w:w="70"/>
              <w:left w:type="dxa" w:w="100"/>
              <w:bottom w:type="dxa" w:w="70"/>
              <w:right w:type="dxa" w:w="100"/>
            </w:tcMar>
          </w:tcPr>
          <w:p>
            <w:r>
              <w:rPr>
                <w:sz w:val="18"/>
                <w:szCs w:val="18"/>
              </w:rPr>
              <w:t xml:space="preserve">Updated Status</w:t>
            </w:r>
          </w:p>
        </w:tc>
        <w:tc>
          <w:tcPr>
            <w:tcW w:type="dxa" w:w="3550"/>
            <w:shd w:fill="F2F5FA" w:val="clear"/>
            <w:tcMar>
              <w:top w:type="dxa" w:w="70"/>
              <w:left w:type="dxa" w:w="100"/>
              <w:bottom w:type="dxa" w:w="70"/>
              <w:right w:type="dxa" w:w="100"/>
            </w:tcMar>
          </w:tcPr>
          <w:p>
            <w:r>
              <w:rPr>
                <w:sz w:val="18"/>
                <w:szCs w:val="18"/>
              </w:rPr>
              <w:t xml:space="preserve">=IF(Case_Status is In Progress/New/Submit For Approval/Re-Open,"OPEN","Closed")</w:t>
            </w:r>
          </w:p>
        </w:tc>
        <w:tc>
          <w:tcPr>
            <w:tcW w:type="dxa" w:w="3600"/>
            <w:shd w:fill="F2F5FA" w:val="clear"/>
            <w:tcMar>
              <w:top w:type="dxa" w:w="70"/>
              <w:left w:type="dxa" w:w="100"/>
              <w:bottom w:type="dxa" w:w="70"/>
              <w:right w:type="dxa" w:w="100"/>
            </w:tcMar>
          </w:tcPr>
          <w:p>
            <w:r>
              <w:rPr>
                <w:sz w:val="18"/>
                <w:szCs w:val="18"/>
              </w:rPr>
              <w:t xml:space="preserve">The authoritative Open/Closed state used by every KPI.</w:t>
            </w:r>
          </w:p>
        </w:tc>
      </w:tr>
      <w:tr>
        <w:tc>
          <w:tcPr>
            <w:tcW w:type="dxa" w:w="2200"/>
            <w:tcMar>
              <w:top w:type="dxa" w:w="70"/>
              <w:left w:type="dxa" w:w="100"/>
              <w:bottom w:type="dxa" w:w="70"/>
              <w:right w:type="dxa" w:w="100"/>
            </w:tcMar>
          </w:tcPr>
          <w:p>
            <w:r>
              <w:rPr>
                <w:sz w:val="18"/>
                <w:szCs w:val="18"/>
              </w:rPr>
              <w:t xml:space="preserve">TAT Days</w:t>
            </w:r>
          </w:p>
        </w:tc>
        <w:tc>
          <w:tcPr>
            <w:tcW w:type="dxa" w:w="3550"/>
            <w:tcMar>
              <w:top w:type="dxa" w:w="70"/>
              <w:left w:type="dxa" w:w="100"/>
              <w:bottom w:type="dxa" w:w="70"/>
              <w:right w:type="dxa" w:w="100"/>
            </w:tcMar>
          </w:tcPr>
          <w:p>
            <w:r>
              <w:rPr>
                <w:sz w:val="18"/>
                <w:szCs w:val="18"/>
              </w:rPr>
              <w:t xml:space="preserve">=IF(Closed,Closed_Date−Opened_Date,TODAY()−Opened_Date)</w:t>
            </w:r>
          </w:p>
        </w:tc>
        <w:tc>
          <w:tcPr>
            <w:tcW w:type="dxa" w:w="3600"/>
            <w:tcMar>
              <w:top w:type="dxa" w:w="70"/>
              <w:left w:type="dxa" w:w="100"/>
              <w:bottom w:type="dxa" w:w="70"/>
              <w:right w:type="dxa" w:w="100"/>
            </w:tcMar>
          </w:tcPr>
          <w:p>
            <w:r>
              <w:rPr>
                <w:sz w:val="18"/>
                <w:szCs w:val="18"/>
              </w:rPr>
              <w:t xml:space="preserve">Final resolution time for closed cases; running age for still-open cases — recalculated every time the app is used, never a stale saved number.</w:t>
            </w:r>
          </w:p>
        </w:tc>
      </w:tr>
      <w:tr>
        <w:tc>
          <w:tcPr>
            <w:tcW w:type="dxa" w:w="2200"/>
            <w:shd w:fill="F2F5FA" w:val="clear"/>
            <w:tcMar>
              <w:top w:type="dxa" w:w="70"/>
              <w:left w:type="dxa" w:w="100"/>
              <w:bottom w:type="dxa" w:w="70"/>
              <w:right w:type="dxa" w:w="100"/>
            </w:tcMar>
          </w:tcPr>
          <w:p>
            <w:r>
              <w:rPr>
                <w:sz w:val="18"/>
                <w:szCs w:val="18"/>
              </w:rPr>
              <w:t xml:space="preserve">SLAB</w:t>
            </w:r>
          </w:p>
        </w:tc>
        <w:tc>
          <w:tcPr>
            <w:tcW w:type="dxa" w:w="3550"/>
            <w:shd w:fill="F2F5FA" w:val="clear"/>
            <w:tcMar>
              <w:top w:type="dxa" w:w="70"/>
              <w:left w:type="dxa" w:w="100"/>
              <w:bottom w:type="dxa" w:w="70"/>
              <w:right w:type="dxa" w:w="100"/>
            </w:tcMar>
          </w:tcPr>
          <w:p>
            <w:r>
              <w:rPr>
                <w:sz w:val="18"/>
                <w:szCs w:val="18"/>
              </w:rPr>
              <w:t xml:space="preserve">=IF(TAT&gt;30,"More than 30",IF(TAT&gt;15,"16 to 30",IF(TAT&gt;7,"8 to 15",IF(TAT&gt;2,"3 to 7","0 to 2"))))</w:t>
            </w:r>
          </w:p>
        </w:tc>
        <w:tc>
          <w:tcPr>
            <w:tcW w:type="dxa" w:w="3600"/>
            <w:shd w:fill="F2F5FA" w:val="clear"/>
            <w:tcMar>
              <w:top w:type="dxa" w:w="70"/>
              <w:left w:type="dxa" w:w="100"/>
              <w:bottom w:type="dxa" w:w="70"/>
              <w:right w:type="dxa" w:w="100"/>
            </w:tcMar>
          </w:tcPr>
          <w:p>
            <w:r>
              <w:rPr>
                <w:sz w:val="18"/>
                <w:szCs w:val="18"/>
              </w:rPr>
              <w:t xml:space="preserve">Buckets the freshly-computed TAT Days above.</w:t>
            </w:r>
          </w:p>
        </w:tc>
      </w:tr>
      <w:tr>
        <w:tc>
          <w:tcPr>
            <w:tcW w:type="dxa" w:w="2200"/>
            <w:tcMar>
              <w:top w:type="dxa" w:w="70"/>
              <w:left w:type="dxa" w:w="100"/>
              <w:bottom w:type="dxa" w:w="70"/>
              <w:right w:type="dxa" w:w="100"/>
            </w:tcMar>
          </w:tcPr>
          <w:p>
            <w:r>
              <w:rPr>
                <w:sz w:val="18"/>
                <w:szCs w:val="18"/>
              </w:rPr>
              <w:t xml:space="preserve">M_Category</w:t>
            </w:r>
          </w:p>
        </w:tc>
        <w:tc>
          <w:tcPr>
            <w:tcW w:type="dxa" w:w="3550"/>
            <w:tcMar>
              <w:top w:type="dxa" w:w="70"/>
              <w:left w:type="dxa" w:w="100"/>
              <w:bottom w:type="dxa" w:w="70"/>
              <w:right w:type="dxa" w:w="100"/>
            </w:tcMar>
          </w:tcPr>
          <w:p>
            <w:r>
              <w:rPr>
                <w:sz w:val="18"/>
                <w:szCs w:val="18"/>
              </w:rPr>
              <w:t xml:space="preserve">=XLOOKUP(Service_Category, LIST!Category, LIST!M_Category, "Others/Misc")</w:t>
            </w:r>
          </w:p>
        </w:tc>
        <w:tc>
          <w:tcPr>
            <w:tcW w:type="dxa" w:w="3600"/>
            <w:tcMar>
              <w:top w:type="dxa" w:w="70"/>
              <w:left w:type="dxa" w:w="100"/>
              <w:bottom w:type="dxa" w:w="70"/>
              <w:right w:type="dxa" w:w="100"/>
            </w:tcMar>
          </w:tcPr>
          <w:p>
            <w:r>
              <w:rPr>
                <w:sz w:val="18"/>
                <w:szCs w:val="18"/>
              </w:rPr>
              <w:t xml:space="preserve">Looked up from the current Manage Lists Category mapping (Section 15), not read from the source file.</w:t>
            </w:r>
          </w:p>
        </w:tc>
      </w:tr>
    </w:tbl>
    <w:p>
      <w:pPr>
        <w:spacing w:after="140"/>
      </w:pPr>
      <w:r>
        <w:rPr>
          <w:i/>
          <w:iCs/>
          <w:color w:val="4A5568"/>
          <w:sz w:val="18"/>
          <w:szCs w:val="18"/>
        </w:rPr>
        <w:t xml:space="preserve">Every one of these was verified field-for-field against the actual Excel formulas in the source workbook and against its computed output on real rows — the Python logic and the original spreadsheet agree exactly.</w:t>
      </w:r>
    </w:p>
    <w:p>
      <w:r>
        <w:br w:type="page"/>
      </w:r>
    </w:p>
    <w:p>
      <w:pPr>
        <w:pStyle w:val="Heading1"/>
        <w:spacing w:after="140" w:before="320"/>
      </w:pPr>
      <w:r>
        <w:t xml:space="preserve">7. Derived Fields (Computed, Not in the Source File)</w:t>
      </w:r>
    </w:p>
    <w:p>
      <w:pPr>
        <w:spacing w:after="140"/>
      </w:pPr>
      <w:r>
        <w:t xml:space="preserve">These fields do not exist in the workbook — the app computes them from the fields above every time data is uploaded or filtered.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00"/>
            <w:shd w:fill="1F3864" w:val="clear"/>
            <w:tcMar>
              <w:top w:type="dxa" w:w="80"/>
              <w:left w:type="dxa" w:w="100"/>
              <w:bottom w:type="dxa" w:w="80"/>
              <w:right w:type="dxa" w:w="100"/>
            </w:tcMar>
          </w:tcPr>
          <w:p>
            <w:r>
              <w:rPr>
                <w:b/>
                <w:bCs/>
                <w:color w:val="FFFFFF"/>
                <w:sz w:val="18"/>
                <w:szCs w:val="18"/>
              </w:rPr>
              <w:t xml:space="preserve">Derived Field</w:t>
            </w:r>
          </w:p>
        </w:tc>
        <w:tc>
          <w:tcPr>
            <w:tcW w:type="dxa" w:w="4150"/>
            <w:shd w:fill="1F3864" w:val="clear"/>
            <w:tcMar>
              <w:top w:type="dxa" w:w="80"/>
              <w:left w:type="dxa" w:w="100"/>
              <w:bottom w:type="dxa" w:w="80"/>
              <w:right w:type="dxa" w:w="100"/>
            </w:tcMar>
          </w:tcPr>
          <w:p>
            <w:r>
              <w:rPr>
                <w:b/>
                <w:bCs/>
                <w:color w:val="FFFFFF"/>
                <w:sz w:val="18"/>
                <w:szCs w:val="18"/>
              </w:rPr>
              <w:t xml:space="preserve">How It's Calculated</w:t>
            </w:r>
          </w:p>
        </w:tc>
        <w:tc>
          <w:tcPr>
            <w:tcW w:type="dxa" w:w="2000"/>
            <w:shd w:fill="1F3864" w:val="clear"/>
            <w:tcMar>
              <w:top w:type="dxa" w:w="80"/>
              <w:left w:type="dxa" w:w="100"/>
              <w:bottom w:type="dxa" w:w="80"/>
              <w:right w:type="dxa" w:w="100"/>
            </w:tcMar>
          </w:tcPr>
          <w:p>
            <w:r>
              <w:rPr>
                <w:b/>
                <w:bCs/>
                <w:color w:val="FFFFFF"/>
                <w:sz w:val="18"/>
                <w:szCs w:val="18"/>
              </w:rPr>
              <w:t xml:space="preserve">Used In</w:t>
            </w:r>
          </w:p>
        </w:tc>
      </w:tr>
      <w:tr>
        <w:tc>
          <w:tcPr>
            <w:tcW w:type="dxa" w:w="3200"/>
            <w:tcMar>
              <w:top w:type="dxa" w:w="70"/>
              <w:left w:type="dxa" w:w="100"/>
              <w:bottom w:type="dxa" w:w="70"/>
              <w:right w:type="dxa" w:w="100"/>
            </w:tcMar>
          </w:tcPr>
          <w:p>
            <w:r>
              <w:rPr>
                <w:sz w:val="18"/>
                <w:szCs w:val="18"/>
              </w:rPr>
              <w:t xml:space="preserve">year / month_num / month_name / quarter / week / day / day_name</w:t>
            </w:r>
          </w:p>
        </w:tc>
        <w:tc>
          <w:tcPr>
            <w:tcW w:type="dxa" w:w="4150"/>
            <w:tcMar>
              <w:top w:type="dxa" w:w="70"/>
              <w:left w:type="dxa" w:w="100"/>
              <w:bottom w:type="dxa" w:w="70"/>
              <w:right w:type="dxa" w:w="100"/>
            </w:tcMar>
          </w:tcPr>
          <w:p>
            <w:r>
              <w:rPr>
                <w:sz w:val="18"/>
                <w:szCs w:val="18"/>
              </w:rPr>
              <w:t xml:space="preserve">Calendar breakdown of Opened Date.</w:t>
            </w:r>
          </w:p>
        </w:tc>
        <w:tc>
          <w:tcPr>
            <w:tcW w:type="dxa" w:w="2000"/>
            <w:tcMar>
              <w:top w:type="dxa" w:w="70"/>
              <w:left w:type="dxa" w:w="100"/>
              <w:bottom w:type="dxa" w:w="70"/>
              <w:right w:type="dxa" w:w="100"/>
            </w:tcMar>
          </w:tcPr>
          <w:p>
            <w:r>
              <w:rPr>
                <w:sz w:val="18"/>
                <w:szCs w:val="18"/>
              </w:rPr>
              <w:t xml:space="preserve">Year/Month filters, Monthly &amp; Yearly analysis</w:t>
            </w:r>
          </w:p>
        </w:tc>
      </w:tr>
      <w:tr>
        <w:tc>
          <w:tcPr>
            <w:tcW w:type="dxa" w:w="3200"/>
            <w:shd w:fill="F2F5FA" w:val="clear"/>
            <w:tcMar>
              <w:top w:type="dxa" w:w="70"/>
              <w:left w:type="dxa" w:w="100"/>
              <w:bottom w:type="dxa" w:w="70"/>
              <w:right w:type="dxa" w:w="100"/>
            </w:tcMar>
          </w:tcPr>
          <w:p>
            <w:r>
              <w:rPr>
                <w:sz w:val="18"/>
                <w:szCs w:val="18"/>
              </w:rPr>
              <w:t xml:space="preserve">status_bucket / Updated Status</w:t>
            </w:r>
          </w:p>
        </w:tc>
        <w:tc>
          <w:tcPr>
            <w:tcW w:type="dxa" w:w="4150"/>
            <w:shd w:fill="F2F5FA" w:val="clear"/>
            <w:tcMar>
              <w:top w:type="dxa" w:w="70"/>
              <w:left w:type="dxa" w:w="100"/>
              <w:bottom w:type="dxa" w:w="70"/>
              <w:right w:type="dxa" w:w="100"/>
            </w:tcMar>
          </w:tcPr>
          <w:p>
            <w:r>
              <w:rPr>
                <w:sz w:val="18"/>
                <w:szCs w:val="18"/>
              </w:rPr>
              <w:t xml:space="preserve">“Open” if Case Status is In Progress, New, Submit For Approval, or Re-Open; “Closed” otherwise — the exact rule from the source workbook's Updated Status formula (see Section 6).</w:t>
            </w:r>
          </w:p>
        </w:tc>
        <w:tc>
          <w:tcPr>
            <w:tcW w:type="dxa" w:w="2000"/>
            <w:shd w:fill="F2F5FA" w:val="clear"/>
            <w:tcMar>
              <w:top w:type="dxa" w:w="70"/>
              <w:left w:type="dxa" w:w="100"/>
              <w:bottom w:type="dxa" w:w="70"/>
              <w:right w:type="dxa" w:w="100"/>
            </w:tcMar>
          </w:tcPr>
          <w:p>
            <w:r>
              <w:rPr>
                <w:sz w:val="18"/>
                <w:szCs w:val="18"/>
              </w:rPr>
              <w:t xml:space="preserve">Every KPI and report (Open/Closed/Pending/Resolved counts)</w:t>
            </w:r>
          </w:p>
        </w:tc>
      </w:tr>
      <w:tr>
        <w:tc>
          <w:tcPr>
            <w:tcW w:type="dxa" w:w="3200"/>
            <w:tcMar>
              <w:top w:type="dxa" w:w="70"/>
              <w:left w:type="dxa" w:w="100"/>
              <w:bottom w:type="dxa" w:w="70"/>
              <w:right w:type="dxa" w:w="100"/>
            </w:tcMar>
          </w:tcPr>
          <w:p>
            <w:r>
              <w:rPr>
                <w:sz w:val="18"/>
                <w:szCs w:val="18"/>
              </w:rPr>
              <w:t xml:space="preserve">is_new / is_reopen / is_in_progress</w:t>
            </w:r>
          </w:p>
        </w:tc>
        <w:tc>
          <w:tcPr>
            <w:tcW w:type="dxa" w:w="4150"/>
            <w:tcMar>
              <w:top w:type="dxa" w:w="70"/>
              <w:left w:type="dxa" w:w="100"/>
              <w:bottom w:type="dxa" w:w="70"/>
              <w:right w:type="dxa" w:w="100"/>
            </w:tcMar>
          </w:tcPr>
          <w:p>
            <w:r>
              <w:rPr>
                <w:sz w:val="18"/>
                <w:szCs w:val="18"/>
              </w:rPr>
              <w:t xml:space="preserve">Booleans parsed from Case Status text.</w:t>
            </w:r>
          </w:p>
        </w:tc>
        <w:tc>
          <w:tcPr>
            <w:tcW w:type="dxa" w:w="2000"/>
            <w:tcMar>
              <w:top w:type="dxa" w:w="70"/>
              <w:left w:type="dxa" w:w="100"/>
              <w:bottom w:type="dxa" w:w="70"/>
              <w:right w:type="dxa" w:w="100"/>
            </w:tcMar>
          </w:tcPr>
          <w:p>
            <w:r>
              <w:rPr>
                <w:sz w:val="18"/>
                <w:szCs w:val="18"/>
              </w:rPr>
              <w:t xml:space="preserve">New Cases KPI, Pending Cases KPI</w:t>
            </w:r>
          </w:p>
        </w:tc>
      </w:tr>
      <w:tr>
        <w:tc>
          <w:tcPr>
            <w:tcW w:type="dxa" w:w="3200"/>
            <w:shd w:fill="F2F5FA" w:val="clear"/>
            <w:tcMar>
              <w:top w:type="dxa" w:w="70"/>
              <w:left w:type="dxa" w:w="100"/>
              <w:bottom w:type="dxa" w:w="70"/>
              <w:right w:type="dxa" w:w="100"/>
            </w:tcMar>
          </w:tcPr>
          <w:p>
            <w:r>
              <w:rPr>
                <w:sz w:val="18"/>
                <w:szCs w:val="18"/>
              </w:rPr>
              <w:t xml:space="preserve">is_escalated / escalated_label</w:t>
            </w:r>
          </w:p>
        </w:tc>
        <w:tc>
          <w:tcPr>
            <w:tcW w:type="dxa" w:w="4150"/>
            <w:shd w:fill="F2F5FA" w:val="clear"/>
            <w:tcMar>
              <w:top w:type="dxa" w:w="70"/>
              <w:left w:type="dxa" w:w="100"/>
              <w:bottom w:type="dxa" w:w="70"/>
              <w:right w:type="dxa" w:w="100"/>
            </w:tcMar>
          </w:tcPr>
          <w:p>
            <w:r>
              <w:rPr>
                <w:sz w:val="18"/>
                <w:szCs w:val="18"/>
              </w:rPr>
              <w:t xml:space="preserve">Boolean + label parsed from the Escalation field.</w:t>
            </w:r>
          </w:p>
        </w:tc>
        <w:tc>
          <w:tcPr>
            <w:tcW w:type="dxa" w:w="2000"/>
            <w:shd w:fill="F2F5FA" w:val="clear"/>
            <w:tcMar>
              <w:top w:type="dxa" w:w="70"/>
              <w:left w:type="dxa" w:w="100"/>
              <w:bottom w:type="dxa" w:w="70"/>
              <w:right w:type="dxa" w:w="100"/>
            </w:tcMar>
          </w:tcPr>
          <w:p>
            <w:r>
              <w:rPr>
                <w:sz w:val="18"/>
                <w:szCs w:val="18"/>
              </w:rPr>
              <w:t xml:space="preserve">Escalated Cases KPI, Escalation analysis, Attention (escalated open)</w:t>
            </w:r>
          </w:p>
        </w:tc>
      </w:tr>
      <w:tr>
        <w:tc>
          <w:tcPr>
            <w:tcW w:type="dxa" w:w="3200"/>
            <w:tcMar>
              <w:top w:type="dxa" w:w="70"/>
              <w:left w:type="dxa" w:w="100"/>
              <w:bottom w:type="dxa" w:w="70"/>
              <w:right w:type="dxa" w:w="100"/>
            </w:tcMar>
          </w:tcPr>
          <w:p>
            <w:r>
              <w:rPr>
                <w:sz w:val="18"/>
                <w:szCs w:val="18"/>
              </w:rPr>
              <w:t xml:space="preserve">is_sla_breach</w:t>
            </w:r>
          </w:p>
        </w:tc>
        <w:tc>
          <w:tcPr>
            <w:tcW w:type="dxa" w:w="4150"/>
            <w:tcMar>
              <w:top w:type="dxa" w:w="70"/>
              <w:left w:type="dxa" w:w="100"/>
              <w:bottom w:type="dxa" w:w="70"/>
              <w:right w:type="dxa" w:w="100"/>
            </w:tcMar>
          </w:tcPr>
          <w:p>
            <w:r>
              <w:rPr>
                <w:sz w:val="18"/>
                <w:szCs w:val="18"/>
              </w:rPr>
              <w:t xml:space="preserve">True when SLAB is outside the configured “within-SLA” bucket(s) (default: “0 to 2”).</w:t>
            </w:r>
          </w:p>
        </w:tc>
        <w:tc>
          <w:tcPr>
            <w:tcW w:type="dxa" w:w="2000"/>
            <w:tcMar>
              <w:top w:type="dxa" w:w="70"/>
              <w:left w:type="dxa" w:w="100"/>
              <w:bottom w:type="dxa" w:w="70"/>
              <w:right w:type="dxa" w:w="100"/>
            </w:tcMar>
          </w:tcPr>
          <w:p>
            <w:r>
              <w:rPr>
                <w:sz w:val="18"/>
                <w:szCs w:val="18"/>
              </w:rPr>
              <w:t xml:space="preserve">SLA Breach % KPI, SLA analysis</w:t>
            </w:r>
          </w:p>
        </w:tc>
      </w:tr>
      <w:tr>
        <w:tc>
          <w:tcPr>
            <w:tcW w:type="dxa" w:w="3200"/>
            <w:shd w:fill="F2F5FA" w:val="clear"/>
            <w:tcMar>
              <w:top w:type="dxa" w:w="70"/>
              <w:left w:type="dxa" w:w="100"/>
              <w:bottom w:type="dxa" w:w="70"/>
              <w:right w:type="dxa" w:w="100"/>
            </w:tcMar>
          </w:tcPr>
          <w:p>
            <w:r>
              <w:rPr>
                <w:sz w:val="18"/>
                <w:szCs w:val="18"/>
              </w:rPr>
              <w:t xml:space="preserve">ageing_bucket</w:t>
            </w:r>
          </w:p>
        </w:tc>
        <w:tc>
          <w:tcPr>
            <w:tcW w:type="dxa" w:w="4150"/>
            <w:shd w:fill="F2F5FA" w:val="clear"/>
            <w:tcMar>
              <w:top w:type="dxa" w:w="70"/>
              <w:left w:type="dxa" w:w="100"/>
              <w:bottom w:type="dxa" w:w="70"/>
              <w:right w:type="dxa" w:w="100"/>
            </w:tcMar>
          </w:tcPr>
          <w:p>
            <w:r>
              <w:rPr>
                <w:sz w:val="18"/>
                <w:szCs w:val="18"/>
              </w:rPr>
              <w:t xml:space="preserve">Case Ageing (SFDC's own field) grouped into 0-2 / 3-7 / 8-15 / 16-30 / 30+ days.</w:t>
            </w:r>
          </w:p>
        </w:tc>
        <w:tc>
          <w:tcPr>
            <w:tcW w:type="dxa" w:w="2000"/>
            <w:shd w:fill="F2F5FA" w:val="clear"/>
            <w:tcMar>
              <w:top w:type="dxa" w:w="70"/>
              <w:left w:type="dxa" w:w="100"/>
              <w:bottom w:type="dxa" w:w="70"/>
              <w:right w:type="dxa" w:w="100"/>
            </w:tcMar>
          </w:tcPr>
          <w:p>
            <w:r>
              <w:rPr>
                <w:sz w:val="18"/>
                <w:szCs w:val="18"/>
              </w:rPr>
              <w:t xml:space="preserve">Case Ageing analysis</w:t>
            </w:r>
          </w:p>
        </w:tc>
      </w:tr>
      <w:tr>
        <w:tc>
          <w:tcPr>
            <w:tcW w:type="dxa" w:w="3200"/>
            <w:tcMar>
              <w:top w:type="dxa" w:w="70"/>
              <w:left w:type="dxa" w:w="100"/>
              <w:bottom w:type="dxa" w:w="70"/>
              <w:right w:type="dxa" w:w="100"/>
            </w:tcMar>
          </w:tcPr>
          <w:p>
            <w:r>
              <w:rPr>
                <w:sz w:val="18"/>
                <w:szCs w:val="18"/>
              </w:rPr>
              <w:t xml:space="preserve">received_bucket</w:t>
            </w:r>
          </w:p>
        </w:tc>
        <w:tc>
          <w:tcPr>
            <w:tcW w:type="dxa" w:w="4150"/>
            <w:tcMar>
              <w:top w:type="dxa" w:w="70"/>
              <w:left w:type="dxa" w:w="100"/>
              <w:bottom w:type="dxa" w:w="70"/>
              <w:right w:type="dxa" w:w="100"/>
            </w:tcMar>
          </w:tcPr>
          <w:p>
            <w:r>
              <w:rPr>
                <w:sz w:val="18"/>
                <w:szCs w:val="18"/>
              </w:rPr>
              <w:t xml:space="preserve">“Today” if Opened Date is the most recent date in this upload, else “Older”.</w:t>
            </w:r>
          </w:p>
        </w:tc>
        <w:tc>
          <w:tcPr>
            <w:tcW w:type="dxa" w:w="2000"/>
            <w:tcMar>
              <w:top w:type="dxa" w:w="70"/>
              <w:left w:type="dxa" w:w="100"/>
              <w:bottom w:type="dxa" w:w="70"/>
              <w:right w:type="dxa" w:w="100"/>
            </w:tcMar>
          </w:tcPr>
          <w:p>
            <w:r>
              <w:rPr>
                <w:sz w:val="18"/>
                <w:szCs w:val="18"/>
              </w:rPr>
              <w:t xml:space="preserve">Filters, case detail view</w:t>
            </w:r>
          </w:p>
        </w:tc>
      </w:tr>
      <w:tr>
        <w:tc>
          <w:tcPr>
            <w:tcW w:type="dxa" w:w="3200"/>
            <w:shd w:fill="F2F5FA" w:val="clear"/>
            <w:tcMar>
              <w:top w:type="dxa" w:w="70"/>
              <w:left w:type="dxa" w:w="100"/>
              <w:bottom w:type="dxa" w:w="70"/>
              <w:right w:type="dxa" w:w="100"/>
            </w:tcMar>
          </w:tcPr>
          <w:p>
            <w:r>
              <w:rPr>
                <w:sz w:val="18"/>
                <w:szCs w:val="18"/>
              </w:rPr>
              <w:t xml:space="preserve">closed_bucket</w:t>
            </w:r>
          </w:p>
        </w:tc>
        <w:tc>
          <w:tcPr>
            <w:tcW w:type="dxa" w:w="4150"/>
            <w:shd w:fill="F2F5FA" w:val="clear"/>
            <w:tcMar>
              <w:top w:type="dxa" w:w="70"/>
              <w:left w:type="dxa" w:w="100"/>
              <w:bottom w:type="dxa" w:w="70"/>
              <w:right w:type="dxa" w:w="100"/>
            </w:tcMar>
          </w:tcPr>
          <w:p>
            <w:r>
              <w:rPr>
                <w:sz w:val="18"/>
                <w:szCs w:val="18"/>
              </w:rPr>
              <w:t xml:space="preserve">“Today” if Closed Date equals Opened Date (resolved same day), else “Older”.</w:t>
            </w:r>
          </w:p>
        </w:tc>
        <w:tc>
          <w:tcPr>
            <w:tcW w:type="dxa" w:w="2000"/>
            <w:shd w:fill="F2F5FA" w:val="clear"/>
            <w:tcMar>
              <w:top w:type="dxa" w:w="70"/>
              <w:left w:type="dxa" w:w="100"/>
              <w:bottom w:type="dxa" w:w="70"/>
              <w:right w:type="dxa" w:w="100"/>
            </w:tcMar>
          </w:tcPr>
          <w:p>
            <w:r>
              <w:rPr>
                <w:sz w:val="18"/>
                <w:szCs w:val="18"/>
              </w:rPr>
              <w:t xml:space="preserve">Filters, case detail view</w:t>
            </w:r>
          </w:p>
        </w:tc>
      </w:tr>
    </w:tbl>
    <w:p>
      <w:pPr>
        <w:pStyle w:val="Heading1"/>
        <w:spacing w:after="140" w:before="320"/>
      </w:pPr>
      <w:r>
        <w:t xml:space="preserve">8. KPI Definitions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shd w:fill="1F3864" w:val="clear"/>
            <w:tcMar>
              <w:top w:type="dxa" w:w="80"/>
              <w:left w:type="dxa" w:w="100"/>
              <w:bottom w:type="dxa" w:w="80"/>
              <w:right w:type="dxa" w:w="100"/>
            </w:tcMar>
          </w:tcPr>
          <w:p>
            <w:r>
              <w:rPr>
                <w:b/>
                <w:bCs/>
                <w:color w:val="FFFFFF"/>
                <w:sz w:val="18"/>
                <w:szCs w:val="18"/>
              </w:rPr>
              <w:t xml:space="preserve">KPI</w:t>
            </w:r>
          </w:p>
        </w:tc>
        <w:tc>
          <w:tcPr>
            <w:tcW w:type="dxa" w:w="6950"/>
            <w:shd w:fill="1F3864" w:val="clear"/>
            <w:tcMar>
              <w:top w:type="dxa" w:w="80"/>
              <w:left w:type="dxa" w:w="100"/>
              <w:bottom w:type="dxa" w:w="80"/>
              <w:right w:type="dxa" w:w="100"/>
            </w:tcMar>
          </w:tcPr>
          <w:p>
            <w:r>
              <w:rPr>
                <w:b/>
                <w:bCs/>
                <w:color w:val="FFFFFF"/>
                <w:sz w:val="18"/>
                <w:szCs w:val="18"/>
              </w:rPr>
              <w:t xml:space="preserve">Definition</w:t>
            </w:r>
          </w:p>
        </w:tc>
      </w:tr>
      <w:tr>
        <w:tc>
          <w:tcPr>
            <w:tcW w:type="dxa" w:w="2400"/>
            <w:tcMar>
              <w:top w:type="dxa" w:w="70"/>
              <w:left w:type="dxa" w:w="100"/>
              <w:bottom w:type="dxa" w:w="70"/>
              <w:right w:type="dxa" w:w="100"/>
            </w:tcMar>
          </w:tcPr>
          <w:p>
            <w:r>
              <w:rPr>
                <w:sz w:val="18"/>
                <w:szCs w:val="18"/>
              </w:rPr>
              <w:t xml:space="preserve">Total Cases</w:t>
            </w:r>
          </w:p>
        </w:tc>
        <w:tc>
          <w:tcPr>
            <w:tcW w:type="dxa" w:w="6950"/>
            <w:tcMar>
              <w:top w:type="dxa" w:w="70"/>
              <w:left w:type="dxa" w:w="100"/>
              <w:bottom w:type="dxa" w:w="70"/>
              <w:right w:type="dxa" w:w="100"/>
            </w:tcMar>
          </w:tcPr>
          <w:p>
            <w:r>
              <w:rPr>
                <w:sz w:val="18"/>
                <w:szCs w:val="18"/>
              </w:rPr>
              <w:t xml:space="preserve">Count of distinct Case Number in the filtered data.</w:t>
            </w:r>
          </w:p>
        </w:tc>
      </w:tr>
      <w:tr>
        <w:tc>
          <w:tcPr>
            <w:tcW w:type="dxa" w:w="2400"/>
            <w:shd w:fill="F2F5FA" w:val="clear"/>
            <w:tcMar>
              <w:top w:type="dxa" w:w="70"/>
              <w:left w:type="dxa" w:w="100"/>
              <w:bottom w:type="dxa" w:w="70"/>
              <w:right w:type="dxa" w:w="100"/>
            </w:tcMar>
          </w:tcPr>
          <w:p>
            <w:r>
              <w:rPr>
                <w:sz w:val="18"/>
                <w:szCs w:val="18"/>
              </w:rPr>
              <w:t xml:space="preserve">Open Cases</w:t>
            </w:r>
          </w:p>
        </w:tc>
        <w:tc>
          <w:tcPr>
            <w:tcW w:type="dxa" w:w="6950"/>
            <w:shd w:fill="F2F5FA" w:val="clear"/>
            <w:tcMar>
              <w:top w:type="dxa" w:w="70"/>
              <w:left w:type="dxa" w:w="100"/>
              <w:bottom w:type="dxa" w:w="70"/>
              <w:right w:type="dxa" w:w="100"/>
            </w:tcMar>
          </w:tcPr>
          <w:p>
            <w:r>
              <w:rPr>
                <w:sz w:val="18"/>
                <w:szCs w:val="18"/>
              </w:rPr>
              <w:t xml:space="preserve">Distinct cases where status_bucket = Open.</w:t>
            </w:r>
          </w:p>
        </w:tc>
      </w:tr>
      <w:tr>
        <w:tc>
          <w:tcPr>
            <w:tcW w:type="dxa" w:w="2400"/>
            <w:tcMar>
              <w:top w:type="dxa" w:w="70"/>
              <w:left w:type="dxa" w:w="100"/>
              <w:bottom w:type="dxa" w:w="70"/>
              <w:right w:type="dxa" w:w="100"/>
            </w:tcMar>
          </w:tcPr>
          <w:p>
            <w:r>
              <w:rPr>
                <w:sz w:val="18"/>
                <w:szCs w:val="18"/>
              </w:rPr>
              <w:t xml:space="preserve">Closed Cases</w:t>
            </w:r>
          </w:p>
        </w:tc>
        <w:tc>
          <w:tcPr>
            <w:tcW w:type="dxa" w:w="6950"/>
            <w:tcMar>
              <w:top w:type="dxa" w:w="70"/>
              <w:left w:type="dxa" w:w="100"/>
              <w:bottom w:type="dxa" w:w="70"/>
              <w:right w:type="dxa" w:w="100"/>
            </w:tcMar>
          </w:tcPr>
          <w:p>
            <w:r>
              <w:rPr>
                <w:sz w:val="18"/>
                <w:szCs w:val="18"/>
              </w:rPr>
              <w:t xml:space="preserve">Distinct cases where status_bucket = Closed.</w:t>
            </w:r>
          </w:p>
        </w:tc>
      </w:tr>
      <w:tr>
        <w:tc>
          <w:tcPr>
            <w:tcW w:type="dxa" w:w="2400"/>
            <w:shd w:fill="F2F5FA" w:val="clear"/>
            <w:tcMar>
              <w:top w:type="dxa" w:w="70"/>
              <w:left w:type="dxa" w:w="100"/>
              <w:bottom w:type="dxa" w:w="70"/>
              <w:right w:type="dxa" w:w="100"/>
            </w:tcMar>
          </w:tcPr>
          <w:p>
            <w:r>
              <w:rPr>
                <w:sz w:val="18"/>
                <w:szCs w:val="18"/>
              </w:rPr>
              <w:t xml:space="preserve">Pending Cases</w:t>
            </w:r>
          </w:p>
        </w:tc>
        <w:tc>
          <w:tcPr>
            <w:tcW w:type="dxa" w:w="6950"/>
            <w:shd w:fill="F2F5FA" w:val="clear"/>
            <w:tcMar>
              <w:top w:type="dxa" w:w="70"/>
              <w:left w:type="dxa" w:w="100"/>
              <w:bottom w:type="dxa" w:w="70"/>
              <w:right w:type="dxa" w:w="100"/>
            </w:tcMar>
          </w:tcPr>
          <w:p>
            <w:r>
              <w:rPr>
                <w:sz w:val="18"/>
                <w:szCs w:val="18"/>
              </w:rPr>
              <w:t xml:space="preserve">Open cases excluding those marked New (i.e. already picked up but not yet resolved).</w:t>
            </w:r>
          </w:p>
        </w:tc>
      </w:tr>
      <w:tr>
        <w:tc>
          <w:tcPr>
            <w:tcW w:type="dxa" w:w="2400"/>
            <w:tcMar>
              <w:top w:type="dxa" w:w="70"/>
              <w:left w:type="dxa" w:w="100"/>
              <w:bottom w:type="dxa" w:w="70"/>
              <w:right w:type="dxa" w:w="100"/>
            </w:tcMar>
          </w:tcPr>
          <w:p>
            <w:r>
              <w:rPr>
                <w:sz w:val="18"/>
                <w:szCs w:val="18"/>
              </w:rPr>
              <w:t xml:space="preserve">New Cases</w:t>
            </w:r>
          </w:p>
        </w:tc>
        <w:tc>
          <w:tcPr>
            <w:tcW w:type="dxa" w:w="6950"/>
            <w:tcMar>
              <w:top w:type="dxa" w:w="70"/>
              <w:left w:type="dxa" w:w="100"/>
              <w:bottom w:type="dxa" w:w="70"/>
              <w:right w:type="dxa" w:w="100"/>
            </w:tcMar>
          </w:tcPr>
          <w:p>
            <w:r>
              <w:rPr>
                <w:sz w:val="18"/>
                <w:szCs w:val="18"/>
              </w:rPr>
              <w:t xml:space="preserve">Cases whose Case Status indicates “New”.</w:t>
            </w:r>
          </w:p>
        </w:tc>
      </w:tr>
      <w:tr>
        <w:tc>
          <w:tcPr>
            <w:tcW w:type="dxa" w:w="2400"/>
            <w:shd w:fill="F2F5FA" w:val="clear"/>
            <w:tcMar>
              <w:top w:type="dxa" w:w="70"/>
              <w:left w:type="dxa" w:w="100"/>
              <w:bottom w:type="dxa" w:w="70"/>
              <w:right w:type="dxa" w:w="100"/>
            </w:tcMar>
          </w:tcPr>
          <w:p>
            <w:r>
              <w:rPr>
                <w:sz w:val="18"/>
                <w:szCs w:val="18"/>
              </w:rPr>
              <w:t xml:space="preserve">Resolved Cases</w:t>
            </w:r>
          </w:p>
        </w:tc>
        <w:tc>
          <w:tcPr>
            <w:tcW w:type="dxa" w:w="6950"/>
            <w:shd w:fill="F2F5FA" w:val="clear"/>
            <w:tcMar>
              <w:top w:type="dxa" w:w="70"/>
              <w:left w:type="dxa" w:w="100"/>
              <w:bottom w:type="dxa" w:w="70"/>
              <w:right w:type="dxa" w:w="100"/>
            </w:tcMar>
          </w:tcPr>
          <w:p>
            <w:r>
              <w:rPr>
                <w:sz w:val="18"/>
                <w:szCs w:val="18"/>
              </w:rPr>
              <w:t xml:space="preserve">Same population as Closed Cases (the source data has no separate “Resolved” state).</w:t>
            </w:r>
          </w:p>
        </w:tc>
      </w:tr>
      <w:tr>
        <w:tc>
          <w:tcPr>
            <w:tcW w:type="dxa" w:w="2400"/>
            <w:tcMar>
              <w:top w:type="dxa" w:w="70"/>
              <w:left w:type="dxa" w:w="100"/>
              <w:bottom w:type="dxa" w:w="70"/>
              <w:right w:type="dxa" w:w="100"/>
            </w:tcMar>
          </w:tcPr>
          <w:p>
            <w:r>
              <w:rPr>
                <w:sz w:val="18"/>
                <w:szCs w:val="18"/>
              </w:rPr>
              <w:t xml:space="preserve">Escalated Cases</w:t>
            </w:r>
          </w:p>
        </w:tc>
        <w:tc>
          <w:tcPr>
            <w:tcW w:type="dxa" w:w="6950"/>
            <w:tcMar>
              <w:top w:type="dxa" w:w="70"/>
              <w:left w:type="dxa" w:w="100"/>
              <w:bottom w:type="dxa" w:w="70"/>
              <w:right w:type="dxa" w:w="100"/>
            </w:tcMar>
          </w:tcPr>
          <w:p>
            <w:r>
              <w:rPr>
                <w:sz w:val="18"/>
                <w:szCs w:val="18"/>
              </w:rPr>
              <w:t xml:space="preserve">Distinct cases where is_escalated is True.</w:t>
            </w:r>
          </w:p>
        </w:tc>
      </w:tr>
      <w:tr>
        <w:tc>
          <w:tcPr>
            <w:tcW w:type="dxa" w:w="2400"/>
            <w:shd w:fill="F2F5FA" w:val="clear"/>
            <w:tcMar>
              <w:top w:type="dxa" w:w="70"/>
              <w:left w:type="dxa" w:w="100"/>
              <w:bottom w:type="dxa" w:w="70"/>
              <w:right w:type="dxa" w:w="100"/>
            </w:tcMar>
          </w:tcPr>
          <w:p>
            <w:r>
              <w:rPr>
                <w:sz w:val="18"/>
                <w:szCs w:val="18"/>
              </w:rPr>
              <w:t xml:space="preserve">Avg Case Age</w:t>
            </w:r>
          </w:p>
        </w:tc>
        <w:tc>
          <w:tcPr>
            <w:tcW w:type="dxa" w:w="6950"/>
            <w:shd w:fill="F2F5FA" w:val="clear"/>
            <w:tcMar>
              <w:top w:type="dxa" w:w="70"/>
              <w:left w:type="dxa" w:w="100"/>
              <w:bottom w:type="dxa" w:w="70"/>
              <w:right w:type="dxa" w:w="100"/>
            </w:tcMar>
          </w:tcPr>
          <w:p>
            <w:r>
              <w:rPr>
                <w:sz w:val="18"/>
                <w:szCs w:val="18"/>
              </w:rPr>
              <w:t xml:space="preserve">Mean Case Ageing across currently Open cases.</w:t>
            </w:r>
          </w:p>
        </w:tc>
      </w:tr>
      <w:tr>
        <w:tc>
          <w:tcPr>
            <w:tcW w:type="dxa" w:w="2400"/>
            <w:tcMar>
              <w:top w:type="dxa" w:w="70"/>
              <w:left w:type="dxa" w:w="100"/>
              <w:bottom w:type="dxa" w:w="70"/>
              <w:right w:type="dxa" w:w="100"/>
            </w:tcMar>
          </w:tcPr>
          <w:p>
            <w:r>
              <w:rPr>
                <w:sz w:val="18"/>
                <w:szCs w:val="18"/>
              </w:rPr>
              <w:t xml:space="preserve">Avg TAT</w:t>
            </w:r>
          </w:p>
        </w:tc>
        <w:tc>
          <w:tcPr>
            <w:tcW w:type="dxa" w:w="6950"/>
            <w:tcMar>
              <w:top w:type="dxa" w:w="70"/>
              <w:left w:type="dxa" w:w="100"/>
              <w:bottom w:type="dxa" w:w="70"/>
              <w:right w:type="dxa" w:w="100"/>
            </w:tcMar>
          </w:tcPr>
          <w:p>
            <w:r>
              <w:rPr>
                <w:sz w:val="18"/>
                <w:szCs w:val="18"/>
              </w:rPr>
              <w:t xml:space="preserve">Mean TAT Days across Closed cases.</w:t>
            </w:r>
          </w:p>
        </w:tc>
      </w:tr>
      <w:tr>
        <w:tc>
          <w:tcPr>
            <w:tcW w:type="dxa" w:w="2400"/>
            <w:shd w:fill="F2F5FA" w:val="clear"/>
            <w:tcMar>
              <w:top w:type="dxa" w:w="70"/>
              <w:left w:type="dxa" w:w="100"/>
              <w:bottom w:type="dxa" w:w="70"/>
              <w:right w:type="dxa" w:w="100"/>
            </w:tcMar>
          </w:tcPr>
          <w:p>
            <w:r>
              <w:rPr>
                <w:sz w:val="18"/>
                <w:szCs w:val="18"/>
              </w:rPr>
              <w:t xml:space="preserve">SLA Breach %</w:t>
            </w:r>
          </w:p>
        </w:tc>
        <w:tc>
          <w:tcPr>
            <w:tcW w:type="dxa" w:w="6950"/>
            <w:shd w:fill="F2F5FA" w:val="clear"/>
            <w:tcMar>
              <w:top w:type="dxa" w:w="70"/>
              <w:left w:type="dxa" w:w="100"/>
              <w:bottom w:type="dxa" w:w="70"/>
              <w:right w:type="dxa" w:w="100"/>
            </w:tcMar>
          </w:tcPr>
          <w:p>
            <w:r>
              <w:rPr>
                <w:sz w:val="18"/>
                <w:szCs w:val="18"/>
              </w:rPr>
              <w:t xml:space="preserve">Share of Closed cases flagged is_sla_breach.</w:t>
            </w:r>
          </w:p>
        </w:tc>
      </w:tr>
      <w:tr>
        <w:tc>
          <w:tcPr>
            <w:tcW w:type="dxa" w:w="2400"/>
            <w:tcMar>
              <w:top w:type="dxa" w:w="70"/>
              <w:left w:type="dxa" w:w="100"/>
              <w:bottom w:type="dxa" w:w="70"/>
              <w:right w:type="dxa" w:w="100"/>
            </w:tcMar>
          </w:tcPr>
          <w:p>
            <w:r>
              <w:rPr>
                <w:sz w:val="18"/>
                <w:szCs w:val="18"/>
              </w:rPr>
              <w:t xml:space="preserve">Resolution %</w:t>
            </w:r>
          </w:p>
        </w:tc>
        <w:tc>
          <w:tcPr>
            <w:tcW w:type="dxa" w:w="6950"/>
            <w:tcMar>
              <w:top w:type="dxa" w:w="70"/>
              <w:left w:type="dxa" w:w="100"/>
              <w:bottom w:type="dxa" w:w="70"/>
              <w:right w:type="dxa" w:w="100"/>
            </w:tcMar>
          </w:tcPr>
          <w:p>
            <w:r>
              <w:rPr>
                <w:sz w:val="18"/>
                <w:szCs w:val="18"/>
              </w:rPr>
              <w:t xml:space="preserve">Closed cases ÷ Total cases.</w:t>
            </w:r>
          </w:p>
        </w:tc>
      </w:tr>
      <w:tr>
        <w:tc>
          <w:tcPr>
            <w:tcW w:type="dxa" w:w="2400"/>
            <w:shd w:fill="F2F5FA" w:val="clear"/>
            <w:tcMar>
              <w:top w:type="dxa" w:w="70"/>
              <w:left w:type="dxa" w:w="100"/>
              <w:bottom w:type="dxa" w:w="70"/>
              <w:right w:type="dxa" w:w="100"/>
            </w:tcMar>
          </w:tcPr>
          <w:p>
            <w:r>
              <w:rPr>
                <w:sz w:val="18"/>
                <w:szCs w:val="18"/>
              </w:rPr>
              <w:t xml:space="preserve">Closure %</w:t>
            </w:r>
          </w:p>
        </w:tc>
        <w:tc>
          <w:tcPr>
            <w:tcW w:type="dxa" w:w="6950"/>
            <w:shd w:fill="F2F5FA" w:val="clear"/>
            <w:tcMar>
              <w:top w:type="dxa" w:w="70"/>
              <w:left w:type="dxa" w:w="100"/>
              <w:bottom w:type="dxa" w:w="70"/>
              <w:right w:type="dxa" w:w="100"/>
            </w:tcMar>
          </w:tcPr>
          <w:p>
            <w:r>
              <w:rPr>
                <w:sz w:val="18"/>
                <w:szCs w:val="18"/>
              </w:rPr>
              <w:t xml:space="preserve">Same calculation as Resolution % (both KPIs are shown per the spec; they will diverge if a future workbook distinguishes “resolved” from “closed”).</w:t>
            </w:r>
          </w:p>
        </w:tc>
      </w:tr>
    </w:tbl>
    <w:p>
      <w:pPr>
        <w:pStyle w:val="Heading1"/>
        <w:spacing w:after="140" w:before="320"/>
      </w:pPr>
      <w:r>
        <w:t xml:space="preserve">9. RAG (Red / Amber / Green) Thresholds</w:t>
      </w:r>
    </w:p>
    <w:p>
      <w:pPr>
        <w:spacing w:after="140"/>
      </w:pPr>
      <w:r>
        <w:t xml:space="preserve">All thresholds live in one CONFIG dictionary near the top of the embedded engine module, so they can be tuned without touching any calculation logic.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900"/>
            <w:shd w:fill="1F3864" w:val="clear"/>
            <w:tcMar>
              <w:top w:type="dxa" w:w="80"/>
              <w:left w:type="dxa" w:w="100"/>
              <w:bottom w:type="dxa" w:w="80"/>
              <w:right w:type="dxa" w:w="100"/>
            </w:tcMar>
          </w:tcPr>
          <w:p>
            <w:r>
              <w:rPr>
                <w:b/>
                <w:bCs/>
                <w:color w:val="FFFFFF"/>
                <w:sz w:val="18"/>
                <w:szCs w:val="18"/>
              </w:rPr>
              <w:t xml:space="preserve">Metric</w:t>
            </w:r>
          </w:p>
        </w:tc>
        <w:tc>
          <w:tcPr>
            <w:tcW w:type="dxa" w:w="2150"/>
            <w:shd w:fill="1F3864" w:val="clear"/>
            <w:tcMar>
              <w:top w:type="dxa" w:w="80"/>
              <w:left w:type="dxa" w:w="100"/>
              <w:bottom w:type="dxa" w:w="80"/>
              <w:right w:type="dxa" w:w="100"/>
            </w:tcMar>
          </w:tcPr>
          <w:p>
            <w:r>
              <w:rPr>
                <w:b/>
                <w:bCs/>
                <w:color w:val="FFFFFF"/>
                <w:sz w:val="18"/>
                <w:szCs w:val="18"/>
              </w:rPr>
              <w:t xml:space="preserve">Green</w:t>
            </w:r>
          </w:p>
        </w:tc>
        <w:tc>
          <w:tcPr>
            <w:tcW w:type="dxa" w:w="2150"/>
            <w:shd w:fill="1F3864" w:val="clear"/>
            <w:tcMar>
              <w:top w:type="dxa" w:w="80"/>
              <w:left w:type="dxa" w:w="100"/>
              <w:bottom w:type="dxa" w:w="80"/>
              <w:right w:type="dxa" w:w="100"/>
            </w:tcMar>
          </w:tcPr>
          <w:p>
            <w:r>
              <w:rPr>
                <w:b/>
                <w:bCs/>
                <w:color w:val="FFFFFF"/>
                <w:sz w:val="18"/>
                <w:szCs w:val="18"/>
              </w:rPr>
              <w:t xml:space="preserve">Amber</w:t>
            </w:r>
          </w:p>
        </w:tc>
        <w:tc>
          <w:tcPr>
            <w:tcW w:type="dxa" w:w="2150"/>
            <w:shd w:fill="1F3864" w:val="clear"/>
            <w:tcMar>
              <w:top w:type="dxa" w:w="80"/>
              <w:left w:type="dxa" w:w="100"/>
              <w:bottom w:type="dxa" w:w="80"/>
              <w:right w:type="dxa" w:w="100"/>
            </w:tcMar>
          </w:tcPr>
          <w:p>
            <w:r>
              <w:rPr>
                <w:b/>
                <w:bCs/>
                <w:color w:val="FFFFFF"/>
                <w:sz w:val="18"/>
                <w:szCs w:val="18"/>
              </w:rPr>
              <w:t xml:space="preserve">Red</w:t>
            </w:r>
          </w:p>
        </w:tc>
      </w:tr>
      <w:tr>
        <w:tc>
          <w:tcPr>
            <w:tcW w:type="dxa" w:w="2900"/>
            <w:tcMar>
              <w:top w:type="dxa" w:w="70"/>
              <w:left w:type="dxa" w:w="100"/>
              <w:bottom w:type="dxa" w:w="70"/>
              <w:right w:type="dxa" w:w="100"/>
            </w:tcMar>
          </w:tcPr>
          <w:p>
            <w:r>
              <w:rPr>
                <w:sz w:val="18"/>
                <w:szCs w:val="18"/>
              </w:rPr>
              <w:t xml:space="preserve">Resolution %</w:t>
            </w:r>
          </w:p>
        </w:tc>
        <w:tc>
          <w:tcPr>
            <w:tcW w:type="dxa" w:w="2150"/>
            <w:tcMar>
              <w:top w:type="dxa" w:w="70"/>
              <w:left w:type="dxa" w:w="100"/>
              <w:bottom w:type="dxa" w:w="70"/>
              <w:right w:type="dxa" w:w="100"/>
            </w:tcMar>
          </w:tcPr>
          <w:p>
            <w:r>
              <w:rPr>
                <w:sz w:val="18"/>
                <w:szCs w:val="18"/>
              </w:rPr>
              <w:t xml:space="preserve">≥ 90%</w:t>
            </w:r>
          </w:p>
        </w:tc>
        <w:tc>
          <w:tcPr>
            <w:tcW w:type="dxa" w:w="2150"/>
            <w:tcMar>
              <w:top w:type="dxa" w:w="70"/>
              <w:left w:type="dxa" w:w="100"/>
              <w:bottom w:type="dxa" w:w="70"/>
              <w:right w:type="dxa" w:w="100"/>
            </w:tcMar>
          </w:tcPr>
          <w:p>
            <w:r>
              <w:rPr>
                <w:sz w:val="18"/>
                <w:szCs w:val="18"/>
              </w:rPr>
              <w:t xml:space="preserve">75% – 89.99%</w:t>
            </w:r>
          </w:p>
        </w:tc>
        <w:tc>
          <w:tcPr>
            <w:tcW w:type="dxa" w:w="2150"/>
            <w:tcMar>
              <w:top w:type="dxa" w:w="70"/>
              <w:left w:type="dxa" w:w="100"/>
              <w:bottom w:type="dxa" w:w="70"/>
              <w:right w:type="dxa" w:w="100"/>
            </w:tcMar>
          </w:tcPr>
          <w:p>
            <w:r>
              <w:rPr>
                <w:sz w:val="18"/>
                <w:szCs w:val="18"/>
              </w:rPr>
              <w:t xml:space="preserve">&lt; 75%</w:t>
            </w:r>
          </w:p>
        </w:tc>
      </w:tr>
      <w:tr>
        <w:tc>
          <w:tcPr>
            <w:tcW w:type="dxa" w:w="2900"/>
            <w:shd w:fill="F2F5FA" w:val="clear"/>
            <w:tcMar>
              <w:top w:type="dxa" w:w="70"/>
              <w:left w:type="dxa" w:w="100"/>
              <w:bottom w:type="dxa" w:w="70"/>
              <w:right w:type="dxa" w:w="100"/>
            </w:tcMar>
          </w:tcPr>
          <w:p>
            <w:r>
              <w:rPr>
                <w:sz w:val="18"/>
                <w:szCs w:val="18"/>
              </w:rPr>
              <w:t xml:space="preserve">Closure %</w:t>
            </w:r>
          </w:p>
        </w:tc>
        <w:tc>
          <w:tcPr>
            <w:tcW w:type="dxa" w:w="2150"/>
            <w:shd w:fill="F2F5FA" w:val="clear"/>
            <w:tcMar>
              <w:top w:type="dxa" w:w="70"/>
              <w:left w:type="dxa" w:w="100"/>
              <w:bottom w:type="dxa" w:w="70"/>
              <w:right w:type="dxa" w:w="100"/>
            </w:tcMar>
          </w:tcPr>
          <w:p>
            <w:r>
              <w:rPr>
                <w:sz w:val="18"/>
                <w:szCs w:val="18"/>
              </w:rPr>
              <w:t xml:space="preserve">≥ 90%</w:t>
            </w:r>
          </w:p>
        </w:tc>
        <w:tc>
          <w:tcPr>
            <w:tcW w:type="dxa" w:w="2150"/>
            <w:shd w:fill="F2F5FA" w:val="clear"/>
            <w:tcMar>
              <w:top w:type="dxa" w:w="70"/>
              <w:left w:type="dxa" w:w="100"/>
              <w:bottom w:type="dxa" w:w="70"/>
              <w:right w:type="dxa" w:w="100"/>
            </w:tcMar>
          </w:tcPr>
          <w:p>
            <w:r>
              <w:rPr>
                <w:sz w:val="18"/>
                <w:szCs w:val="18"/>
              </w:rPr>
              <w:t xml:space="preserve">75% – 89.99%</w:t>
            </w:r>
          </w:p>
        </w:tc>
        <w:tc>
          <w:tcPr>
            <w:tcW w:type="dxa" w:w="2150"/>
            <w:shd w:fill="F2F5FA" w:val="clear"/>
            <w:tcMar>
              <w:top w:type="dxa" w:w="70"/>
              <w:left w:type="dxa" w:w="100"/>
              <w:bottom w:type="dxa" w:w="70"/>
              <w:right w:type="dxa" w:w="100"/>
            </w:tcMar>
          </w:tcPr>
          <w:p>
            <w:r>
              <w:rPr>
                <w:sz w:val="18"/>
                <w:szCs w:val="18"/>
              </w:rPr>
              <w:t xml:space="preserve">&lt; 75%</w:t>
            </w:r>
          </w:p>
        </w:tc>
      </w:tr>
      <w:tr>
        <w:tc>
          <w:tcPr>
            <w:tcW w:type="dxa" w:w="2900"/>
            <w:tcMar>
              <w:top w:type="dxa" w:w="70"/>
              <w:left w:type="dxa" w:w="100"/>
              <w:bottom w:type="dxa" w:w="70"/>
              <w:right w:type="dxa" w:w="100"/>
            </w:tcMar>
          </w:tcPr>
          <w:p>
            <w:r>
              <w:rPr>
                <w:sz w:val="18"/>
                <w:szCs w:val="18"/>
              </w:rPr>
              <w:t xml:space="preserve">SLA Breach %  (lower is better)</w:t>
            </w:r>
          </w:p>
        </w:tc>
        <w:tc>
          <w:tcPr>
            <w:tcW w:type="dxa" w:w="2150"/>
            <w:tcMar>
              <w:top w:type="dxa" w:w="70"/>
              <w:left w:type="dxa" w:w="100"/>
              <w:bottom w:type="dxa" w:w="70"/>
              <w:right w:type="dxa" w:w="100"/>
            </w:tcMar>
          </w:tcPr>
          <w:p>
            <w:r>
              <w:rPr>
                <w:sz w:val="18"/>
                <w:szCs w:val="18"/>
              </w:rPr>
              <w:t xml:space="preserve">≤ 10%</w:t>
            </w:r>
          </w:p>
        </w:tc>
        <w:tc>
          <w:tcPr>
            <w:tcW w:type="dxa" w:w="2150"/>
            <w:tcMar>
              <w:top w:type="dxa" w:w="70"/>
              <w:left w:type="dxa" w:w="100"/>
              <w:bottom w:type="dxa" w:w="70"/>
              <w:right w:type="dxa" w:w="100"/>
            </w:tcMar>
          </w:tcPr>
          <w:p>
            <w:r>
              <w:rPr>
                <w:sz w:val="18"/>
                <w:szCs w:val="18"/>
              </w:rPr>
              <w:t xml:space="preserve">10.01% – 25%</w:t>
            </w:r>
          </w:p>
        </w:tc>
        <w:tc>
          <w:tcPr>
            <w:tcW w:type="dxa" w:w="2150"/>
            <w:tcMar>
              <w:top w:type="dxa" w:w="70"/>
              <w:left w:type="dxa" w:w="100"/>
              <w:bottom w:type="dxa" w:w="70"/>
              <w:right w:type="dxa" w:w="100"/>
            </w:tcMar>
          </w:tcPr>
          <w:p>
            <w:r>
              <w:rPr>
                <w:sz w:val="18"/>
                <w:szCs w:val="18"/>
              </w:rPr>
              <w:t xml:space="preserve">&gt; 25%</w:t>
            </w:r>
          </w:p>
        </w:tc>
      </w:tr>
      <w:tr>
        <w:tc>
          <w:tcPr>
            <w:tcW w:type="dxa" w:w="2900"/>
            <w:shd w:fill="F2F5FA" w:val="clear"/>
            <w:tcMar>
              <w:top w:type="dxa" w:w="70"/>
              <w:left w:type="dxa" w:w="100"/>
              <w:bottom w:type="dxa" w:w="70"/>
              <w:right w:type="dxa" w:w="100"/>
            </w:tcMar>
          </w:tcPr>
          <w:p>
            <w:r>
              <w:rPr>
                <w:sz w:val="18"/>
                <w:szCs w:val="18"/>
              </w:rPr>
              <w:t xml:space="preserve">Data Quality Score</w:t>
            </w:r>
          </w:p>
        </w:tc>
        <w:tc>
          <w:tcPr>
            <w:tcW w:type="dxa" w:w="2150"/>
            <w:shd w:fill="F2F5FA" w:val="clear"/>
            <w:tcMar>
              <w:top w:type="dxa" w:w="70"/>
              <w:left w:type="dxa" w:w="100"/>
              <w:bottom w:type="dxa" w:w="70"/>
              <w:right w:type="dxa" w:w="100"/>
            </w:tcMar>
          </w:tcPr>
          <w:p>
            <w:r>
              <w:rPr>
                <w:sz w:val="18"/>
                <w:szCs w:val="18"/>
              </w:rPr>
              <w:t xml:space="preserve">≥ 95%</w:t>
            </w:r>
          </w:p>
        </w:tc>
        <w:tc>
          <w:tcPr>
            <w:tcW w:type="dxa" w:w="2150"/>
            <w:shd w:fill="F2F5FA" w:val="clear"/>
            <w:tcMar>
              <w:top w:type="dxa" w:w="70"/>
              <w:left w:type="dxa" w:w="100"/>
              <w:bottom w:type="dxa" w:w="70"/>
              <w:right w:type="dxa" w:w="100"/>
            </w:tcMar>
          </w:tcPr>
          <w:p>
            <w:r>
              <w:rPr>
                <w:sz w:val="18"/>
                <w:szCs w:val="18"/>
              </w:rPr>
              <w:t xml:space="preserve">85% – 94.99%</w:t>
            </w:r>
          </w:p>
        </w:tc>
        <w:tc>
          <w:tcPr>
            <w:tcW w:type="dxa" w:w="2150"/>
            <w:shd w:fill="F2F5FA" w:val="clear"/>
            <w:tcMar>
              <w:top w:type="dxa" w:w="70"/>
              <w:left w:type="dxa" w:w="100"/>
              <w:bottom w:type="dxa" w:w="70"/>
              <w:right w:type="dxa" w:w="100"/>
            </w:tcMar>
          </w:tcPr>
          <w:p>
            <w:r>
              <w:rPr>
                <w:sz w:val="18"/>
                <w:szCs w:val="18"/>
              </w:rPr>
              <w:t xml:space="preserve">&lt; 85%</w:t>
            </w:r>
          </w:p>
        </w:tc>
      </w:tr>
    </w:tbl>
    <w:p>
      <w:r>
        <w:br w:type="page"/>
      </w:r>
    </w:p>
    <w:p>
      <w:pPr>
        <w:pStyle w:val="Heading1"/>
        <w:spacing w:after="140" w:before="320"/>
      </w:pPr>
      <w:r>
        <w:t xml:space="preserve">10. Reports &amp;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864" w:val="clear"/>
            <w:tcMar>
              <w:top w:type="dxa" w:w="80"/>
              <w:left w:type="dxa" w:w="100"/>
              <w:bottom w:type="dxa" w:w="80"/>
              <w:right w:type="dxa" w:w="100"/>
            </w:tcMar>
          </w:tcPr>
          <w:p>
            <w:r>
              <w:rPr>
                <w:b/>
                <w:bCs/>
                <w:color w:val="FFFFFF"/>
                <w:sz w:val="18"/>
                <w:szCs w:val="18"/>
              </w:rPr>
              <w:t xml:space="preserve">Report</w:t>
            </w:r>
          </w:p>
        </w:tc>
        <w:tc>
          <w:tcPr>
            <w:tcW w:type="dxa" w:w="2150"/>
            <w:shd w:fill="1F3864" w:val="clear"/>
            <w:tcMar>
              <w:top w:type="dxa" w:w="80"/>
              <w:left w:type="dxa" w:w="100"/>
              <w:bottom w:type="dxa" w:w="80"/>
              <w:right w:type="dxa" w:w="100"/>
            </w:tcMar>
          </w:tcPr>
          <w:p>
            <w:r>
              <w:rPr>
                <w:b/>
                <w:bCs/>
                <w:color w:val="FFFFFF"/>
                <w:sz w:val="18"/>
                <w:szCs w:val="18"/>
              </w:rPr>
              <w:t xml:space="preserve">Grouped By</w:t>
            </w:r>
          </w:p>
        </w:tc>
        <w:tc>
          <w:tcPr>
            <w:tcW w:type="dxa" w:w="4800"/>
            <w:shd w:fill="1F3864" w:val="clear"/>
            <w:tcMar>
              <w:top w:type="dxa" w:w="80"/>
              <w:left w:type="dxa" w:w="100"/>
              <w:bottom w:type="dxa" w:w="80"/>
              <w:right w:type="dxa" w:w="100"/>
            </w:tcMar>
          </w:tcPr>
          <w:p>
            <w:r>
              <w:rPr>
                <w:b/>
                <w:bCs/>
                <w:color w:val="FFFFFF"/>
                <w:sz w:val="18"/>
                <w:szCs w:val="18"/>
              </w:rPr>
              <w:t xml:space="preserve">What It Shows</w:t>
            </w:r>
          </w:p>
        </w:tc>
      </w:tr>
      <w:tr>
        <w:tc>
          <w:tcPr>
            <w:tcW w:type="dxa" w:w="2400"/>
            <w:tcMar>
              <w:top w:type="dxa" w:w="70"/>
              <w:left w:type="dxa" w:w="100"/>
              <w:bottom w:type="dxa" w:w="70"/>
              <w:right w:type="dxa" w:w="100"/>
            </w:tcMar>
          </w:tcPr>
          <w:p>
            <w:r>
              <w:rPr>
                <w:sz w:val="18"/>
                <w:szCs w:val="18"/>
              </w:rPr>
              <w:t xml:space="preserve">Project Analysis</w:t>
            </w:r>
          </w:p>
        </w:tc>
        <w:tc>
          <w:tcPr>
            <w:tcW w:type="dxa" w:w="2150"/>
            <w:tcMar>
              <w:top w:type="dxa" w:w="70"/>
              <w:left w:type="dxa" w:w="100"/>
              <w:bottom w:type="dxa" w:w="70"/>
              <w:right w:type="dxa" w:w="100"/>
            </w:tcMar>
          </w:tcPr>
          <w:p>
            <w:r>
              <w:rPr>
                <w:sz w:val="18"/>
                <w:szCs w:val="18"/>
              </w:rPr>
              <w:t xml:space="preserve">project_name</w:t>
            </w:r>
          </w:p>
        </w:tc>
        <w:tc>
          <w:tcPr>
            <w:tcW w:type="dxa" w:w="4800"/>
            <w:tcMar>
              <w:top w:type="dxa" w:w="70"/>
              <w:left w:type="dxa" w:w="100"/>
              <w:bottom w:type="dxa" w:w="70"/>
              <w:right w:type="dxa" w:w="100"/>
            </w:tcMar>
          </w:tcPr>
          <w:p>
            <w:r>
              <w:rPr>
                <w:sz w:val="18"/>
                <w:szCs w:val="18"/>
              </w:rPr>
              <w:t xml:space="preserve">Case volume, resolution and SLA performance per M3M project.</w:t>
            </w:r>
          </w:p>
        </w:tc>
      </w:tr>
      <w:tr>
        <w:tc>
          <w:tcPr>
            <w:tcW w:type="dxa" w:w="2400"/>
            <w:shd w:fill="F2F5FA" w:val="clear"/>
            <w:tcMar>
              <w:top w:type="dxa" w:w="70"/>
              <w:left w:type="dxa" w:w="100"/>
              <w:bottom w:type="dxa" w:w="70"/>
              <w:right w:type="dxa" w:w="100"/>
            </w:tcMar>
          </w:tcPr>
          <w:p>
            <w:r>
              <w:rPr>
                <w:sz w:val="18"/>
                <w:szCs w:val="18"/>
              </w:rPr>
              <w:t xml:space="preserve">Service Category Analysis</w:t>
            </w:r>
          </w:p>
        </w:tc>
        <w:tc>
          <w:tcPr>
            <w:tcW w:type="dxa" w:w="2150"/>
            <w:shd w:fill="F2F5FA" w:val="clear"/>
            <w:tcMar>
              <w:top w:type="dxa" w:w="70"/>
              <w:left w:type="dxa" w:w="100"/>
              <w:bottom w:type="dxa" w:w="70"/>
              <w:right w:type="dxa" w:w="100"/>
            </w:tcMar>
          </w:tcPr>
          <w:p>
            <w:r>
              <w:rPr>
                <w:sz w:val="18"/>
                <w:szCs w:val="18"/>
              </w:rPr>
              <w:t xml:space="preserve">service_category</w:t>
            </w:r>
          </w:p>
        </w:tc>
        <w:tc>
          <w:tcPr>
            <w:tcW w:type="dxa" w:w="4800"/>
            <w:shd w:fill="F2F5FA" w:val="clear"/>
            <w:tcMar>
              <w:top w:type="dxa" w:w="70"/>
              <w:left w:type="dxa" w:w="100"/>
              <w:bottom w:type="dxa" w:w="70"/>
              <w:right w:type="dxa" w:w="100"/>
            </w:tcMar>
          </w:tcPr>
          <w:p>
            <w:r>
              <w:rPr>
                <w:sz w:val="18"/>
                <w:szCs w:val="18"/>
              </w:rPr>
              <w:t xml:space="preserve">Volume and performance per detailed service category.</w:t>
            </w:r>
          </w:p>
        </w:tc>
      </w:tr>
      <w:tr>
        <w:tc>
          <w:tcPr>
            <w:tcW w:type="dxa" w:w="2400"/>
            <w:tcMar>
              <w:top w:type="dxa" w:w="70"/>
              <w:left w:type="dxa" w:w="100"/>
              <w:bottom w:type="dxa" w:w="70"/>
              <w:right w:type="dxa" w:w="100"/>
            </w:tcMar>
          </w:tcPr>
          <w:p>
            <w:r>
              <w:rPr>
                <w:sz w:val="18"/>
                <w:szCs w:val="18"/>
              </w:rPr>
              <w:t xml:space="preserve">M_Category Analysis</w:t>
            </w:r>
          </w:p>
        </w:tc>
        <w:tc>
          <w:tcPr>
            <w:tcW w:type="dxa" w:w="2150"/>
            <w:tcMar>
              <w:top w:type="dxa" w:w="70"/>
              <w:left w:type="dxa" w:w="100"/>
              <w:bottom w:type="dxa" w:w="70"/>
              <w:right w:type="dxa" w:w="100"/>
            </w:tcMar>
          </w:tcPr>
          <w:p>
            <w:r>
              <w:rPr>
                <w:sz w:val="18"/>
                <w:szCs w:val="18"/>
              </w:rPr>
              <w:t xml:space="preserve">m_category</w:t>
            </w:r>
          </w:p>
        </w:tc>
        <w:tc>
          <w:tcPr>
            <w:tcW w:type="dxa" w:w="4800"/>
            <w:tcMar>
              <w:top w:type="dxa" w:w="70"/>
              <w:left w:type="dxa" w:w="100"/>
              <w:bottom w:type="dxa" w:w="70"/>
              <w:right w:type="dxa" w:w="100"/>
            </w:tcMar>
          </w:tcPr>
          <w:p>
            <w:r>
              <w:rPr>
                <w:sz w:val="18"/>
                <w:szCs w:val="18"/>
              </w:rPr>
              <w:t xml:space="preserve">Volume and performance per management rollup category.</w:t>
            </w:r>
          </w:p>
        </w:tc>
      </w:tr>
      <w:tr>
        <w:tc>
          <w:tcPr>
            <w:tcW w:type="dxa" w:w="2400"/>
            <w:shd w:fill="F2F5FA" w:val="clear"/>
            <w:tcMar>
              <w:top w:type="dxa" w:w="70"/>
              <w:left w:type="dxa" w:w="100"/>
              <w:bottom w:type="dxa" w:w="70"/>
              <w:right w:type="dxa" w:w="100"/>
            </w:tcMar>
          </w:tcPr>
          <w:p>
            <w:r>
              <w:rPr>
                <w:sz w:val="18"/>
                <w:szCs w:val="18"/>
              </w:rPr>
              <w:t xml:space="preserve">SLA (SLAB) Analysis</w:t>
            </w:r>
          </w:p>
        </w:tc>
        <w:tc>
          <w:tcPr>
            <w:tcW w:type="dxa" w:w="2150"/>
            <w:shd w:fill="F2F5FA" w:val="clear"/>
            <w:tcMar>
              <w:top w:type="dxa" w:w="70"/>
              <w:left w:type="dxa" w:w="100"/>
              <w:bottom w:type="dxa" w:w="70"/>
              <w:right w:type="dxa" w:w="100"/>
            </w:tcMar>
          </w:tcPr>
          <w:p>
            <w:r>
              <w:rPr>
                <w:sz w:val="18"/>
                <w:szCs w:val="18"/>
              </w:rPr>
              <w:t xml:space="preserve">slab</w:t>
            </w:r>
          </w:p>
        </w:tc>
        <w:tc>
          <w:tcPr>
            <w:tcW w:type="dxa" w:w="4800"/>
            <w:shd w:fill="F2F5FA" w:val="clear"/>
            <w:tcMar>
              <w:top w:type="dxa" w:w="70"/>
              <w:left w:type="dxa" w:w="100"/>
              <w:bottom w:type="dxa" w:w="70"/>
              <w:right w:type="dxa" w:w="100"/>
            </w:tcMar>
          </w:tcPr>
          <w:p>
            <w:r>
              <w:rPr>
                <w:sz w:val="18"/>
                <w:szCs w:val="18"/>
              </w:rPr>
              <w:t xml:space="preserve">Case distribution across the SLA buckets supplied in the workbook.</w:t>
            </w:r>
          </w:p>
        </w:tc>
      </w:tr>
      <w:tr>
        <w:tc>
          <w:tcPr>
            <w:tcW w:type="dxa" w:w="2400"/>
            <w:tcMar>
              <w:top w:type="dxa" w:w="70"/>
              <w:left w:type="dxa" w:w="100"/>
              <w:bottom w:type="dxa" w:w="70"/>
              <w:right w:type="dxa" w:w="100"/>
            </w:tcMar>
          </w:tcPr>
          <w:p>
            <w:r>
              <w:rPr>
                <w:sz w:val="18"/>
                <w:szCs w:val="18"/>
              </w:rPr>
              <w:t xml:space="preserve">Priority Analysis</w:t>
            </w:r>
          </w:p>
        </w:tc>
        <w:tc>
          <w:tcPr>
            <w:tcW w:type="dxa" w:w="2150"/>
            <w:tcMar>
              <w:top w:type="dxa" w:w="70"/>
              <w:left w:type="dxa" w:w="100"/>
              <w:bottom w:type="dxa" w:w="70"/>
              <w:right w:type="dxa" w:w="100"/>
            </w:tcMar>
          </w:tcPr>
          <w:p>
            <w:r>
              <w:rPr>
                <w:sz w:val="18"/>
                <w:szCs w:val="18"/>
              </w:rPr>
              <w:t xml:space="preserve">priority</w:t>
            </w:r>
          </w:p>
        </w:tc>
        <w:tc>
          <w:tcPr>
            <w:tcW w:type="dxa" w:w="4800"/>
            <w:tcMar>
              <w:top w:type="dxa" w:w="70"/>
              <w:left w:type="dxa" w:w="100"/>
              <w:bottom w:type="dxa" w:w="70"/>
              <w:right w:type="dxa" w:w="100"/>
            </w:tcMar>
          </w:tcPr>
          <w:p>
            <w:r>
              <w:rPr>
                <w:sz w:val="18"/>
                <w:szCs w:val="18"/>
              </w:rPr>
              <w:t xml:space="preserve">Volume and performance per priority level.</w:t>
            </w:r>
          </w:p>
        </w:tc>
      </w:tr>
      <w:tr>
        <w:tc>
          <w:tcPr>
            <w:tcW w:type="dxa" w:w="2400"/>
            <w:shd w:fill="F2F5FA" w:val="clear"/>
            <w:tcMar>
              <w:top w:type="dxa" w:w="70"/>
              <w:left w:type="dxa" w:w="100"/>
              <w:bottom w:type="dxa" w:w="70"/>
              <w:right w:type="dxa" w:w="100"/>
            </w:tcMar>
          </w:tcPr>
          <w:p>
            <w:r>
              <w:rPr>
                <w:sz w:val="18"/>
                <w:szCs w:val="18"/>
              </w:rPr>
              <w:t xml:space="preserve">Escalation Analysis</w:t>
            </w:r>
          </w:p>
        </w:tc>
        <w:tc>
          <w:tcPr>
            <w:tcW w:type="dxa" w:w="2150"/>
            <w:shd w:fill="F2F5FA" w:val="clear"/>
            <w:tcMar>
              <w:top w:type="dxa" w:w="70"/>
              <w:left w:type="dxa" w:w="100"/>
              <w:bottom w:type="dxa" w:w="70"/>
              <w:right w:type="dxa" w:w="100"/>
            </w:tcMar>
          </w:tcPr>
          <w:p>
            <w:r>
              <w:rPr>
                <w:sz w:val="18"/>
                <w:szCs w:val="18"/>
              </w:rPr>
              <w:t xml:space="preserve">escalated_label</w:t>
            </w:r>
          </w:p>
        </w:tc>
        <w:tc>
          <w:tcPr>
            <w:tcW w:type="dxa" w:w="4800"/>
            <w:shd w:fill="F2F5FA" w:val="clear"/>
            <w:tcMar>
              <w:top w:type="dxa" w:w="70"/>
              <w:left w:type="dxa" w:w="100"/>
              <w:bottom w:type="dxa" w:w="70"/>
              <w:right w:type="dxa" w:w="100"/>
            </w:tcMar>
          </w:tcPr>
          <w:p>
            <w:r>
              <w:rPr>
                <w:sz w:val="18"/>
                <w:szCs w:val="18"/>
              </w:rPr>
              <w:t xml:space="preserve">Escalated vs Not Escalated volumes and outcomes.</w:t>
            </w:r>
          </w:p>
        </w:tc>
      </w:tr>
      <w:tr>
        <w:tc>
          <w:tcPr>
            <w:tcW w:type="dxa" w:w="2400"/>
            <w:tcMar>
              <w:top w:type="dxa" w:w="70"/>
              <w:left w:type="dxa" w:w="100"/>
              <w:bottom w:type="dxa" w:w="70"/>
              <w:right w:type="dxa" w:w="100"/>
            </w:tcMar>
          </w:tcPr>
          <w:p>
            <w:r>
              <w:rPr>
                <w:sz w:val="18"/>
                <w:szCs w:val="18"/>
              </w:rPr>
              <w:t xml:space="preserve">Case Owner Analysis</w:t>
            </w:r>
          </w:p>
        </w:tc>
        <w:tc>
          <w:tcPr>
            <w:tcW w:type="dxa" w:w="2150"/>
            <w:tcMar>
              <w:top w:type="dxa" w:w="70"/>
              <w:left w:type="dxa" w:w="100"/>
              <w:bottom w:type="dxa" w:w="70"/>
              <w:right w:type="dxa" w:w="100"/>
            </w:tcMar>
          </w:tcPr>
          <w:p>
            <w:r>
              <w:rPr>
                <w:sz w:val="18"/>
                <w:szCs w:val="18"/>
              </w:rPr>
              <w:t xml:space="preserve">case_owner</w:t>
            </w:r>
          </w:p>
        </w:tc>
        <w:tc>
          <w:tcPr>
            <w:tcW w:type="dxa" w:w="4800"/>
            <w:tcMar>
              <w:top w:type="dxa" w:w="70"/>
              <w:left w:type="dxa" w:w="100"/>
              <w:bottom w:type="dxa" w:w="70"/>
              <w:right w:type="dxa" w:w="100"/>
            </w:tcMar>
          </w:tcPr>
          <w:p>
            <w:r>
              <w:rPr>
                <w:sz w:val="18"/>
                <w:szCs w:val="18"/>
              </w:rPr>
              <w:t xml:space="preserve">Per-individual caseload and performance.</w:t>
            </w:r>
          </w:p>
        </w:tc>
      </w:tr>
      <w:tr>
        <w:tc>
          <w:tcPr>
            <w:tcW w:type="dxa" w:w="2400"/>
            <w:shd w:fill="F2F5FA" w:val="clear"/>
            <w:tcMar>
              <w:top w:type="dxa" w:w="70"/>
              <w:left w:type="dxa" w:w="100"/>
              <w:bottom w:type="dxa" w:w="70"/>
              <w:right w:type="dxa" w:w="100"/>
            </w:tcMar>
          </w:tcPr>
          <w:p>
            <w:r>
              <w:rPr>
                <w:sz w:val="18"/>
                <w:szCs w:val="18"/>
              </w:rPr>
              <w:t xml:space="preserve">Team Leader Analysis</w:t>
            </w:r>
          </w:p>
        </w:tc>
        <w:tc>
          <w:tcPr>
            <w:tcW w:type="dxa" w:w="2150"/>
            <w:shd w:fill="F2F5FA" w:val="clear"/>
            <w:tcMar>
              <w:top w:type="dxa" w:w="70"/>
              <w:left w:type="dxa" w:w="100"/>
              <w:bottom w:type="dxa" w:w="70"/>
              <w:right w:type="dxa" w:w="100"/>
            </w:tcMar>
          </w:tcPr>
          <w:p>
            <w:r>
              <w:rPr>
                <w:sz w:val="18"/>
                <w:szCs w:val="18"/>
              </w:rPr>
              <w:t xml:space="preserve">team_leader</w:t>
            </w:r>
          </w:p>
        </w:tc>
        <w:tc>
          <w:tcPr>
            <w:tcW w:type="dxa" w:w="4800"/>
            <w:shd w:fill="F2F5FA" w:val="clear"/>
            <w:tcMar>
              <w:top w:type="dxa" w:w="70"/>
              <w:left w:type="dxa" w:w="100"/>
              <w:bottom w:type="dxa" w:w="70"/>
              <w:right w:type="dxa" w:w="100"/>
            </w:tcMar>
          </w:tcPr>
          <w:p>
            <w:r>
              <w:rPr>
                <w:sz w:val="18"/>
                <w:szCs w:val="18"/>
              </w:rPr>
              <w:t xml:space="preserve">Roll-up of case owner performance by Team Leader.</w:t>
            </w:r>
          </w:p>
        </w:tc>
      </w:tr>
      <w:tr>
        <w:tc>
          <w:tcPr>
            <w:tcW w:type="dxa" w:w="2400"/>
            <w:tcMar>
              <w:top w:type="dxa" w:w="70"/>
              <w:left w:type="dxa" w:w="100"/>
              <w:bottom w:type="dxa" w:w="70"/>
              <w:right w:type="dxa" w:w="100"/>
            </w:tcMar>
          </w:tcPr>
          <w:p>
            <w:r>
              <w:rPr>
                <w:sz w:val="18"/>
                <w:szCs w:val="18"/>
              </w:rPr>
              <w:t xml:space="preserve">HOD Analysis</w:t>
            </w:r>
          </w:p>
        </w:tc>
        <w:tc>
          <w:tcPr>
            <w:tcW w:type="dxa" w:w="2150"/>
            <w:tcMar>
              <w:top w:type="dxa" w:w="70"/>
              <w:left w:type="dxa" w:w="100"/>
              <w:bottom w:type="dxa" w:w="70"/>
              <w:right w:type="dxa" w:w="100"/>
            </w:tcMar>
          </w:tcPr>
          <w:p>
            <w:r>
              <w:rPr>
                <w:sz w:val="18"/>
                <w:szCs w:val="18"/>
              </w:rPr>
              <w:t xml:space="preserve">hod</w:t>
            </w:r>
          </w:p>
        </w:tc>
        <w:tc>
          <w:tcPr>
            <w:tcW w:type="dxa" w:w="4800"/>
            <w:tcMar>
              <w:top w:type="dxa" w:w="70"/>
              <w:left w:type="dxa" w:w="100"/>
              <w:bottom w:type="dxa" w:w="70"/>
              <w:right w:type="dxa" w:w="100"/>
            </w:tcMar>
          </w:tcPr>
          <w:p>
            <w:r>
              <w:rPr>
                <w:sz w:val="18"/>
                <w:szCs w:val="18"/>
              </w:rPr>
              <w:t xml:space="preserve">Roll-up by Head of Department.</w:t>
            </w:r>
          </w:p>
        </w:tc>
      </w:tr>
      <w:tr>
        <w:tc>
          <w:tcPr>
            <w:tcW w:type="dxa" w:w="2400"/>
            <w:shd w:fill="F2F5FA" w:val="clear"/>
            <w:tcMar>
              <w:top w:type="dxa" w:w="70"/>
              <w:left w:type="dxa" w:w="100"/>
              <w:bottom w:type="dxa" w:w="70"/>
              <w:right w:type="dxa" w:w="100"/>
            </w:tcMar>
          </w:tcPr>
          <w:p>
            <w:r>
              <w:rPr>
                <w:sz w:val="18"/>
                <w:szCs w:val="18"/>
              </w:rPr>
              <w:t xml:space="preserve">Client Category Analysis</w:t>
            </w:r>
          </w:p>
        </w:tc>
        <w:tc>
          <w:tcPr>
            <w:tcW w:type="dxa" w:w="2150"/>
            <w:shd w:fill="F2F5FA" w:val="clear"/>
            <w:tcMar>
              <w:top w:type="dxa" w:w="70"/>
              <w:left w:type="dxa" w:w="100"/>
              <w:bottom w:type="dxa" w:w="70"/>
              <w:right w:type="dxa" w:w="100"/>
            </w:tcMar>
          </w:tcPr>
          <w:p>
            <w:r>
              <w:rPr>
                <w:sz w:val="18"/>
                <w:szCs w:val="18"/>
              </w:rPr>
              <w:t xml:space="preserve">client_category</w:t>
            </w:r>
          </w:p>
        </w:tc>
        <w:tc>
          <w:tcPr>
            <w:tcW w:type="dxa" w:w="4800"/>
            <w:shd w:fill="F2F5FA" w:val="clear"/>
            <w:tcMar>
              <w:top w:type="dxa" w:w="70"/>
              <w:left w:type="dxa" w:w="100"/>
              <w:bottom w:type="dxa" w:w="70"/>
              <w:right w:type="dxa" w:w="100"/>
            </w:tcMar>
          </w:tcPr>
          <w:p>
            <w:r>
              <w:rPr>
                <w:sz w:val="18"/>
                <w:szCs w:val="18"/>
              </w:rPr>
              <w:t xml:space="preserve">Performance split for VIP / Legal / Blacklisted / Whitelisted / HWC customers.</w:t>
            </w:r>
          </w:p>
        </w:tc>
      </w:tr>
      <w:tr>
        <w:tc>
          <w:tcPr>
            <w:tcW w:type="dxa" w:w="2400"/>
            <w:tcMar>
              <w:top w:type="dxa" w:w="70"/>
              <w:left w:type="dxa" w:w="100"/>
              <w:bottom w:type="dxa" w:w="70"/>
              <w:right w:type="dxa" w:w="100"/>
            </w:tcMar>
          </w:tcPr>
          <w:p>
            <w:r>
              <w:rPr>
                <w:sz w:val="18"/>
                <w:szCs w:val="18"/>
              </w:rPr>
              <w:t xml:space="preserve">Sub Category Analysis</w:t>
            </w:r>
          </w:p>
        </w:tc>
        <w:tc>
          <w:tcPr>
            <w:tcW w:type="dxa" w:w="2150"/>
            <w:tcMar>
              <w:top w:type="dxa" w:w="70"/>
              <w:left w:type="dxa" w:w="100"/>
              <w:bottom w:type="dxa" w:w="70"/>
              <w:right w:type="dxa" w:w="100"/>
            </w:tcMar>
          </w:tcPr>
          <w:p>
            <w:r>
              <w:rPr>
                <w:sz w:val="18"/>
                <w:szCs w:val="18"/>
              </w:rPr>
              <w:t xml:space="preserve">sub_category</w:t>
            </w:r>
          </w:p>
        </w:tc>
        <w:tc>
          <w:tcPr>
            <w:tcW w:type="dxa" w:w="4800"/>
            <w:tcMar>
              <w:top w:type="dxa" w:w="70"/>
              <w:left w:type="dxa" w:w="100"/>
              <w:bottom w:type="dxa" w:w="70"/>
              <w:right w:type="dxa" w:w="100"/>
            </w:tcMar>
          </w:tcPr>
          <w:p>
            <w:r>
              <w:rPr>
                <w:sz w:val="18"/>
                <w:szCs w:val="18"/>
              </w:rPr>
              <w:t xml:space="preserve">Volume per granular sub-category.</w:t>
            </w:r>
          </w:p>
        </w:tc>
      </w:tr>
      <w:tr>
        <w:tc>
          <w:tcPr>
            <w:tcW w:type="dxa" w:w="2400"/>
            <w:shd w:fill="F2F5FA" w:val="clear"/>
            <w:tcMar>
              <w:top w:type="dxa" w:w="70"/>
              <w:left w:type="dxa" w:w="100"/>
              <w:bottom w:type="dxa" w:w="70"/>
              <w:right w:type="dxa" w:w="100"/>
            </w:tcMar>
          </w:tcPr>
          <w:p>
            <w:r>
              <w:rPr>
                <w:sz w:val="18"/>
                <w:szCs w:val="18"/>
              </w:rPr>
              <w:t xml:space="preserve">Case Status Analysis</w:t>
            </w:r>
          </w:p>
        </w:tc>
        <w:tc>
          <w:tcPr>
            <w:tcW w:type="dxa" w:w="2150"/>
            <w:shd w:fill="F2F5FA" w:val="clear"/>
            <w:tcMar>
              <w:top w:type="dxa" w:w="70"/>
              <w:left w:type="dxa" w:w="100"/>
              <w:bottom w:type="dxa" w:w="70"/>
              <w:right w:type="dxa" w:w="100"/>
            </w:tcMar>
          </w:tcPr>
          <w:p>
            <w:r>
              <w:rPr>
                <w:sz w:val="18"/>
                <w:szCs w:val="18"/>
              </w:rPr>
              <w:t xml:space="preserve">case_status</w:t>
            </w:r>
          </w:p>
        </w:tc>
        <w:tc>
          <w:tcPr>
            <w:tcW w:type="dxa" w:w="4800"/>
            <w:shd w:fill="F2F5FA" w:val="clear"/>
            <w:tcMar>
              <w:top w:type="dxa" w:w="70"/>
              <w:left w:type="dxa" w:w="100"/>
              <w:bottom w:type="dxa" w:w="70"/>
              <w:right w:type="dxa" w:w="100"/>
            </w:tcMar>
          </w:tcPr>
          <w:p>
            <w:r>
              <w:rPr>
                <w:sz w:val="18"/>
                <w:szCs w:val="18"/>
              </w:rPr>
              <w:t xml:space="preserve">Raw status distribution.</w:t>
            </w:r>
          </w:p>
        </w:tc>
      </w:tr>
      <w:tr>
        <w:tc>
          <w:tcPr>
            <w:tcW w:type="dxa" w:w="2400"/>
            <w:tcMar>
              <w:top w:type="dxa" w:w="70"/>
              <w:left w:type="dxa" w:w="100"/>
              <w:bottom w:type="dxa" w:w="70"/>
              <w:right w:type="dxa" w:w="100"/>
            </w:tcMar>
          </w:tcPr>
          <w:p>
            <w:r>
              <w:rPr>
                <w:sz w:val="18"/>
                <w:szCs w:val="18"/>
              </w:rPr>
              <w:t xml:space="preserve">Case Ageing Analysis</w:t>
            </w:r>
          </w:p>
        </w:tc>
        <w:tc>
          <w:tcPr>
            <w:tcW w:type="dxa" w:w="2150"/>
            <w:tcMar>
              <w:top w:type="dxa" w:w="70"/>
              <w:left w:type="dxa" w:w="100"/>
              <w:bottom w:type="dxa" w:w="70"/>
              <w:right w:type="dxa" w:w="100"/>
            </w:tcMar>
          </w:tcPr>
          <w:p>
            <w:r>
              <w:rPr>
                <w:sz w:val="18"/>
                <w:szCs w:val="18"/>
              </w:rPr>
              <w:t xml:space="preserve">ageing_bucket</w:t>
            </w:r>
          </w:p>
        </w:tc>
        <w:tc>
          <w:tcPr>
            <w:tcW w:type="dxa" w:w="4800"/>
            <w:tcMar>
              <w:top w:type="dxa" w:w="70"/>
              <w:left w:type="dxa" w:w="100"/>
              <w:bottom w:type="dxa" w:w="70"/>
              <w:right w:type="dxa" w:w="100"/>
            </w:tcMar>
          </w:tcPr>
          <w:p>
            <w:r>
              <w:rPr>
                <w:sz w:val="18"/>
                <w:szCs w:val="18"/>
              </w:rPr>
              <w:t xml:space="preserve">Distribution of open cases across ageing buckets.</w:t>
            </w:r>
          </w:p>
        </w:tc>
      </w:tr>
      <w:tr>
        <w:tc>
          <w:tcPr>
            <w:tcW w:type="dxa" w:w="2400"/>
            <w:shd w:fill="F2F5FA" w:val="clear"/>
            <w:tcMar>
              <w:top w:type="dxa" w:w="70"/>
              <w:left w:type="dxa" w:w="100"/>
              <w:bottom w:type="dxa" w:w="70"/>
              <w:right w:type="dxa" w:w="100"/>
            </w:tcMar>
          </w:tcPr>
          <w:p>
            <w:r>
              <w:rPr>
                <w:sz w:val="18"/>
                <w:szCs w:val="18"/>
              </w:rPr>
              <w:t xml:space="preserve">Top 5 / Bottom 5</w:t>
            </w:r>
          </w:p>
        </w:tc>
        <w:tc>
          <w:tcPr>
            <w:tcW w:type="dxa" w:w="2150"/>
            <w:shd w:fill="F2F5FA" w:val="clear"/>
            <w:tcMar>
              <w:top w:type="dxa" w:w="70"/>
              <w:left w:type="dxa" w:w="100"/>
              <w:bottom w:type="dxa" w:w="70"/>
              <w:right w:type="dxa" w:w="100"/>
            </w:tcMar>
          </w:tcPr>
          <w:p>
            <w:r>
              <w:rPr>
                <w:sz w:val="18"/>
                <w:szCs w:val="18"/>
              </w:rPr>
              <w:t xml:space="preserve">project_name, service_category</w:t>
            </w:r>
          </w:p>
        </w:tc>
        <w:tc>
          <w:tcPr>
            <w:tcW w:type="dxa" w:w="4800"/>
            <w:shd w:fill="F2F5FA" w:val="clear"/>
            <w:tcMar>
              <w:top w:type="dxa" w:w="70"/>
              <w:left w:type="dxa" w:w="100"/>
              <w:bottom w:type="dxa" w:w="70"/>
              <w:right w:type="dxa" w:w="100"/>
            </w:tcMar>
          </w:tcPr>
          <w:p>
            <w:r>
              <w:rPr>
                <w:sz w:val="18"/>
                <w:szCs w:val="18"/>
              </w:rPr>
              <w:t xml:space="preserve">Highest- and lowest-volume projects and categories.</w:t>
            </w:r>
          </w:p>
        </w:tc>
      </w:tr>
    </w:tbl>
    <w:p>
      <w:pPr>
        <w:pStyle w:val="Heading2"/>
        <w:spacing w:after="120" w:before="260"/>
      </w:pPr>
      <w:r>
        <w:t xml:space="preserve">Daily Trend</w:t>
      </w:r>
    </w:p>
    <w:p>
      <w:pPr>
        <w:spacing w:after="140"/>
      </w:pPr>
      <w:r>
        <w:t xml:space="preserve">Reproduces and extends the workbook’s “Date Wise summary”, computed fresh from the transactional data (not copied from the sheet). For every day in the Opened Date range it calculates:</w:t>
      </w:r>
    </w:p>
    <w:p>
      <w:pPr>
        <w:pStyle w:val="ListParagraph"/>
        <w:numPr>
          <w:ilvl w:val="0"/>
          <w:numId w:val="1"/>
        </w:numPr>
        <w:spacing w:after="60"/>
      </w:pPr>
      <w:r>
        <w:t xml:space="preserve">Carry Forward — cases opened before that day and still open going into it.</w:t>
      </w:r>
    </w:p>
    <w:p>
      <w:pPr>
        <w:pStyle w:val="ListParagraph"/>
        <w:numPr>
          <w:ilvl w:val="0"/>
          <w:numId w:val="1"/>
        </w:numPr>
        <w:spacing w:after="60"/>
      </w:pPr>
      <w:r>
        <w:t xml:space="preserve">Today Received — cases opened on that day.</w:t>
      </w:r>
    </w:p>
    <w:p>
      <w:pPr>
        <w:pStyle w:val="ListParagraph"/>
        <w:numPr>
          <w:ilvl w:val="0"/>
          <w:numId w:val="1"/>
        </w:numPr>
        <w:spacing w:after="60"/>
      </w:pPr>
      <w:r>
        <w:t xml:space="preserve">Old Resolved / Current Resolved — cases closed that day, split by whether they were opened on an earlier day or the same day.</w:t>
      </w:r>
    </w:p>
    <w:p>
      <w:pPr>
        <w:pStyle w:val="ListParagraph"/>
        <w:numPr>
          <w:ilvl w:val="0"/>
          <w:numId w:val="1"/>
        </w:numPr>
        <w:spacing w:after="60"/>
      </w:pPr>
      <w:r>
        <w:t xml:space="preserve">Total Pending — cases opened on/before that day that remain open as of that day.</w:t>
      </w:r>
    </w:p>
    <w:p>
      <w:pPr>
        <w:pStyle w:val="ListParagraph"/>
        <w:numPr>
          <w:ilvl w:val="0"/>
          <w:numId w:val="1"/>
        </w:numPr>
        <w:spacing w:after="60"/>
      </w:pPr>
      <w:r>
        <w:t xml:space="preserve">%Cont (Recd vs Closed) — total resolved that day ÷ total complaints that day.</w:t>
      </w:r>
    </w:p>
    <w:p>
      <w:pPr>
        <w:spacing w:after="140"/>
      </w:pPr>
      <w:r>
        <w:rPr>
          <w:i/>
          <w:iCs/>
          <w:color w:val="4A5568"/>
          <w:sz w:val="18"/>
          <w:szCs w:val="18"/>
        </w:rPr>
        <w:t xml:space="preserve">This calculation is fully vectorized (no per-row Python loop) so it stays fast even at 500,000+ records.</w:t>
      </w:r>
    </w:p>
    <w:p>
      <w:pPr>
        <w:pStyle w:val="Heading1"/>
        <w:spacing w:after="140" w:before="320"/>
      </w:pPr>
      <w:r>
        <w:t xml:space="preserve">11. Management Attention (Exceptions)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shd w:fill="1F3864" w:val="clear"/>
            <w:tcMar>
              <w:top w:type="dxa" w:w="80"/>
              <w:left w:type="dxa" w:w="100"/>
              <w:bottom w:type="dxa" w:w="80"/>
              <w:right w:type="dxa" w:w="100"/>
            </w:tcMar>
          </w:tcPr>
          <w:p>
            <w:r>
              <w:rPr>
                <w:b/>
                <w:bCs/>
                <w:color w:val="FFFFFF"/>
                <w:sz w:val="18"/>
                <w:szCs w:val="18"/>
              </w:rPr>
              <w:t xml:space="preserve">Area</w:t>
            </w:r>
          </w:p>
        </w:tc>
        <w:tc>
          <w:tcPr>
            <w:tcW w:type="dxa" w:w="6950"/>
            <w:shd w:fill="1F3864" w:val="clear"/>
            <w:tcMar>
              <w:top w:type="dxa" w:w="80"/>
              <w:left w:type="dxa" w:w="100"/>
              <w:bottom w:type="dxa" w:w="80"/>
              <w:right w:type="dxa" w:w="100"/>
            </w:tcMar>
          </w:tcPr>
          <w:p>
            <w:r>
              <w:rPr>
                <w:b/>
                <w:bCs/>
                <w:color w:val="FFFFFF"/>
                <w:sz w:val="18"/>
                <w:szCs w:val="18"/>
              </w:rPr>
              <w:t xml:space="preserve">Definition</w:t>
            </w:r>
          </w:p>
        </w:tc>
      </w:tr>
      <w:tr>
        <w:tc>
          <w:tcPr>
            <w:tcW w:type="dxa" w:w="2400"/>
            <w:tcMar>
              <w:top w:type="dxa" w:w="70"/>
              <w:left w:type="dxa" w:w="100"/>
              <w:bottom w:type="dxa" w:w="70"/>
              <w:right w:type="dxa" w:w="100"/>
            </w:tcMar>
          </w:tcPr>
          <w:p>
            <w:r>
              <w:rPr>
                <w:sz w:val="18"/>
                <w:szCs w:val="18"/>
              </w:rPr>
              <w:t xml:space="preserve">Over 30 Days</w:t>
            </w:r>
          </w:p>
        </w:tc>
        <w:tc>
          <w:tcPr>
            <w:tcW w:type="dxa" w:w="6950"/>
            <w:tcMar>
              <w:top w:type="dxa" w:w="70"/>
              <w:left w:type="dxa" w:w="100"/>
              <w:bottom w:type="dxa" w:w="70"/>
              <w:right w:type="dxa" w:w="100"/>
            </w:tcMar>
          </w:tcPr>
          <w:p>
            <w:r>
              <w:rPr>
                <w:sz w:val="18"/>
                <w:szCs w:val="18"/>
              </w:rPr>
              <w:t xml:space="preserve">Open cases with Case Ageing &gt; 30 days.</w:t>
            </w:r>
          </w:p>
        </w:tc>
      </w:tr>
      <w:tr>
        <w:tc>
          <w:tcPr>
            <w:tcW w:type="dxa" w:w="2400"/>
            <w:shd w:fill="F2F5FA" w:val="clear"/>
            <w:tcMar>
              <w:top w:type="dxa" w:w="70"/>
              <w:left w:type="dxa" w:w="100"/>
              <w:bottom w:type="dxa" w:w="70"/>
              <w:right w:type="dxa" w:w="100"/>
            </w:tcMar>
          </w:tcPr>
          <w:p>
            <w:r>
              <w:rPr>
                <w:sz w:val="18"/>
                <w:szCs w:val="18"/>
              </w:rPr>
              <w:t xml:space="preserve">High Priority Pending</w:t>
            </w:r>
          </w:p>
        </w:tc>
        <w:tc>
          <w:tcPr>
            <w:tcW w:type="dxa" w:w="6950"/>
            <w:shd w:fill="F2F5FA" w:val="clear"/>
            <w:tcMar>
              <w:top w:type="dxa" w:w="70"/>
              <w:left w:type="dxa" w:w="100"/>
              <w:bottom w:type="dxa" w:w="70"/>
              <w:right w:type="dxa" w:w="100"/>
            </w:tcMar>
          </w:tcPr>
          <w:p>
            <w:r>
              <w:rPr>
                <w:sz w:val="18"/>
                <w:szCs w:val="18"/>
              </w:rPr>
              <w:t xml:space="preserve">Open cases whose Priority contains “High”.</w:t>
            </w:r>
          </w:p>
        </w:tc>
      </w:tr>
      <w:tr>
        <w:tc>
          <w:tcPr>
            <w:tcW w:type="dxa" w:w="2400"/>
            <w:tcMar>
              <w:top w:type="dxa" w:w="70"/>
              <w:left w:type="dxa" w:w="100"/>
              <w:bottom w:type="dxa" w:w="70"/>
              <w:right w:type="dxa" w:w="100"/>
            </w:tcMar>
          </w:tcPr>
          <w:p>
            <w:r>
              <w:rPr>
                <w:sz w:val="18"/>
                <w:szCs w:val="18"/>
              </w:rPr>
              <w:t xml:space="preserve">Escalated Open</w:t>
            </w:r>
          </w:p>
        </w:tc>
        <w:tc>
          <w:tcPr>
            <w:tcW w:type="dxa" w:w="6950"/>
            <w:tcMar>
              <w:top w:type="dxa" w:w="70"/>
              <w:left w:type="dxa" w:w="100"/>
              <w:bottom w:type="dxa" w:w="70"/>
              <w:right w:type="dxa" w:w="100"/>
            </w:tcMar>
          </w:tcPr>
          <w:p>
            <w:r>
              <w:rPr>
                <w:sz w:val="18"/>
                <w:szCs w:val="18"/>
              </w:rPr>
              <w:t xml:space="preserve">Open cases flagged is_escalated.</w:t>
            </w:r>
          </w:p>
        </w:tc>
      </w:tr>
      <w:tr>
        <w:tc>
          <w:tcPr>
            <w:tcW w:type="dxa" w:w="2400"/>
            <w:shd w:fill="F2F5FA" w:val="clear"/>
            <w:tcMar>
              <w:top w:type="dxa" w:w="70"/>
              <w:left w:type="dxa" w:w="100"/>
              <w:bottom w:type="dxa" w:w="70"/>
              <w:right w:type="dxa" w:w="100"/>
            </w:tcMar>
          </w:tcPr>
          <w:p>
            <w:r>
              <w:rPr>
                <w:sz w:val="18"/>
                <w:szCs w:val="18"/>
              </w:rPr>
              <w:t xml:space="preserve">Missing Owner</w:t>
            </w:r>
          </w:p>
        </w:tc>
        <w:tc>
          <w:tcPr>
            <w:tcW w:type="dxa" w:w="6950"/>
            <w:shd w:fill="F2F5FA" w:val="clear"/>
            <w:tcMar>
              <w:top w:type="dxa" w:w="70"/>
              <w:left w:type="dxa" w:w="100"/>
              <w:bottom w:type="dxa" w:w="70"/>
              <w:right w:type="dxa" w:w="100"/>
            </w:tcMar>
          </w:tcPr>
          <w:p>
            <w:r>
              <w:rPr>
                <w:sz w:val="18"/>
                <w:szCs w:val="18"/>
              </w:rPr>
              <w:t xml:space="preserve">Cases with no Case Owner assigned.</w:t>
            </w:r>
          </w:p>
        </w:tc>
      </w:tr>
      <w:tr>
        <w:tc>
          <w:tcPr>
            <w:tcW w:type="dxa" w:w="2400"/>
            <w:tcMar>
              <w:top w:type="dxa" w:w="70"/>
              <w:left w:type="dxa" w:w="100"/>
              <w:bottom w:type="dxa" w:w="70"/>
              <w:right w:type="dxa" w:w="100"/>
            </w:tcMar>
          </w:tcPr>
          <w:p>
            <w:r>
              <w:rPr>
                <w:sz w:val="18"/>
                <w:szCs w:val="18"/>
              </w:rPr>
              <w:t xml:space="preserve">Missing Project</w:t>
            </w:r>
          </w:p>
        </w:tc>
        <w:tc>
          <w:tcPr>
            <w:tcW w:type="dxa" w:w="6950"/>
            <w:tcMar>
              <w:top w:type="dxa" w:w="70"/>
              <w:left w:type="dxa" w:w="100"/>
              <w:bottom w:type="dxa" w:w="70"/>
              <w:right w:type="dxa" w:w="100"/>
            </w:tcMar>
          </w:tcPr>
          <w:p>
            <w:r>
              <w:rPr>
                <w:sz w:val="18"/>
                <w:szCs w:val="18"/>
              </w:rPr>
              <w:t xml:space="preserve">Cases with no Project Name assigned.</w:t>
            </w:r>
          </w:p>
        </w:tc>
      </w:tr>
      <w:tr>
        <w:tc>
          <w:tcPr>
            <w:tcW w:type="dxa" w:w="2400"/>
            <w:shd w:fill="F2F5FA" w:val="clear"/>
            <w:tcMar>
              <w:top w:type="dxa" w:w="70"/>
              <w:left w:type="dxa" w:w="100"/>
              <w:bottom w:type="dxa" w:w="70"/>
              <w:right w:type="dxa" w:w="100"/>
            </w:tcMar>
          </w:tcPr>
          <w:p>
            <w:r>
              <w:rPr>
                <w:sz w:val="18"/>
                <w:szCs w:val="18"/>
              </w:rPr>
              <w:t xml:space="preserve">Closed Without Date</w:t>
            </w:r>
          </w:p>
        </w:tc>
        <w:tc>
          <w:tcPr>
            <w:tcW w:type="dxa" w:w="6950"/>
            <w:shd w:fill="F2F5FA" w:val="clear"/>
            <w:tcMar>
              <w:top w:type="dxa" w:w="70"/>
              <w:left w:type="dxa" w:w="100"/>
              <w:bottom w:type="dxa" w:w="70"/>
              <w:right w:type="dxa" w:w="100"/>
            </w:tcMar>
          </w:tcPr>
          <w:p>
            <w:r>
              <w:rPr>
                <w:sz w:val="18"/>
                <w:szCs w:val="18"/>
              </w:rPr>
              <w:t xml:space="preserve">Closed cases with no Closed Date.</w:t>
            </w:r>
          </w:p>
        </w:tc>
      </w:tr>
      <w:tr>
        <w:tc>
          <w:tcPr>
            <w:tcW w:type="dxa" w:w="2400"/>
            <w:tcMar>
              <w:top w:type="dxa" w:w="70"/>
              <w:left w:type="dxa" w:w="100"/>
              <w:bottom w:type="dxa" w:w="70"/>
              <w:right w:type="dxa" w:w="100"/>
            </w:tcMar>
          </w:tcPr>
          <w:p>
            <w:r>
              <w:rPr>
                <w:sz w:val="18"/>
                <w:szCs w:val="18"/>
              </w:rPr>
              <w:t xml:space="preserve">Unusually High TAT</w:t>
            </w:r>
          </w:p>
        </w:tc>
        <w:tc>
          <w:tcPr>
            <w:tcW w:type="dxa" w:w="6950"/>
            <w:tcMar>
              <w:top w:type="dxa" w:w="70"/>
              <w:left w:type="dxa" w:w="100"/>
              <w:bottom w:type="dxa" w:w="70"/>
              <w:right w:type="dxa" w:w="100"/>
            </w:tcMar>
          </w:tcPr>
          <w:p>
            <w:r>
              <w:rPr>
                <w:sz w:val="18"/>
                <w:szCs w:val="18"/>
              </w:rPr>
              <w:t xml:space="preserve">Closed cases with TAT Days above the configured threshold (default 15 days).</w:t>
            </w:r>
          </w:p>
        </w:tc>
      </w:tr>
      <w:tr>
        <w:tc>
          <w:tcPr>
            <w:tcW w:type="dxa" w:w="2400"/>
            <w:shd w:fill="F2F5FA" w:val="clear"/>
            <w:tcMar>
              <w:top w:type="dxa" w:w="70"/>
              <w:left w:type="dxa" w:w="100"/>
              <w:bottom w:type="dxa" w:w="70"/>
              <w:right w:type="dxa" w:w="100"/>
            </w:tcMar>
          </w:tcPr>
          <w:p>
            <w:r>
              <w:rPr>
                <w:sz w:val="18"/>
                <w:szCs w:val="18"/>
              </w:rPr>
              <w:t xml:space="preserve">Missing Mandatory Info</w:t>
            </w:r>
          </w:p>
        </w:tc>
        <w:tc>
          <w:tcPr>
            <w:tcW w:type="dxa" w:w="6950"/>
            <w:shd w:fill="F2F5FA" w:val="clear"/>
            <w:tcMar>
              <w:top w:type="dxa" w:w="70"/>
              <w:left w:type="dxa" w:w="100"/>
              <w:bottom w:type="dxa" w:w="70"/>
              <w:right w:type="dxa" w:w="100"/>
            </w:tcMar>
          </w:tcPr>
          <w:p>
            <w:r>
              <w:rPr>
                <w:sz w:val="18"/>
                <w:szCs w:val="18"/>
              </w:rPr>
              <w:t xml:space="preserve">Cases missing Case Owner, Project Name, or Service Category.</w:t>
            </w:r>
          </w:p>
        </w:tc>
      </w:tr>
    </w:tbl>
    <w:p>
      <w:pPr>
        <w:pStyle w:val="Heading1"/>
        <w:spacing w:after="140" w:before="320"/>
      </w:pPr>
      <w:r>
        <w:t xml:space="preserve">12. Data Quality Checks</w:t>
      </w:r>
    </w:p>
    <w:p>
      <w:pPr>
        <w:spacing w:after="140"/>
      </w:pPr>
      <w:r>
        <w:t xml:space="preserve">The Data Quality Score = (records with none of the issues below) ÷ (total records) × 100.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900"/>
            <w:shd w:fill="1F3864" w:val="clear"/>
            <w:tcMar>
              <w:top w:type="dxa" w:w="80"/>
              <w:left w:type="dxa" w:w="100"/>
              <w:bottom w:type="dxa" w:w="80"/>
              <w:right w:type="dxa" w:w="100"/>
            </w:tcMar>
          </w:tcPr>
          <w:p>
            <w:r>
              <w:rPr>
                <w:b/>
                <w:bCs/>
                <w:color w:val="FFFFFF"/>
                <w:sz w:val="18"/>
                <w:szCs w:val="18"/>
              </w:rPr>
              <w:t xml:space="preserve">Check</w:t>
            </w:r>
          </w:p>
        </w:tc>
        <w:tc>
          <w:tcPr>
            <w:tcW w:type="dxa" w:w="6450"/>
            <w:shd w:fill="1F3864" w:val="clear"/>
            <w:tcMar>
              <w:top w:type="dxa" w:w="80"/>
              <w:left w:type="dxa" w:w="100"/>
              <w:bottom w:type="dxa" w:w="80"/>
              <w:right w:type="dxa" w:w="100"/>
            </w:tcMar>
          </w:tcPr>
          <w:p>
            <w:r>
              <w:rPr>
                <w:b/>
                <w:bCs/>
                <w:color w:val="FFFFFF"/>
                <w:sz w:val="18"/>
                <w:szCs w:val="18"/>
              </w:rPr>
              <w:t xml:space="preserve">Definition</w:t>
            </w:r>
          </w:p>
        </w:tc>
      </w:tr>
      <w:tr>
        <w:tc>
          <w:tcPr>
            <w:tcW w:type="dxa" w:w="2900"/>
            <w:tcMar>
              <w:top w:type="dxa" w:w="70"/>
              <w:left w:type="dxa" w:w="100"/>
              <w:bottom w:type="dxa" w:w="70"/>
              <w:right w:type="dxa" w:w="100"/>
            </w:tcMar>
          </w:tcPr>
          <w:p>
            <w:r>
              <w:rPr>
                <w:sz w:val="18"/>
                <w:szCs w:val="18"/>
              </w:rPr>
              <w:t xml:space="preserve">Blank Case Number</w:t>
            </w:r>
          </w:p>
        </w:tc>
        <w:tc>
          <w:tcPr>
            <w:tcW w:type="dxa" w:w="6450"/>
            <w:tcMar>
              <w:top w:type="dxa" w:w="70"/>
              <w:left w:type="dxa" w:w="100"/>
              <w:bottom w:type="dxa" w:w="70"/>
              <w:right w:type="dxa" w:w="100"/>
            </w:tcMar>
          </w:tcPr>
          <w:p>
            <w:r>
              <w:rPr>
                <w:sz w:val="18"/>
                <w:szCs w:val="18"/>
              </w:rPr>
              <w:t xml:space="preserve">Rows with no case identifier.</w:t>
            </w:r>
          </w:p>
        </w:tc>
      </w:tr>
      <w:tr>
        <w:tc>
          <w:tcPr>
            <w:tcW w:type="dxa" w:w="2900"/>
            <w:shd w:fill="F2F5FA" w:val="clear"/>
            <w:tcMar>
              <w:top w:type="dxa" w:w="70"/>
              <w:left w:type="dxa" w:w="100"/>
              <w:bottom w:type="dxa" w:w="70"/>
              <w:right w:type="dxa" w:w="100"/>
            </w:tcMar>
          </w:tcPr>
          <w:p>
            <w:r>
              <w:rPr>
                <w:sz w:val="18"/>
                <w:szCs w:val="18"/>
              </w:rPr>
              <w:t xml:space="preserve">Duplicate Case Number</w:t>
            </w:r>
          </w:p>
        </w:tc>
        <w:tc>
          <w:tcPr>
            <w:tcW w:type="dxa" w:w="6450"/>
            <w:shd w:fill="F2F5FA" w:val="clear"/>
            <w:tcMar>
              <w:top w:type="dxa" w:w="70"/>
              <w:left w:type="dxa" w:w="100"/>
              <w:bottom w:type="dxa" w:w="70"/>
              <w:right w:type="dxa" w:w="100"/>
            </w:tcMar>
          </w:tcPr>
          <w:p>
            <w:r>
              <w:rPr>
                <w:sz w:val="18"/>
                <w:szCs w:val="18"/>
              </w:rPr>
              <w:t xml:space="preserve">Case numbers appearing more than once.</w:t>
            </w:r>
          </w:p>
        </w:tc>
      </w:tr>
      <w:tr>
        <w:tc>
          <w:tcPr>
            <w:tcW w:type="dxa" w:w="2900"/>
            <w:tcMar>
              <w:top w:type="dxa" w:w="70"/>
              <w:left w:type="dxa" w:w="100"/>
              <w:bottom w:type="dxa" w:w="70"/>
              <w:right w:type="dxa" w:w="100"/>
            </w:tcMar>
          </w:tcPr>
          <w:p>
            <w:r>
              <w:rPr>
                <w:sz w:val="18"/>
                <w:szCs w:val="18"/>
              </w:rPr>
              <w:t xml:space="preserve">Blank Project</w:t>
            </w:r>
          </w:p>
        </w:tc>
        <w:tc>
          <w:tcPr>
            <w:tcW w:type="dxa" w:w="6450"/>
            <w:tcMar>
              <w:top w:type="dxa" w:w="70"/>
              <w:left w:type="dxa" w:w="100"/>
              <w:bottom w:type="dxa" w:w="70"/>
              <w:right w:type="dxa" w:w="100"/>
            </w:tcMar>
          </w:tcPr>
          <w:p>
            <w:r>
              <w:rPr>
                <w:sz w:val="18"/>
                <w:szCs w:val="18"/>
              </w:rPr>
              <w:t xml:space="preserve">Rows with no Project Name.</w:t>
            </w:r>
          </w:p>
        </w:tc>
      </w:tr>
      <w:tr>
        <w:tc>
          <w:tcPr>
            <w:tcW w:type="dxa" w:w="2900"/>
            <w:shd w:fill="F2F5FA" w:val="clear"/>
            <w:tcMar>
              <w:top w:type="dxa" w:w="70"/>
              <w:left w:type="dxa" w:w="100"/>
              <w:bottom w:type="dxa" w:w="70"/>
              <w:right w:type="dxa" w:w="100"/>
            </w:tcMar>
          </w:tcPr>
          <w:p>
            <w:r>
              <w:rPr>
                <w:sz w:val="18"/>
                <w:szCs w:val="18"/>
              </w:rPr>
              <w:t xml:space="preserve">Blank Case Owner</w:t>
            </w:r>
          </w:p>
        </w:tc>
        <w:tc>
          <w:tcPr>
            <w:tcW w:type="dxa" w:w="6450"/>
            <w:shd w:fill="F2F5FA" w:val="clear"/>
            <w:tcMar>
              <w:top w:type="dxa" w:w="70"/>
              <w:left w:type="dxa" w:w="100"/>
              <w:bottom w:type="dxa" w:w="70"/>
              <w:right w:type="dxa" w:w="100"/>
            </w:tcMar>
          </w:tcPr>
          <w:p>
            <w:r>
              <w:rPr>
                <w:sz w:val="18"/>
                <w:szCs w:val="18"/>
              </w:rPr>
              <w:t xml:space="preserve">Rows with no Case Owner.</w:t>
            </w:r>
          </w:p>
        </w:tc>
      </w:tr>
      <w:tr>
        <w:tc>
          <w:tcPr>
            <w:tcW w:type="dxa" w:w="2900"/>
            <w:tcMar>
              <w:top w:type="dxa" w:w="70"/>
              <w:left w:type="dxa" w:w="100"/>
              <w:bottom w:type="dxa" w:w="70"/>
              <w:right w:type="dxa" w:w="100"/>
            </w:tcMar>
          </w:tcPr>
          <w:p>
            <w:r>
              <w:rPr>
                <w:sz w:val="18"/>
                <w:szCs w:val="18"/>
              </w:rPr>
              <w:t xml:space="preserve">Blank Service Category</w:t>
            </w:r>
          </w:p>
        </w:tc>
        <w:tc>
          <w:tcPr>
            <w:tcW w:type="dxa" w:w="6450"/>
            <w:tcMar>
              <w:top w:type="dxa" w:w="70"/>
              <w:left w:type="dxa" w:w="100"/>
              <w:bottom w:type="dxa" w:w="70"/>
              <w:right w:type="dxa" w:w="100"/>
            </w:tcMar>
          </w:tcPr>
          <w:p>
            <w:r>
              <w:rPr>
                <w:sz w:val="18"/>
                <w:szCs w:val="18"/>
              </w:rPr>
              <w:t xml:space="preserve">Rows with no Service Category.</w:t>
            </w:r>
          </w:p>
        </w:tc>
      </w:tr>
      <w:tr>
        <w:tc>
          <w:tcPr>
            <w:tcW w:type="dxa" w:w="2900"/>
            <w:shd w:fill="F2F5FA" w:val="clear"/>
            <w:tcMar>
              <w:top w:type="dxa" w:w="70"/>
              <w:left w:type="dxa" w:w="100"/>
              <w:bottom w:type="dxa" w:w="70"/>
              <w:right w:type="dxa" w:w="100"/>
            </w:tcMar>
          </w:tcPr>
          <w:p>
            <w:r>
              <w:rPr>
                <w:sz w:val="18"/>
                <w:szCs w:val="18"/>
              </w:rPr>
              <w:t xml:space="preserve">Invalid Opened Date</w:t>
            </w:r>
          </w:p>
        </w:tc>
        <w:tc>
          <w:tcPr>
            <w:tcW w:type="dxa" w:w="6450"/>
            <w:shd w:fill="F2F5FA" w:val="clear"/>
            <w:tcMar>
              <w:top w:type="dxa" w:w="70"/>
              <w:left w:type="dxa" w:w="100"/>
              <w:bottom w:type="dxa" w:w="70"/>
              <w:right w:type="dxa" w:w="100"/>
            </w:tcMar>
          </w:tcPr>
          <w:p>
            <w:r>
              <w:rPr>
                <w:sz w:val="18"/>
                <w:szCs w:val="18"/>
              </w:rPr>
              <w:t xml:space="preserve">Rows where Opened Date could not be parsed.</w:t>
            </w:r>
          </w:p>
        </w:tc>
      </w:tr>
      <w:tr>
        <w:tc>
          <w:tcPr>
            <w:tcW w:type="dxa" w:w="2900"/>
            <w:tcMar>
              <w:top w:type="dxa" w:w="70"/>
              <w:left w:type="dxa" w:w="100"/>
              <w:bottom w:type="dxa" w:w="70"/>
              <w:right w:type="dxa" w:w="100"/>
            </w:tcMar>
          </w:tcPr>
          <w:p>
            <w:r>
              <w:rPr>
                <w:sz w:val="18"/>
                <w:szCs w:val="18"/>
              </w:rPr>
              <w:t xml:space="preserve">Invalid / Missing Closed Date</w:t>
            </w:r>
          </w:p>
        </w:tc>
        <w:tc>
          <w:tcPr>
            <w:tcW w:type="dxa" w:w="6450"/>
            <w:tcMar>
              <w:top w:type="dxa" w:w="70"/>
              <w:left w:type="dxa" w:w="100"/>
              <w:bottom w:type="dxa" w:w="70"/>
              <w:right w:type="dxa" w:w="100"/>
            </w:tcMar>
          </w:tcPr>
          <w:p>
            <w:r>
              <w:rPr>
                <w:sz w:val="18"/>
                <w:szCs w:val="18"/>
              </w:rPr>
              <w:t xml:space="preserve">Closed cases with no Closed Date.</w:t>
            </w:r>
          </w:p>
        </w:tc>
      </w:tr>
      <w:tr>
        <w:tc>
          <w:tcPr>
            <w:tcW w:type="dxa" w:w="2900"/>
            <w:shd w:fill="F2F5FA" w:val="clear"/>
            <w:tcMar>
              <w:top w:type="dxa" w:w="70"/>
              <w:left w:type="dxa" w:w="100"/>
              <w:bottom w:type="dxa" w:w="70"/>
              <w:right w:type="dxa" w:w="100"/>
            </w:tcMar>
          </w:tcPr>
          <w:p>
            <w:r>
              <w:rPr>
                <w:sz w:val="18"/>
                <w:szCs w:val="18"/>
              </w:rPr>
              <w:t xml:space="preserve">Open With Closed Date Set</w:t>
            </w:r>
          </w:p>
        </w:tc>
        <w:tc>
          <w:tcPr>
            <w:tcW w:type="dxa" w:w="6450"/>
            <w:shd w:fill="F2F5FA" w:val="clear"/>
            <w:tcMar>
              <w:top w:type="dxa" w:w="70"/>
              <w:left w:type="dxa" w:w="100"/>
              <w:bottom w:type="dxa" w:w="70"/>
              <w:right w:type="dxa" w:w="100"/>
            </w:tcMar>
          </w:tcPr>
          <w:p>
            <w:r>
              <w:rPr>
                <w:sz w:val="18"/>
                <w:szCs w:val="18"/>
              </w:rPr>
              <w:t xml:space="preserve">Cases still marked Open but carrying a Closed Date.</w:t>
            </w:r>
          </w:p>
        </w:tc>
      </w:tr>
      <w:tr>
        <w:tc>
          <w:tcPr>
            <w:tcW w:type="dxa" w:w="2900"/>
            <w:tcMar>
              <w:top w:type="dxa" w:w="70"/>
              <w:left w:type="dxa" w:w="100"/>
              <w:bottom w:type="dxa" w:w="70"/>
              <w:right w:type="dxa" w:w="100"/>
            </w:tcMar>
          </w:tcPr>
          <w:p>
            <w:r>
              <w:rPr>
                <w:sz w:val="18"/>
                <w:szCs w:val="18"/>
              </w:rPr>
              <w:t xml:space="preserve">Negative TAT</w:t>
            </w:r>
          </w:p>
        </w:tc>
        <w:tc>
          <w:tcPr>
            <w:tcW w:type="dxa" w:w="6450"/>
            <w:tcMar>
              <w:top w:type="dxa" w:w="70"/>
              <w:left w:type="dxa" w:w="100"/>
              <w:bottom w:type="dxa" w:w="70"/>
              <w:right w:type="dxa" w:w="100"/>
            </w:tcMar>
          </w:tcPr>
          <w:p>
            <w:r>
              <w:rPr>
                <w:sz w:val="18"/>
                <w:szCs w:val="18"/>
              </w:rPr>
              <w:t xml:space="preserve">TAT Days less than zero (Closed Date earlier than Opened Date).</w:t>
            </w:r>
          </w:p>
        </w:tc>
      </w:tr>
      <w:tr>
        <w:tc>
          <w:tcPr>
            <w:tcW w:type="dxa" w:w="2900"/>
            <w:shd w:fill="F2F5FA" w:val="clear"/>
            <w:tcMar>
              <w:top w:type="dxa" w:w="70"/>
              <w:left w:type="dxa" w:w="100"/>
              <w:bottom w:type="dxa" w:w="70"/>
              <w:right w:type="dxa" w:w="100"/>
            </w:tcMar>
          </w:tcPr>
          <w:p>
            <w:r>
              <w:rPr>
                <w:sz w:val="18"/>
                <w:szCs w:val="18"/>
              </w:rPr>
              <w:t xml:space="preserve">Missing SLAB</w:t>
            </w:r>
          </w:p>
        </w:tc>
        <w:tc>
          <w:tcPr>
            <w:tcW w:type="dxa" w:w="6450"/>
            <w:shd w:fill="F2F5FA" w:val="clear"/>
            <w:tcMar>
              <w:top w:type="dxa" w:w="70"/>
              <w:left w:type="dxa" w:w="100"/>
              <w:bottom w:type="dxa" w:w="70"/>
              <w:right w:type="dxa" w:w="100"/>
            </w:tcMar>
          </w:tcPr>
          <w:p>
            <w:r>
              <w:rPr>
                <w:sz w:val="18"/>
                <w:szCs w:val="18"/>
              </w:rPr>
              <w:t xml:space="preserve">Rows with no SLA bucket assigned.</w:t>
            </w:r>
          </w:p>
        </w:tc>
      </w:tr>
      <w:tr>
        <w:tc>
          <w:tcPr>
            <w:tcW w:type="dxa" w:w="2900"/>
            <w:tcMar>
              <w:top w:type="dxa" w:w="70"/>
              <w:left w:type="dxa" w:w="100"/>
              <w:bottom w:type="dxa" w:w="70"/>
              <w:right w:type="dxa" w:w="100"/>
            </w:tcMar>
          </w:tcPr>
          <w:p>
            <w:r>
              <w:rPr>
                <w:sz w:val="18"/>
                <w:szCs w:val="18"/>
              </w:rPr>
              <w:t xml:space="preserve">Missing HOD</w:t>
            </w:r>
          </w:p>
        </w:tc>
        <w:tc>
          <w:tcPr>
            <w:tcW w:type="dxa" w:w="6450"/>
            <w:tcMar>
              <w:top w:type="dxa" w:w="70"/>
              <w:left w:type="dxa" w:w="100"/>
              <w:bottom w:type="dxa" w:w="70"/>
              <w:right w:type="dxa" w:w="100"/>
            </w:tcMar>
          </w:tcPr>
          <w:p>
            <w:r>
              <w:rPr>
                <w:sz w:val="18"/>
                <w:szCs w:val="18"/>
              </w:rPr>
              <w:t xml:space="preserve">Rows with no HOD assigned.</w:t>
            </w:r>
          </w:p>
        </w:tc>
      </w:tr>
      <w:tr>
        <w:tc>
          <w:tcPr>
            <w:tcW w:type="dxa" w:w="2900"/>
            <w:shd w:fill="F2F5FA" w:val="clear"/>
            <w:tcMar>
              <w:top w:type="dxa" w:w="70"/>
              <w:left w:type="dxa" w:w="100"/>
              <w:bottom w:type="dxa" w:w="70"/>
              <w:right w:type="dxa" w:w="100"/>
            </w:tcMar>
          </w:tcPr>
          <w:p>
            <w:r>
              <w:rPr>
                <w:sz w:val="18"/>
                <w:szCs w:val="18"/>
              </w:rPr>
              <w:t xml:space="preserve">Missing Team Leader</w:t>
            </w:r>
          </w:p>
        </w:tc>
        <w:tc>
          <w:tcPr>
            <w:tcW w:type="dxa" w:w="6450"/>
            <w:shd w:fill="F2F5FA" w:val="clear"/>
            <w:tcMar>
              <w:top w:type="dxa" w:w="70"/>
              <w:left w:type="dxa" w:w="100"/>
              <w:bottom w:type="dxa" w:w="70"/>
              <w:right w:type="dxa" w:w="100"/>
            </w:tcMar>
          </w:tcPr>
          <w:p>
            <w:r>
              <w:rPr>
                <w:sz w:val="18"/>
                <w:szCs w:val="18"/>
              </w:rPr>
              <w:t xml:space="preserve">Rows with no Team Leader assigned.</w:t>
            </w:r>
          </w:p>
        </w:tc>
      </w:tr>
    </w:tbl>
    <w:p>
      <w:r>
        <w:br w:type="page"/>
      </w:r>
    </w:p>
    <w:p>
      <w:pPr>
        <w:pStyle w:val="Heading1"/>
        <w:spacing w:after="140" w:before="320"/>
      </w:pPr>
      <w:r>
        <w:t xml:space="preserve">13. Filters</w:t>
      </w:r>
    </w:p>
    <w:p>
      <w:pPr>
        <w:spacing w:after="140"/>
      </w:pPr>
      <w:r>
        <w:t xml:space="preserve">Every dimension below supports multi-select. Selecting several values within one dimension is an OR (e.g. Project = Crown OR Capital); selections across different dimensions combine with AND (e.g. (Project = Crown OR Capital) AND (Priority = High)). A Date Range filter on Opened Date is also available. The Active Filters bar shows every selection as a removable chip, plus a one-click Reset All.</w:t>
      </w:r>
    </w:p>
    <w:p>
      <w:pPr>
        <w:spacing w:after="140"/>
      </w:pPr>
      <w:r>
        <w:t xml:space="preserve">Project, Month, and Year options are the union of the current upload and the master lists maintained on the Manage Lists screen (Section 15) — so a project with zero current cases can still be selected, e.g. to confirm there are none.</w:t>
      </w:r>
    </w:p>
    <w:p>
      <w:pPr>
        <w:pStyle w:val="ListParagraph"/>
        <w:numPr>
          <w:ilvl w:val="0"/>
          <w:numId w:val="1"/>
        </w:numPr>
        <w:spacing w:after="60"/>
      </w:pPr>
      <w:r>
        <w:t xml:space="preserve">Project Name, Case Status, Updated Status, Priority, Service Category, M_Category, Sub Category</w:t>
      </w:r>
    </w:p>
    <w:p>
      <w:pPr>
        <w:pStyle w:val="ListParagraph"/>
        <w:numPr>
          <w:ilvl w:val="0"/>
          <w:numId w:val="1"/>
        </w:numPr>
        <w:spacing w:after="60"/>
      </w:pPr>
      <w:r>
        <w:t xml:space="preserve">Case Owner, Team Leader, HOD, Client Category, Case Source, Case Type</w:t>
      </w:r>
    </w:p>
    <w:p>
      <w:pPr>
        <w:pStyle w:val="ListParagraph"/>
        <w:numPr>
          <w:ilvl w:val="0"/>
          <w:numId w:val="1"/>
        </w:numPr>
        <w:spacing w:after="60"/>
      </w:pPr>
      <w:r>
        <w:t xml:space="preserve">Escalation, SLAB, IA Status, Year, Month, Received Today?, Closed Same Day?</w:t>
      </w:r>
    </w:p>
    <w:p>
      <w:pPr>
        <w:pStyle w:val="Heading1"/>
        <w:spacing w:after="140" w:before="320"/>
      </w:pPr>
      <w:r>
        <w:t xml:space="preserve">14. Exports</w:t>
      </w:r>
    </w:p>
    <w:p>
      <w:pPr>
        <w:pStyle w:val="Heading2"/>
        <w:spacing w:after="120" w:before="260"/>
      </w:pPr>
      <w:r>
        <w:t xml:space="preserve">Excel Report (Download Excel)</w:t>
      </w:r>
    </w:p>
    <w:p>
      <w:pPr>
        <w:spacing w:after="140"/>
      </w:pPr>
      <w:r>
        <w:t xml:space="preserve">A formatted, multi-sheet workbook built from whatever is currently filtered on screen: Executive Summary, Filter Summary, Project Analysis, Category Analysis, SLA Analysis, Date Wise Analysis, Monthly Analysis, Owner Analysis, HOD/TL Analysis, and Detailed Data — with frozen header rows, auto-sized columns, and a formatted data table.</w:t>
      </w:r>
    </w:p>
    <w:p>
      <w:pPr>
        <w:pStyle w:val="Heading2"/>
        <w:spacing w:after="120" w:before="260"/>
      </w:pPr>
      <w:r>
        <w:t xml:space="preserve">PDF Report (Download PDF Report)</w:t>
      </w:r>
    </w:p>
    <w:p>
      <w:pPr>
        <w:spacing w:after="140"/>
      </w:pPr>
      <w:r>
        <w:t xml:space="preserve">A complete multi-page report: executive dashboard, project analysis, category/SLA analysis, daily/monthly trend charts, priority/escalation analysis, owner/TL/HOD analysis, data quality, and management attention.</w:t>
      </w:r>
    </w:p>
    <w:p>
      <w:pPr>
        <w:pStyle w:val="Heading2"/>
        <w:spacing w:after="120" w:before="260"/>
      </w:pPr>
      <w:r>
        <w:t xml:space="preserve">Executive One-Pager (Download One-Pager)</w:t>
      </w:r>
    </w:p>
    <w:p>
      <w:pPr>
        <w:spacing w:after="140"/>
      </w:pPr>
      <w:r>
        <w:t xml:space="preserve">A single printable page — KPI cards, top-project and category charts, the received-vs-resolved trend, SLA distribution, management attention, and key insights — designed for a quick daily/weekly leadership read.</w:t>
      </w:r>
    </w:p>
    <w:p>
      <w:r>
        <w:br w:type="page"/>
      </w:r>
    </w:p>
    <w:p>
      <w:pPr>
        <w:pStyle w:val="Heading1"/>
        <w:spacing w:after="140" w:before="320"/>
      </w:pPr>
      <w:r>
        <w:t xml:space="preserve">15. Manage Lists (Admin Screen)</w:t>
      </w:r>
    </w:p>
    <w:p>
      <w:pPr>
        <w:spacing w:after="140"/>
      </w:pPr>
      <w:r>
        <w:t xml:space="preserve">A “Manage Lists” tab in the main navigation lets an authorized user maintain the data that drives the Project/Month/Year filter dropdowns and the Category → M_Category lookup (Section 6), without touching this document or the application's source code.</w:t>
      </w:r>
    </w:p>
    <w:p>
      <w:pPr>
        <w:pStyle w:val="Heading2"/>
        <w:spacing w:after="120" w:before="260"/>
      </w:pPr>
      <w:r>
        <w:t xml:space="preserve">Viewer vs Admin</w:t>
      </w:r>
    </w:p>
    <w:p>
      <w:pPr>
        <w:spacing w:after="140"/>
      </w:pPr>
      <w:r>
        <w:t xml:space="preserve">By default the screen opens in read-only Viewer mode — anyone can see the current lists and mapping, but cannot change them. Clicking “Unlock Admin to Edit” prompts for a passcode; entering it correctly switches the whole app into Admin mode (shown by a green “Admin” badge in the header) until it is switched back with “Switch to Viewer” or the app is restarted.</w:t>
      </w:r>
    </w:p>
    <w:p>
      <w:pPr>
        <w:spacing w:after="140"/>
      </w:pPr>
      <w:r>
        <w:rPr>
          <w:i/>
          <w:iCs/>
          <w:color w:val="4A5568"/>
          <w:sz w:val="18"/>
          <w:szCs w:val="18"/>
        </w:rPr>
        <w:t xml:space="preserve">The default passcode is m3madmin, set in CONFIG["admin_passcode"] near the top of the application's embedded engine module — change it there and rebuild if a different passcode is wanted. This is intentionally lightweight access control appropriate for a local, single-user desktop tool, not enterprise authentication: anyone with access to the application's source (or this document) can see or change the passcode. It exists to prevent accidental edits, not to secure sensitive data.</w:t>
      </w:r>
    </w:p>
    <w:p>
      <w:pPr>
        <w:pStyle w:val="Heading2"/>
        <w:spacing w:after="120" w:before="260"/>
      </w:pPr>
      <w:r>
        <w:t xml:space="preserve">What Can Be Edited</w:t>
      </w:r>
    </w:p>
    <w:p>
      <w:pPr>
        <w:pStyle w:val="ListParagraph"/>
        <w:numPr>
          <w:ilvl w:val="0"/>
          <w:numId w:val="1"/>
        </w:numPr>
        <w:spacing w:after="60"/>
      </w:pPr>
      <w:r>
        <w:t xml:space="preserve">Category → M_Category mapping — add, edit, or remove rows in place.</w:t>
      </w:r>
    </w:p>
    <w:p>
      <w:pPr>
        <w:pStyle w:val="ListParagraph"/>
        <w:numPr>
          <w:ilvl w:val="0"/>
          <w:numId w:val="1"/>
        </w:numPr>
        <w:spacing w:after="60"/>
      </w:pPr>
      <w:r>
        <w:t xml:space="preserve">Project, Month, and Year lists — edit as one value per line.</w:t>
      </w:r>
    </w:p>
    <w:p>
      <w:pPr>
        <w:pStyle w:val="ListParagraph"/>
        <w:numPr>
          <w:ilvl w:val="0"/>
          <w:numId w:val="1"/>
        </w:numPr>
        <w:spacing w:after="60"/>
      </w:pPr>
      <w:r>
        <w:t xml:space="preserve">Upload Replacement LIST.xlsx — replaces the entire list/mapping in one step, using the same header-based detection as the main data upload (columns named Project, Month, Year, Category, M_Category are found by name, not position).</w:t>
      </w:r>
    </w:p>
    <w:p>
      <w:pPr>
        <w:spacing w:after="140"/>
      </w:pPr>
      <w:r>
        <w:t xml:space="preserve">Saving any change immediately re-applies the Category mapping to the currently loaded data and refreshes the dashboard — M_Category values update everywhere without needing to re-upload the Compile M3M Data workbook.</w:t>
      </w:r>
    </w:p>
    <w:p>
      <w:pPr>
        <w:pStyle w:val="Heading1"/>
        <w:spacing w:after="140" w:before="320"/>
      </w:pPr>
      <w:r>
        <w:t xml:space="preserve">16. Customizing Business Rules</w:t>
      </w:r>
    </w:p>
    <w:p>
      <w:pPr>
        <w:spacing w:after="140"/>
      </w:pPr>
      <w:r>
        <w:t xml:space="preserve">Everything in Sections 5–12 is controlled from a single CONFIG dictionary and a FIELD_ALIASES list near the top of the application’s embedded “engine” module — nothing is hard-coded inline in the calculation logic. To change, for example, the SLA target, the “unusually high TAT” threshold, the admin passcode, or the wording an uploaded workbook must match for a given field, edit the corresponding entry there; the rest of the application (KPIs, RAG colors, reports, exports) will pick up the change automatically on the next upload.</w:t>
      </w:r>
    </w:p>
    <w:p>
      <w:pPr>
        <w:pStyle w:val="Heading1"/>
        <w:spacing w:after="140" w:before="320"/>
      </w:pPr>
      <w:r>
        <w:t xml:space="preserve">17. Data Privacy</w:t>
      </w:r>
    </w:p>
    <w:p>
      <w:pPr>
        <w:spacing w:after="140"/>
      </w:pPr>
      <w:r>
        <w:t xml:space="preserve">This application runs entirely on the local machine. Uploaded workbooks are processed in memory only and are never written to disk, sent to any external server, or retained after the app is closed. No database, cloud service, or internet connection is required once the one-time Python package installation is complete.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568"/>
        <w:sz w:val="15"/>
        <w:szCs w:val="15"/>
      </w:rPr>
      <w:t xml:space="preserve">Page </w:t>
    </w:r>
    <w:r>
      <w:rPr>
        <w:color w:val="4A556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5568"/>
        <w:sz w:val="15"/>
        <w:szCs w:val="15"/>
      </w:rPr>
      <w:t xml:space="preserve">M3M Customer Complaint MIS — Field Mapping &amp; Reference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2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9B8E" w:sz="8" w:space="4"/>
      </w:pBdr>
      <w:spacing w:after="14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2026-09-08T06:47:52.932Z</dcterms:created>
  <dcterms:modified xsi:type="dcterms:W3CDTF">2026-09-08T06:47:52.933Z</dcterms:modified>
</cp:coreProperties>
</file>

<file path=docProps/custom.xml><?xml version="1.0" encoding="utf-8"?>
<Properties xmlns="http://schemas.openxmlformats.org/officeDocument/2006/custom-properties" xmlns:vt="http://schemas.openxmlformats.org/officeDocument/2006/docPropsVTypes"/>
</file>