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  <w:bidi w:val="1"/>
      </w:pPr>
      <w:r>
        <w:rPr>
          <w:rFonts w:ascii="Arial" w:hAnsi="Arial" w:cs="Arial"/>
          <w:b/>
          <w:color w:val="1F4D78"/>
          <w:sz w:val="42"/>
          <w:rtl w:val="1"/>
        </w:rPr>
        <w:t>טיוטת Review ל-CTO</w:t>
      </w:r>
    </w:p>
    <w:p>
      <w:pPr>
        <w:spacing w:after="160"/>
        <w:jc w:val="right"/>
        <w:bidi w:val="1"/>
      </w:pPr>
      <w:r>
        <w:rPr>
          <w:rFonts w:ascii="Arial" w:hAnsi="Arial" w:cs="Arial"/>
          <w:b w:val="0"/>
          <w:color w:val="596068"/>
          <w:sz w:val="25"/>
          <w:rtl w:val="1"/>
        </w:rPr>
        <w:t>תנאים חוזיים מוצעים להעברה ל-Indicator</w:t>
      </w:r>
    </w:p>
    <w:p>
      <w:pPr>
        <w:spacing w:after="200"/>
        <w:jc w:val="right"/>
        <w:bidi w:val="1"/>
      </w:pPr>
      <w:r>
        <w:rPr>
          <w:rFonts w:ascii="Arial" w:hAnsi="Arial" w:cs="Arial"/>
          <w:b/>
          <w:color w:val="1F4D78"/>
          <w:sz w:val="21"/>
          <w:rtl w:val="1"/>
        </w:rPr>
        <w:t xml:space="preserve">החלטה מוצעת: </w:t>
      </w:r>
      <w:r>
        <w:rPr>
          <w:rFonts w:ascii="Arial" w:hAnsi="Arial" w:cs="Arial"/>
          <w:b w:val="0"/>
          <w:color w:val="1C2733"/>
          <w:sz w:val="21"/>
          <w:rtl w:val="1"/>
        </w:rPr>
        <w:t>להעביר שמונה תנאים ל-Indicator לאחר אישור; להשאיר את סעיף 13.4 ב-Contracts בלבד.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00"/>
        <w:gridCol w:w="2500"/>
        <w:gridCol w:w="2500"/>
        <w:gridCol w:w="34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  <w:rtl w:val="1"/>
              </w:rPr>
              <w:t>סעיף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  <w:rtl w:val="1"/>
              </w:rPr>
              <w:t>תנאי חוזי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  <w:rtl w:val="1"/>
              </w:rPr>
              <w:t>אירוע מפעיל ודדליין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1F4D78"/>
                <w:sz w:val="19"/>
                <w:rtl w:val="1"/>
              </w:rPr>
              <w:t>החלטה מוצעת ונקודת Review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3.6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הכנת לוח זמנים מפורט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חתימת החוזה</w:t>
              <w:br/>
              <w:t>10 ימים קלנדריים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לוודא שהחתימה מתועדת.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3.8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תגבור צוות עובדים לפי דרישת המזמין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דרישה מפורשת של המזמין</w:t>
              <w:br/>
              <w:t>2 ימי עבודה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נדרש לוח חגים וזיהוי דרישה אופרטיבית.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8.2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תקופת בדק לטיב העבודות והחומרים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סיום כלל העבודות</w:t>
              <w:br/>
              <w:t>12 חודשים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לקבע אירוע סיום קנוני.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8.5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החזר הוצאות למזמין בגין תיקון ליקויים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דרישה ראשונה של המזמין</w:t>
              <w:br/>
              <w:t>7 ימים קלנדריים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ה-trigger הוא דרישה מתועדת.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8.10.2.1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תיקון פגם במערכות תומכות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קבלת הודעת המפקח</w:t>
              <w:br/>
              <w:t>12 שעות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SLA קצר: לזהות מועד קבלה.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8.10.2.1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תיקון פגם במערכות רלוונטיות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קבלת הודעת המפקח</w:t>
              <w:br/>
              <w:t>7 ימים קלנדריים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רשומה נפרדת משום שהמשך שונה.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8.10.2.4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בדיקה נוספת של טיב העבודות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מסירת תעודת השלמה</w:t>
              <w:br/>
              <w:t>24 חודשים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לאשר אם חלק פרויקט יוצר תנאי נפרד.</w:t>
            </w:r>
          </w:p>
        </w:tc>
      </w:tr>
      <w:tr>
        <w:tc>
          <w:tcPr>
            <w:tcW w:type="dxa" w:w="900"/>
            <w:shd w:fill="F7F3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13.4</w:t>
            </w:r>
          </w:p>
        </w:tc>
        <w:tc>
          <w:tcPr>
            <w:tcW w:type="dxa" w:w="2500"/>
            <w:shd w:fill="F7F3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איסור פנייה ללקוחות המזמינה</w:t>
            </w:r>
          </w:p>
        </w:tc>
        <w:tc>
          <w:tcPr>
            <w:tcW w:type="dxa" w:w="2500"/>
            <w:shd w:fill="F7F3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סיום ההתקשרות</w:t>
              <w:br/>
              <w:t>6 חודשים</w:t>
            </w:r>
          </w:p>
        </w:tc>
        <w:tc>
          <w:tcPr>
            <w:tcW w:type="dxa" w:w="3460"/>
            <w:shd w:fill="F7F3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לא להעביר.</w:t>
              <w:br/>
              <w:t>התחייבות מסחרית/משפטית, לא תפעולית.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15.3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חזקת מסירה בדואר רשום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תאריך המשלוח</w:t>
              <w:br/>
              <w:t>5 ימים קלנדריים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C2733"/>
                <w:sz w:val="19"/>
                <w:rtl w:val="1"/>
              </w:rPr>
              <w:t>להעביר ל-Indicator.</w:t>
              <w:br/>
              <w:t>נדרש מקור משלוח מהימן.</w:t>
            </w:r>
          </w:p>
        </w:tc>
      </w:tr>
    </w:tbl>
    <w:p>
      <w:pPr>
        <w:spacing w:before="200" w:after="0" w:line="269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  <w:rtl w:val="1"/>
        </w:rPr>
        <w:t xml:space="preserve">לאחר אישור: </w:t>
      </w:r>
      <w:r>
        <w:rPr>
          <w:rFonts w:ascii="Arial" w:hAnsi="Arial" w:cs="Arial"/>
          <w:b w:val="0"/>
          <w:color w:val="1C2733"/>
          <w:sz w:val="21"/>
          <w:rtl w:val="1"/>
        </w:rPr>
        <w:t>לכל תנאי מאושר תיווצר רשומת pending בטבלת היעד. ה-Indicator נשאר אחראי לזיהוי האירוע ולחישוב התאריך בפועל.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b w:val="0"/>
        <w:color w:val="596068"/>
        <w:sz w:val="17"/>
        <w:rtl w:val="1"/>
      </w:rPr>
      <w:t>טיוטה פנימית - לדיון ואישור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 w:val="0"/>
        <w:color w:val="596068"/>
        <w:sz w:val="17"/>
        <w:rtl w:val="1"/>
      </w:rPr>
      <w:t>BiDoc | Contracts → Indicator →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טיוטת Review ל-CTO - תנאים חוזיים ל-Indicator (טבלה)</dc:title>
  <dc:subject>Contracts → Indicator → Schedule</dc:subject>
  <dc:creator>BiDoc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