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right"/>
        <w:bidi w:val="1"/>
      </w:pPr>
      <w:r>
        <w:rPr>
          <w:rFonts w:ascii="Arial" w:hAnsi="Arial" w:cs="Arial"/>
          <w:b/>
          <w:color w:val="1F4D78"/>
          <w:sz w:val="44"/>
          <w:rtl w:val="1"/>
        </w:rPr>
        <w:t>טיוטת Review ל-CTO</w:t>
      </w:r>
    </w:p>
    <w:p>
      <w:pPr>
        <w:spacing w:before="0" w:after="200" w:line="240" w:lineRule="auto"/>
        <w:jc w:val="right"/>
        <w:bidi w:val="1"/>
      </w:pPr>
      <w:r>
        <w:rPr>
          <w:rFonts w:ascii="Arial" w:hAnsi="Arial" w:cs="Arial"/>
          <w:b w:val="0"/>
          <w:color w:val="596068"/>
          <w:sz w:val="26"/>
          <w:rtl w:val="1"/>
        </w:rPr>
        <w:t>תנאים חוזיים מוצעים להעברה ל-Indicator</w:t>
      </w:r>
    </w:p>
    <w:p>
      <w:pPr>
        <w:spacing w:before="0" w:after="20" w:line="252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  <w:rtl w:val="1"/>
        </w:rPr>
        <w:t xml:space="preserve">מטרה: </w:t>
      </w:r>
      <w:r>
        <w:rPr>
          <w:rFonts w:ascii="Arial" w:hAnsi="Arial" w:cs="Arial"/>
          <w:b w:val="0"/>
          <w:color w:val="1C2733"/>
          <w:sz w:val="21"/>
          <w:rtl w:val="1"/>
        </w:rPr>
        <w:t>לאשר אילו התחייבויות חוזיות יעברו ל-Indicator לצורך זיהוי trigger ומעקב.</w:t>
      </w:r>
    </w:p>
    <w:p>
      <w:pPr>
        <w:spacing w:before="0" w:after="20" w:line="252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  <w:rtl w:val="1"/>
        </w:rPr>
        <w:t xml:space="preserve">סטטוס: </w:t>
      </w:r>
      <w:r>
        <w:rPr>
          <w:rFonts w:ascii="Arial" w:hAnsi="Arial" w:cs="Arial"/>
          <w:b w:val="0"/>
          <w:color w:val="1C2733"/>
          <w:sz w:val="21"/>
          <w:rtl w:val="1"/>
        </w:rPr>
        <w:t>טיוטת הצעות בלבד - טרם נכתבו החלטות או רשומות לטבלת היעד.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9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1"/>
                <w:rtl w:val="1"/>
              </w:rPr>
              <w:t xml:space="preserve">המלצה: </w:t>
            </w:r>
            <w:r>
              <w:rPr>
                <w:rFonts w:ascii="Arial" w:hAnsi="Arial" w:cs="Arial"/>
                <w:b w:val="0"/>
                <w:color w:val="1C2733"/>
                <w:sz w:val="21"/>
                <w:rtl w:val="1"/>
              </w:rPr>
              <w:t>להעביר שמונה תנאים ל-Indicator לאחר אישור; להשאיר את סעיף 13.4 ב-Contracts בלבד.</w:t>
            </w:r>
          </w:p>
        </w:tc>
      </w:tr>
    </w:tbl>
    <w:p>
      <w:pPr>
        <w:spacing w:before="240" w:after="40" w:line="240" w:lineRule="auto"/>
        <w:jc w:val="right"/>
        <w:bidi w:val="1"/>
      </w:pPr>
      <w:r>
        <w:rPr>
          <w:rFonts w:ascii="Arial" w:hAnsi="Arial" w:cs="Arial"/>
          <w:b/>
          <w:color w:val="2E74B5"/>
          <w:sz w:val="30"/>
          <w:rtl w:val="1"/>
        </w:rPr>
        <w:t>מועמדים להעברה ל-Indicator</w:t>
      </w:r>
    </w:p>
    <w:p>
      <w:pPr>
        <w:spacing w:before="160" w:after="40" w:line="240" w:lineRule="auto"/>
        <w:jc w:val="right"/>
        <w:keepNext/>
        <w:bidi w:val="1"/>
      </w:pPr>
      <w:r>
        <w:rPr>
          <w:rFonts w:ascii="Arial" w:hAnsi="Arial" w:cs="Arial"/>
          <w:b/>
          <w:color w:val="1F4D78"/>
          <w:sz w:val="24"/>
          <w:rtl w:val="1"/>
        </w:rPr>
        <w:t>סעיף 3.6 - הכנת לוח זמנים מפורט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דרישה חוזית: </w:t>
      </w:r>
      <w:r>
        <w:rPr>
          <w:rFonts w:ascii="Arial" w:hAnsi="Arial" w:cs="Arial"/>
          <w:b w:val="0"/>
          <w:color w:val="1C2733"/>
          <w:sz w:val="21"/>
          <w:rtl w:val="1"/>
        </w:rPr>
        <w:t>הקבלן מגיש לוח זמנים מפורט.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אירוע מפעיל: </w:t>
      </w:r>
      <w:r>
        <w:rPr>
          <w:rFonts w:ascii="Arial" w:hAnsi="Arial" w:cs="Arial"/>
          <w:b w:val="0"/>
          <w:color w:val="1C2733"/>
          <w:sz w:val="21"/>
          <w:rtl w:val="1"/>
        </w:rPr>
        <w:t>חתימת החוזה</w:t>
      </w:r>
      <w:r>
        <w:rPr>
          <w:rFonts w:ascii="Arial" w:hAnsi="Arial" w:cs="Arial"/>
          <w:b/>
          <w:color w:val="1C2733"/>
          <w:sz w:val="21"/>
          <w:rtl w:val="1"/>
        </w:rPr>
        <w:t xml:space="preserve">    |    דדליין: </w:t>
      </w:r>
      <w:r>
        <w:rPr>
          <w:rFonts w:ascii="Arial" w:hAnsi="Arial" w:cs="Arial"/>
          <w:b w:val="0"/>
          <w:color w:val="1C2733"/>
          <w:sz w:val="21"/>
          <w:rtl w:val="1"/>
        </w:rPr>
        <w:t>10 ימים קלנדריים</w:t>
      </w:r>
    </w:p>
    <w:p>
      <w:pPr>
        <w:spacing w:before="0" w:after="40" w:line="269" w:lineRule="auto"/>
        <w:jc w:val="right"/>
        <w:bidi w:val="1"/>
      </w:pPr>
      <w:r>
        <w:rPr>
          <w:rFonts w:ascii="Arial" w:hAnsi="Arial" w:cs="Arial"/>
          <w:b/>
          <w:color w:val="596068"/>
          <w:sz w:val="21"/>
          <w:rtl w:val="1"/>
        </w:rPr>
        <w:t xml:space="preserve">נקודת Review: </w:t>
      </w:r>
      <w:r>
        <w:rPr>
          <w:rFonts w:ascii="Arial" w:hAnsi="Arial" w:cs="Arial"/>
          <w:b w:val="0"/>
          <w:color w:val="596068"/>
          <w:sz w:val="21"/>
          <w:rtl w:val="1"/>
        </w:rPr>
        <w:t>לוודא שהחתימה זמינה כאירוע מתועד למנוע.</w:t>
      </w:r>
    </w:p>
    <w:p>
      <w:pPr>
        <w:spacing w:before="160" w:after="40" w:line="240" w:lineRule="auto"/>
        <w:jc w:val="right"/>
        <w:keepNext/>
        <w:bidi w:val="1"/>
      </w:pPr>
      <w:r>
        <w:rPr>
          <w:rFonts w:ascii="Arial" w:hAnsi="Arial" w:cs="Arial"/>
          <w:b/>
          <w:color w:val="1F4D78"/>
          <w:sz w:val="24"/>
          <w:rtl w:val="1"/>
        </w:rPr>
        <w:t>סעיף 3.8 - תגבור צוות עובדים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דרישה חוזית: </w:t>
      </w:r>
      <w:r>
        <w:rPr>
          <w:rFonts w:ascii="Arial" w:hAnsi="Arial" w:cs="Arial"/>
          <w:b w:val="0"/>
          <w:color w:val="1C2733"/>
          <w:sz w:val="21"/>
          <w:rtl w:val="1"/>
        </w:rPr>
        <w:t>הקבלן מתגבר את הצוות לפי דרישת המזמין.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אירוע מפעיל: </w:t>
      </w:r>
      <w:r>
        <w:rPr>
          <w:rFonts w:ascii="Arial" w:hAnsi="Arial" w:cs="Arial"/>
          <w:b w:val="0"/>
          <w:color w:val="1C2733"/>
          <w:sz w:val="21"/>
          <w:rtl w:val="1"/>
        </w:rPr>
        <w:t>דרישה מפורשת של המזמין</w:t>
      </w:r>
      <w:r>
        <w:rPr>
          <w:rFonts w:ascii="Arial" w:hAnsi="Arial" w:cs="Arial"/>
          <w:b/>
          <w:color w:val="1C2733"/>
          <w:sz w:val="21"/>
          <w:rtl w:val="1"/>
        </w:rPr>
        <w:t xml:space="preserve">    |    דדליין: </w:t>
      </w:r>
      <w:r>
        <w:rPr>
          <w:rFonts w:ascii="Arial" w:hAnsi="Arial" w:cs="Arial"/>
          <w:b w:val="0"/>
          <w:color w:val="1C2733"/>
          <w:sz w:val="21"/>
          <w:rtl w:val="1"/>
        </w:rPr>
        <w:t>2 ימי עבודה</w:t>
      </w:r>
    </w:p>
    <w:p>
      <w:pPr>
        <w:spacing w:before="0" w:after="40" w:line="269" w:lineRule="auto"/>
        <w:jc w:val="right"/>
        <w:bidi w:val="1"/>
      </w:pPr>
      <w:r>
        <w:rPr>
          <w:rFonts w:ascii="Arial" w:hAnsi="Arial" w:cs="Arial"/>
          <w:b/>
          <w:color w:val="596068"/>
          <w:sz w:val="21"/>
          <w:rtl w:val="1"/>
        </w:rPr>
        <w:t xml:space="preserve">נקודת Review: </w:t>
      </w:r>
      <w:r>
        <w:rPr>
          <w:rFonts w:ascii="Arial" w:hAnsi="Arial" w:cs="Arial"/>
          <w:b w:val="0"/>
          <w:color w:val="596068"/>
          <w:sz w:val="21"/>
          <w:rtl w:val="1"/>
        </w:rPr>
        <w:t>לזהות דרישה אופרטיבית ולא אזכור כללי של כוח אדם; תלוי בלוח חגים.</w:t>
      </w:r>
    </w:p>
    <w:p>
      <w:pPr>
        <w:spacing w:before="160" w:after="40" w:line="240" w:lineRule="auto"/>
        <w:jc w:val="right"/>
        <w:keepNext/>
        <w:bidi w:val="1"/>
      </w:pPr>
      <w:r>
        <w:rPr>
          <w:rFonts w:ascii="Arial" w:hAnsi="Arial" w:cs="Arial"/>
          <w:b/>
          <w:color w:val="1F4D78"/>
          <w:sz w:val="24"/>
          <w:rtl w:val="1"/>
        </w:rPr>
        <w:t>סעיף 8.2 - תקופת בדק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דרישה חוזית: </w:t>
      </w:r>
      <w:r>
        <w:rPr>
          <w:rFonts w:ascii="Arial" w:hAnsi="Arial" w:cs="Arial"/>
          <w:b w:val="0"/>
          <w:color w:val="1C2733"/>
          <w:sz w:val="21"/>
          <w:rtl w:val="1"/>
        </w:rPr>
        <w:t>אחריות הקבלן לטיב העבודות והחומרים.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אירוע מפעיל: </w:t>
      </w:r>
      <w:r>
        <w:rPr>
          <w:rFonts w:ascii="Arial" w:hAnsi="Arial" w:cs="Arial"/>
          <w:b w:val="0"/>
          <w:color w:val="1C2733"/>
          <w:sz w:val="21"/>
          <w:rtl w:val="1"/>
        </w:rPr>
        <w:t>סיום כלל העבודות</w:t>
      </w:r>
      <w:r>
        <w:rPr>
          <w:rFonts w:ascii="Arial" w:hAnsi="Arial" w:cs="Arial"/>
          <w:b/>
          <w:color w:val="1C2733"/>
          <w:sz w:val="21"/>
          <w:rtl w:val="1"/>
        </w:rPr>
        <w:t xml:space="preserve">    |    דדליין: </w:t>
      </w:r>
      <w:r>
        <w:rPr>
          <w:rFonts w:ascii="Arial" w:hAnsi="Arial" w:cs="Arial"/>
          <w:b w:val="0"/>
          <w:color w:val="1C2733"/>
          <w:sz w:val="21"/>
          <w:rtl w:val="1"/>
        </w:rPr>
        <w:t>12 חודשים</w:t>
      </w:r>
    </w:p>
    <w:p>
      <w:pPr>
        <w:spacing w:before="0" w:after="40" w:line="269" w:lineRule="auto"/>
        <w:jc w:val="right"/>
        <w:bidi w:val="1"/>
      </w:pPr>
      <w:r>
        <w:rPr>
          <w:rFonts w:ascii="Arial" w:hAnsi="Arial" w:cs="Arial"/>
          <w:b/>
          <w:color w:val="596068"/>
          <w:sz w:val="21"/>
          <w:rtl w:val="1"/>
        </w:rPr>
        <w:t xml:space="preserve">נקודת Review: </w:t>
      </w:r>
      <w:r>
        <w:rPr>
          <w:rFonts w:ascii="Arial" w:hAnsi="Arial" w:cs="Arial"/>
          <w:b w:val="0"/>
          <w:color w:val="596068"/>
          <w:sz w:val="21"/>
          <w:rtl w:val="1"/>
        </w:rPr>
        <w:t>להגדיר אם אירוע הסיום הקנוני הוא סיום, מסירה או אישור מפקח.</w:t>
      </w:r>
    </w:p>
    <w:p>
      <w:pPr>
        <w:spacing w:before="160" w:after="40" w:line="240" w:lineRule="auto"/>
        <w:jc w:val="right"/>
        <w:keepNext/>
        <w:bidi w:val="1"/>
      </w:pPr>
      <w:r>
        <w:rPr>
          <w:rFonts w:ascii="Arial" w:hAnsi="Arial" w:cs="Arial"/>
          <w:b/>
          <w:color w:val="1F4D78"/>
          <w:sz w:val="24"/>
          <w:rtl w:val="1"/>
        </w:rPr>
        <w:t>סעיף 8.5 - החזר הוצאות בגין ליקויים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דרישה חוזית: </w:t>
      </w:r>
      <w:r>
        <w:rPr>
          <w:rFonts w:ascii="Arial" w:hAnsi="Arial" w:cs="Arial"/>
          <w:b w:val="0"/>
          <w:color w:val="1C2733"/>
          <w:sz w:val="21"/>
          <w:rtl w:val="1"/>
        </w:rPr>
        <w:t>הקבלן מחזיר למזמין הוצאות תיקון ליקויים.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אירוע מפעיל: </w:t>
      </w:r>
      <w:r>
        <w:rPr>
          <w:rFonts w:ascii="Arial" w:hAnsi="Arial" w:cs="Arial"/>
          <w:b w:val="0"/>
          <w:color w:val="1C2733"/>
          <w:sz w:val="21"/>
          <w:rtl w:val="1"/>
        </w:rPr>
        <w:t>דרישה ראשונה של המזמין</w:t>
      </w:r>
      <w:r>
        <w:rPr>
          <w:rFonts w:ascii="Arial" w:hAnsi="Arial" w:cs="Arial"/>
          <w:b/>
          <w:color w:val="1C2733"/>
          <w:sz w:val="21"/>
          <w:rtl w:val="1"/>
        </w:rPr>
        <w:t xml:space="preserve">    |    דדליין: </w:t>
      </w:r>
      <w:r>
        <w:rPr>
          <w:rFonts w:ascii="Arial" w:hAnsi="Arial" w:cs="Arial"/>
          <w:b w:val="0"/>
          <w:color w:val="1C2733"/>
          <w:sz w:val="21"/>
          <w:rtl w:val="1"/>
        </w:rPr>
        <w:t>7 ימים קלנדריים</w:t>
      </w:r>
    </w:p>
    <w:p>
      <w:pPr>
        <w:spacing w:before="0" w:after="40" w:line="269" w:lineRule="auto"/>
        <w:jc w:val="right"/>
        <w:bidi w:val="1"/>
      </w:pPr>
      <w:r>
        <w:rPr>
          <w:rFonts w:ascii="Arial" w:hAnsi="Arial" w:cs="Arial"/>
          <w:b/>
          <w:color w:val="596068"/>
          <w:sz w:val="21"/>
          <w:rtl w:val="1"/>
        </w:rPr>
        <w:t xml:space="preserve">נקודת Review: </w:t>
      </w:r>
      <w:r>
        <w:rPr>
          <w:rFonts w:ascii="Arial" w:hAnsi="Arial" w:cs="Arial"/>
          <w:b w:val="0"/>
          <w:color w:val="596068"/>
          <w:sz w:val="21"/>
          <w:rtl w:val="1"/>
        </w:rPr>
        <w:t>ה-trigger הוא דרישת תשלום או החזר מתועדת, ולא גילוי הליקוי.</w:t>
      </w:r>
    </w:p>
    <w:p>
      <w:pPr>
        <w:spacing w:before="160" w:after="40" w:line="240" w:lineRule="auto"/>
        <w:jc w:val="right"/>
        <w:keepNext/>
        <w:bidi w:val="1"/>
      </w:pPr>
      <w:r>
        <w:rPr>
          <w:rFonts w:ascii="Arial" w:hAnsi="Arial" w:cs="Arial"/>
          <w:b/>
          <w:color w:val="1F4D78"/>
          <w:sz w:val="24"/>
          <w:rtl w:val="1"/>
        </w:rPr>
        <w:t>סעיף 8.10.2.1 - תיקון פגם במערכות תומכות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דרישה חוזית: </w:t>
      </w:r>
      <w:r>
        <w:rPr>
          <w:rFonts w:ascii="Arial" w:hAnsi="Arial" w:cs="Arial"/>
          <w:b w:val="0"/>
          <w:color w:val="1C2733"/>
          <w:sz w:val="21"/>
          <w:rtl w:val="1"/>
        </w:rPr>
        <w:t>תיקון פגם במערכות תומכות.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אירוע מפעיל: </w:t>
      </w:r>
      <w:r>
        <w:rPr>
          <w:rFonts w:ascii="Arial" w:hAnsi="Arial" w:cs="Arial"/>
          <w:b w:val="0"/>
          <w:color w:val="1C2733"/>
          <w:sz w:val="21"/>
          <w:rtl w:val="1"/>
        </w:rPr>
        <w:t>קבלת הודעת המפקח</w:t>
      </w:r>
      <w:r>
        <w:rPr>
          <w:rFonts w:ascii="Arial" w:hAnsi="Arial" w:cs="Arial"/>
          <w:b/>
          <w:color w:val="1C2733"/>
          <w:sz w:val="21"/>
          <w:rtl w:val="1"/>
        </w:rPr>
        <w:t xml:space="preserve">    |    דדליין: </w:t>
      </w:r>
      <w:r>
        <w:rPr>
          <w:rFonts w:ascii="Arial" w:hAnsi="Arial" w:cs="Arial"/>
          <w:b w:val="0"/>
          <w:color w:val="1C2733"/>
          <w:sz w:val="21"/>
          <w:rtl w:val="1"/>
        </w:rPr>
        <w:t>12 שעות</w:t>
      </w:r>
    </w:p>
    <w:p>
      <w:pPr>
        <w:spacing w:before="0" w:after="40" w:line="269" w:lineRule="auto"/>
        <w:jc w:val="right"/>
        <w:bidi w:val="1"/>
      </w:pPr>
      <w:r>
        <w:rPr>
          <w:rFonts w:ascii="Arial" w:hAnsi="Arial" w:cs="Arial"/>
          <w:b/>
          <w:color w:val="596068"/>
          <w:sz w:val="21"/>
          <w:rtl w:val="1"/>
        </w:rPr>
        <w:t xml:space="preserve">נקודת Review: </w:t>
      </w:r>
      <w:r>
        <w:rPr>
          <w:rFonts w:ascii="Arial" w:hAnsi="Arial" w:cs="Arial"/>
          <w:b w:val="0"/>
          <w:color w:val="596068"/>
          <w:sz w:val="21"/>
          <w:rtl w:val="1"/>
        </w:rPr>
        <w:t>SLA קצר; יש לזהות מועד קבלה ולא רק מועד יצירת ההודעה.</w:t>
      </w:r>
    </w:p>
    <w:p>
      <w:pPr>
        <w:spacing w:before="160" w:after="40" w:line="240" w:lineRule="auto"/>
        <w:jc w:val="right"/>
        <w:keepNext/>
        <w:bidi w:val="1"/>
      </w:pPr>
      <w:r>
        <w:rPr>
          <w:rFonts w:ascii="Arial" w:hAnsi="Arial" w:cs="Arial"/>
          <w:b/>
          <w:color w:val="1F4D78"/>
          <w:sz w:val="24"/>
          <w:rtl w:val="1"/>
        </w:rPr>
        <w:t>סעיף 8.10.2.1 - תיקון פגם במערכות רלוונטיות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דרישה חוזית: </w:t>
      </w:r>
      <w:r>
        <w:rPr>
          <w:rFonts w:ascii="Arial" w:hAnsi="Arial" w:cs="Arial"/>
          <w:b w:val="0"/>
          <w:color w:val="1C2733"/>
          <w:sz w:val="21"/>
          <w:rtl w:val="1"/>
        </w:rPr>
        <w:t>תיקון פגם במערכות רלוונטיות.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אירוע מפעיל: </w:t>
      </w:r>
      <w:r>
        <w:rPr>
          <w:rFonts w:ascii="Arial" w:hAnsi="Arial" w:cs="Arial"/>
          <w:b w:val="0"/>
          <w:color w:val="1C2733"/>
          <w:sz w:val="21"/>
          <w:rtl w:val="1"/>
        </w:rPr>
        <w:t>קבלת הודעת המפקח</w:t>
      </w:r>
      <w:r>
        <w:rPr>
          <w:rFonts w:ascii="Arial" w:hAnsi="Arial" w:cs="Arial"/>
          <w:b/>
          <w:color w:val="1C2733"/>
          <w:sz w:val="21"/>
          <w:rtl w:val="1"/>
        </w:rPr>
        <w:t xml:space="preserve">    |    דדליין: </w:t>
      </w:r>
      <w:r>
        <w:rPr>
          <w:rFonts w:ascii="Arial" w:hAnsi="Arial" w:cs="Arial"/>
          <w:b w:val="0"/>
          <w:color w:val="1C2733"/>
          <w:sz w:val="21"/>
          <w:rtl w:val="1"/>
        </w:rPr>
        <w:t>7 ימים קלנדריים</w:t>
      </w:r>
    </w:p>
    <w:p>
      <w:pPr>
        <w:spacing w:before="0" w:after="40" w:line="269" w:lineRule="auto"/>
        <w:jc w:val="right"/>
        <w:bidi w:val="1"/>
      </w:pPr>
      <w:r>
        <w:rPr>
          <w:rFonts w:ascii="Arial" w:hAnsi="Arial" w:cs="Arial"/>
          <w:b/>
          <w:color w:val="596068"/>
          <w:sz w:val="21"/>
          <w:rtl w:val="1"/>
        </w:rPr>
        <w:t xml:space="preserve">נקודת Review: </w:t>
      </w:r>
      <w:r>
        <w:rPr>
          <w:rFonts w:ascii="Arial" w:hAnsi="Arial" w:cs="Arial"/>
          <w:b w:val="0"/>
          <w:color w:val="596068"/>
          <w:sz w:val="21"/>
          <w:rtl w:val="1"/>
        </w:rPr>
        <w:t>תנאי נפרד מאותו סעיף משום שמשך הזמן שונה.</w:t>
      </w:r>
    </w:p>
    <w:p>
      <w:pPr>
        <w:spacing w:before="160" w:after="40" w:line="240" w:lineRule="auto"/>
        <w:jc w:val="right"/>
        <w:keepNext/>
        <w:bidi w:val="1"/>
      </w:pPr>
      <w:r>
        <w:rPr>
          <w:rFonts w:ascii="Arial" w:hAnsi="Arial" w:cs="Arial"/>
          <w:b/>
          <w:color w:val="1F4D78"/>
          <w:sz w:val="24"/>
          <w:rtl w:val="1"/>
        </w:rPr>
        <w:t>סעיף 8.10.2.4 - בדיקה נוספת של איכות העבודות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דרישה חוזית: </w:t>
      </w:r>
      <w:r>
        <w:rPr>
          <w:rFonts w:ascii="Arial" w:hAnsi="Arial" w:cs="Arial"/>
          <w:b w:val="0"/>
          <w:color w:val="1C2733"/>
          <w:sz w:val="21"/>
          <w:rtl w:val="1"/>
        </w:rPr>
        <w:t>בדיקה נוספת של טיב העבודות.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אירוע מפעיל: </w:t>
      </w:r>
      <w:r>
        <w:rPr>
          <w:rFonts w:ascii="Arial" w:hAnsi="Arial" w:cs="Arial"/>
          <w:b w:val="0"/>
          <w:color w:val="1C2733"/>
          <w:sz w:val="21"/>
          <w:rtl w:val="1"/>
        </w:rPr>
        <w:t>מסירת תעודת השלמה לפרויקט או לחלק ממנו</w:t>
      </w:r>
      <w:r>
        <w:rPr>
          <w:rFonts w:ascii="Arial" w:hAnsi="Arial" w:cs="Arial"/>
          <w:b/>
          <w:color w:val="1C2733"/>
          <w:sz w:val="21"/>
          <w:rtl w:val="1"/>
        </w:rPr>
        <w:t xml:space="preserve">    |    דדליין: </w:t>
      </w:r>
      <w:r>
        <w:rPr>
          <w:rFonts w:ascii="Arial" w:hAnsi="Arial" w:cs="Arial"/>
          <w:b w:val="0"/>
          <w:color w:val="1C2733"/>
          <w:sz w:val="21"/>
          <w:rtl w:val="1"/>
        </w:rPr>
        <w:t>24 חודשים</w:t>
      </w:r>
    </w:p>
    <w:p>
      <w:pPr>
        <w:spacing w:before="0" w:after="40" w:line="269" w:lineRule="auto"/>
        <w:jc w:val="right"/>
        <w:bidi w:val="1"/>
      </w:pPr>
      <w:r>
        <w:rPr>
          <w:rFonts w:ascii="Arial" w:hAnsi="Arial" w:cs="Arial"/>
          <w:b/>
          <w:color w:val="596068"/>
          <w:sz w:val="21"/>
          <w:rtl w:val="1"/>
        </w:rPr>
        <w:t xml:space="preserve">נקודת Review: </w:t>
      </w:r>
      <w:r>
        <w:rPr>
          <w:rFonts w:ascii="Arial" w:hAnsi="Arial" w:cs="Arial"/>
          <w:b w:val="0"/>
          <w:color w:val="596068"/>
          <w:sz w:val="21"/>
          <w:rtl w:val="1"/>
        </w:rPr>
        <w:t>לאשר אם תעודה לחלק מהפרויקט יוצרת תנאי נפרד לכל חלק.</w:t>
      </w:r>
    </w:p>
    <w:p>
      <w:pPr>
        <w:spacing w:before="160" w:after="40" w:line="240" w:lineRule="auto"/>
        <w:jc w:val="right"/>
        <w:keepNext/>
        <w:bidi w:val="1"/>
      </w:pPr>
      <w:r>
        <w:rPr>
          <w:rFonts w:ascii="Arial" w:hAnsi="Arial" w:cs="Arial"/>
          <w:b/>
          <w:color w:val="1F4D78"/>
          <w:sz w:val="24"/>
          <w:rtl w:val="1"/>
        </w:rPr>
        <w:t>סעיף 15.3 - חזקת מסירה בדואר רשום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דרישה חוזית: </w:t>
      </w:r>
      <w:r>
        <w:rPr>
          <w:rFonts w:ascii="Arial" w:hAnsi="Arial" w:cs="Arial"/>
          <w:b w:val="0"/>
          <w:color w:val="1C2733"/>
          <w:sz w:val="21"/>
          <w:rtl w:val="1"/>
        </w:rPr>
        <w:t>הודעה בדואר רשום נחשבת כאילו נמסרה.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אירוע מפעיל: </w:t>
      </w:r>
      <w:r>
        <w:rPr>
          <w:rFonts w:ascii="Arial" w:hAnsi="Arial" w:cs="Arial"/>
          <w:b w:val="0"/>
          <w:color w:val="1C2733"/>
          <w:sz w:val="21"/>
          <w:rtl w:val="1"/>
        </w:rPr>
        <w:t>תאריך משלוח הדואר הרשום</w:t>
      </w:r>
      <w:r>
        <w:rPr>
          <w:rFonts w:ascii="Arial" w:hAnsi="Arial" w:cs="Arial"/>
          <w:b/>
          <w:color w:val="1C2733"/>
          <w:sz w:val="21"/>
          <w:rtl w:val="1"/>
        </w:rPr>
        <w:t xml:space="preserve">    |    דדליין: </w:t>
      </w:r>
      <w:r>
        <w:rPr>
          <w:rFonts w:ascii="Arial" w:hAnsi="Arial" w:cs="Arial"/>
          <w:b w:val="0"/>
          <w:color w:val="1C2733"/>
          <w:sz w:val="21"/>
          <w:rtl w:val="1"/>
        </w:rPr>
        <w:t>5 ימים קלנדריים</w:t>
      </w:r>
    </w:p>
    <w:p>
      <w:pPr>
        <w:spacing w:before="0" w:after="40" w:line="269" w:lineRule="auto"/>
        <w:jc w:val="right"/>
        <w:bidi w:val="1"/>
      </w:pPr>
      <w:r>
        <w:rPr>
          <w:rFonts w:ascii="Arial" w:hAnsi="Arial" w:cs="Arial"/>
          <w:b/>
          <w:color w:val="596068"/>
          <w:sz w:val="21"/>
          <w:rtl w:val="1"/>
        </w:rPr>
        <w:t xml:space="preserve">נקודת Review: </w:t>
      </w:r>
      <w:r>
        <w:rPr>
          <w:rFonts w:ascii="Arial" w:hAnsi="Arial" w:cs="Arial"/>
          <w:b w:val="0"/>
          <w:color w:val="596068"/>
          <w:sz w:val="21"/>
          <w:rtl w:val="1"/>
        </w:rPr>
        <w:t>לוודא שמקור ה-trigger מספק תאריך משלוח מהימן.</w:t>
      </w:r>
    </w:p>
    <w:p>
      <w:pPr>
        <w:spacing w:before="240" w:after="40" w:line="240" w:lineRule="auto"/>
        <w:jc w:val="right"/>
        <w:bidi w:val="1"/>
      </w:pPr>
      <w:r>
        <w:rPr>
          <w:rFonts w:ascii="Arial" w:hAnsi="Arial" w:cs="Arial"/>
          <w:b/>
          <w:color w:val="2E74B5"/>
          <w:sz w:val="30"/>
          <w:rtl w:val="1"/>
        </w:rPr>
        <w:t>מועמד שלא יועבר ל-Indicator</w:t>
      </w:r>
    </w:p>
    <w:p>
      <w:pPr>
        <w:spacing w:before="160" w:after="40" w:line="240" w:lineRule="auto"/>
        <w:jc w:val="right"/>
        <w:keepNext/>
        <w:bidi w:val="1"/>
      </w:pPr>
      <w:r>
        <w:rPr>
          <w:rFonts w:ascii="Arial" w:hAnsi="Arial" w:cs="Arial"/>
          <w:b/>
          <w:color w:val="1F4D78"/>
          <w:sz w:val="24"/>
          <w:rtl w:val="1"/>
        </w:rPr>
        <w:t>סעיף 13.4 - איסור פנייה ללקוחות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דרישה חוזית: </w:t>
      </w:r>
      <w:r>
        <w:rPr>
          <w:rFonts w:ascii="Arial" w:hAnsi="Arial" w:cs="Arial"/>
          <w:b w:val="0"/>
          <w:color w:val="1C2733"/>
          <w:sz w:val="21"/>
          <w:rtl w:val="1"/>
        </w:rPr>
        <w:t>איסור פנייה ללקוחות המזמינה לאחר סיום ההתקשרות.</w:t>
      </w:r>
    </w:p>
    <w:p>
      <w:pPr>
        <w:spacing w:before="0" w:after="20" w:line="269" w:lineRule="auto"/>
        <w:jc w:val="right"/>
        <w:bidi w:val="1"/>
      </w:pPr>
      <w:r>
        <w:rPr>
          <w:rFonts w:ascii="Arial" w:hAnsi="Arial" w:cs="Arial"/>
          <w:b/>
          <w:color w:val="1C2733"/>
          <w:sz w:val="21"/>
          <w:rtl w:val="1"/>
        </w:rPr>
        <w:t xml:space="preserve">אירוע מפעיל: </w:t>
      </w:r>
      <w:r>
        <w:rPr>
          <w:rFonts w:ascii="Arial" w:hAnsi="Arial" w:cs="Arial"/>
          <w:b w:val="0"/>
          <w:color w:val="1C2733"/>
          <w:sz w:val="21"/>
          <w:rtl w:val="1"/>
        </w:rPr>
        <w:t>סיום תקופת ההתקשרות</w:t>
      </w:r>
      <w:r>
        <w:rPr>
          <w:rFonts w:ascii="Arial" w:hAnsi="Arial" w:cs="Arial"/>
          <w:b/>
          <w:color w:val="1C2733"/>
          <w:sz w:val="21"/>
          <w:rtl w:val="1"/>
        </w:rPr>
        <w:t xml:space="preserve">    |    דדליין: </w:t>
      </w:r>
      <w:r>
        <w:rPr>
          <w:rFonts w:ascii="Arial" w:hAnsi="Arial" w:cs="Arial"/>
          <w:b w:val="0"/>
          <w:color w:val="1C2733"/>
          <w:sz w:val="21"/>
          <w:rtl w:val="1"/>
        </w:rPr>
        <w:t>6 חודשים</w:t>
      </w:r>
    </w:p>
    <w:p>
      <w:pPr>
        <w:spacing w:before="0" w:after="40" w:line="269" w:lineRule="auto"/>
        <w:jc w:val="right"/>
        <w:bidi w:val="1"/>
      </w:pPr>
      <w:r>
        <w:rPr>
          <w:rFonts w:ascii="Arial" w:hAnsi="Arial" w:cs="Arial"/>
          <w:b/>
          <w:color w:val="596068"/>
          <w:sz w:val="21"/>
          <w:rtl w:val="1"/>
        </w:rPr>
        <w:t xml:space="preserve">נקודת Review: </w:t>
      </w:r>
      <w:r>
        <w:rPr>
          <w:rFonts w:ascii="Arial" w:hAnsi="Arial" w:cs="Arial"/>
          <w:b w:val="0"/>
          <w:color w:val="596068"/>
          <w:sz w:val="21"/>
          <w:rtl w:val="1"/>
        </w:rPr>
        <w:t>לא מועבר ל-Indicator: זו התחייבות מסחרית או משפטית, ולא תנאי תפעולי בלוח הזמנים.</w:t>
      </w:r>
    </w:p>
    <w:p>
      <w:pPr>
        <w:spacing w:before="240" w:after="40" w:line="240" w:lineRule="auto"/>
        <w:jc w:val="right"/>
        <w:bidi w:val="1"/>
      </w:pPr>
      <w:r>
        <w:rPr>
          <w:rFonts w:ascii="Arial" w:hAnsi="Arial" w:cs="Arial"/>
          <w:b/>
          <w:color w:val="2E74B5"/>
          <w:sz w:val="30"/>
          <w:rtl w:val="1"/>
        </w:rPr>
        <w:t>החלטה נדרשת מה-CTO</w:t>
      </w:r>
    </w:p>
    <w:p>
      <w:pPr>
        <w:spacing w:before="0" w:after="0" w:line="276" w:lineRule="auto"/>
        <w:jc w:val="right"/>
        <w:bidi w:val="1"/>
      </w:pPr>
      <w:r>
        <w:rPr>
          <w:rFonts w:ascii="Arial" w:hAnsi="Arial" w:cs="Arial"/>
          <w:b w:val="0"/>
          <w:color w:val="1C2733"/>
          <w:sz w:val="21"/>
          <w:rtl w:val="1"/>
        </w:rPr>
        <w:t>לאשר את העוגן, משך הזמן והרלוונטיות התפעולית של שמונת המועמדים. לאחר אישור, ייווצרו רשומות pending בטבלת היעד; ה-Indicator יזהה את ה-trigger ויחשב את התאריך בפועל.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bidi w:val="1"/>
    </w:pPr>
    <w:r>
      <w:rPr>
        <w:rFonts w:ascii="Arial" w:hAnsi="Arial" w:cs="Arial"/>
        <w:b w:val="0"/>
        <w:color w:val="596068"/>
        <w:sz w:val="17"/>
        <w:rtl w:val="1"/>
      </w:rPr>
      <w:t>טיוטה פנימית - לדיון ואישור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bidi w:val="1"/>
    </w:pPr>
    <w:r>
      <w:rPr>
        <w:rFonts w:ascii="Arial" w:hAnsi="Arial" w:cs="Arial"/>
        <w:b w:val="0"/>
        <w:color w:val="596068"/>
        <w:sz w:val="17"/>
        <w:rtl w:val="1"/>
      </w:rPr>
      <w:t>BiDoc | Contracts → Indicator → Schedule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טיוטת Review ל-CTO - תנאים חוזיים ל-Indicator</dc:title>
  <dc:subject>Contracts → Indicator → Schedule</dc:subject>
  <dc:creator>BiDoc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