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Knowledge Extraction Package</w:t>
      </w:r>
    </w:p>
    <w:p>
      <w:pPr>
        <w:pStyle w:val="Heading2"/>
      </w:pPr>
      <w:r>
        <w:t>BOOK-001 | Howard Marks | The Most Important Thing</w:t>
      </w:r>
    </w:p>
    <w:p>
      <w:pPr>
        <w:pStyle w:val="Heading2"/>
      </w:pPr>
      <w:r>
        <w:t>Objective</w:t>
      </w:r>
    </w:p>
    <w:p>
      <w:r>
        <w:t>Extract durable investment principles into reusable decision rules. This package intentionally stores principles rather than chapter summaries.</w:t>
      </w:r>
    </w:p>
    <w:p>
      <w:pPr>
        <w:pStyle w:val="Heading2"/>
      </w:pPr>
      <w:r>
        <w:t>Knowledge Extraction Workflow</w:t>
      </w:r>
    </w:p>
    <w:p>
      <w:pPr>
        <w:pStyle w:val="ListNumber"/>
      </w:pPr>
      <w:r>
        <w:t>1. Read a primary source.</w:t>
      </w:r>
    </w:p>
    <w:p>
      <w:pPr>
        <w:pStyle w:val="ListNumber"/>
      </w:pPr>
      <w:r>
        <w:t>2. Identify explicit investment principles.</w:t>
      </w:r>
    </w:p>
    <w:p>
      <w:pPr>
        <w:pStyle w:val="ListNumber"/>
      </w:pPr>
      <w:r>
        <w:t>3. Record supporting source reference.</w:t>
      </w:r>
    </w:p>
    <w:p>
      <w:pPr>
        <w:pStyle w:val="ListNumber"/>
      </w:pPr>
      <w:r>
        <w:t>4. Classify the principle.</w:t>
      </w:r>
    </w:p>
    <w:p>
      <w:pPr>
        <w:pStyle w:val="ListNumber"/>
      </w:pPr>
      <w:r>
        <w:t>5. Convert it into a Decision Rule.</w:t>
      </w:r>
    </w:p>
    <w:p>
      <w:pPr>
        <w:pStyle w:val="ListNumber"/>
      </w:pPr>
      <w:r>
        <w:t>6. Define where it affects A-ZION.</w:t>
      </w:r>
    </w:p>
    <w:p>
      <w:pPr>
        <w:pStyle w:val="ListNumber"/>
      </w:pPr>
      <w:r>
        <w:t>7. QA review before admission.</w:t>
      </w:r>
    </w:p>
    <w:p>
      <w:pPr>
        <w:pStyle w:val="Heading2"/>
      </w:pPr>
      <w:r>
        <w:t>Principle Registry (Starter)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Principle</w:t>
            </w:r>
          </w:p>
        </w:tc>
        <w:tc>
          <w:tcPr>
            <w:tcW w:type="dxa" w:w="1728"/>
          </w:tcPr>
          <w:p>
            <w:r>
              <w:t>Decision Rule</w:t>
            </w:r>
          </w:p>
        </w:tc>
        <w:tc>
          <w:tcPr>
            <w:tcW w:type="dxa" w:w="1728"/>
          </w:tcPr>
          <w:p>
            <w:r>
              <w:t>A-ZION Engine</w:t>
            </w:r>
          </w:p>
        </w:tc>
      </w:tr>
      <w:tr>
        <w:tc>
          <w:tcPr>
            <w:tcW w:type="dxa" w:w="1728"/>
          </w:tcPr>
          <w:p>
            <w:r>
              <w:t>HM-001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Risk is broader than price fluctuations.</w:t>
            </w:r>
          </w:p>
        </w:tc>
        <w:tc>
          <w:tcPr>
            <w:tcW w:type="dxa" w:w="1728"/>
          </w:tcPr>
          <w:p>
            <w:r>
              <w:t>Never equate volatility with true investment risk.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HM-002</w:t>
            </w:r>
          </w:p>
        </w:tc>
        <w:tc>
          <w:tcPr>
            <w:tcW w:type="dxa" w:w="1728"/>
          </w:tcPr>
          <w:p>
            <w:r>
              <w:t>Thinking</w:t>
            </w:r>
          </w:p>
        </w:tc>
        <w:tc>
          <w:tcPr>
            <w:tcW w:type="dxa" w:w="1728"/>
          </w:tcPr>
          <w:p>
            <w:r>
              <w:t>Use second-level thinking.</w:t>
            </w:r>
          </w:p>
        </w:tc>
        <w:tc>
          <w:tcPr>
            <w:tcW w:type="dxa" w:w="1728"/>
          </w:tcPr>
          <w:p>
            <w:r>
              <w:t>Challenge the obvious thesis before approval.</w:t>
            </w:r>
          </w:p>
        </w:tc>
        <w:tc>
          <w:tcPr>
            <w:tcW w:type="dxa" w:w="1728"/>
          </w:tcPr>
          <w:p>
            <w:r>
              <w:t>Committee</w:t>
            </w:r>
          </w:p>
        </w:tc>
      </w:tr>
      <w:tr>
        <w:tc>
          <w:tcPr>
            <w:tcW w:type="dxa" w:w="1728"/>
          </w:tcPr>
          <w:p>
            <w:r>
              <w:t>HM-003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Separate price from value.</w:t>
            </w:r>
          </w:p>
        </w:tc>
        <w:tc>
          <w:tcPr>
            <w:tcW w:type="dxa" w:w="1728"/>
          </w:tcPr>
          <w:p>
            <w:r>
              <w:t>Require valuation review before BUY.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</w:tr>
      <w:tr>
        <w:tc>
          <w:tcPr>
            <w:tcW w:type="dxa" w:w="1728"/>
          </w:tcPr>
          <w:p>
            <w:r>
              <w:t>HM-004</w:t>
            </w:r>
          </w:p>
        </w:tc>
        <w:tc>
          <w:tcPr>
            <w:tcW w:type="dxa" w:w="1728"/>
          </w:tcPr>
          <w:p>
            <w:r>
              <w:t>Cycles</w:t>
            </w:r>
          </w:p>
        </w:tc>
        <w:tc>
          <w:tcPr>
            <w:tcW w:type="dxa" w:w="1728"/>
          </w:tcPr>
          <w:p>
            <w:r>
              <w:t>Account for market cycles.</w:t>
            </w:r>
          </w:p>
        </w:tc>
        <w:tc>
          <w:tcPr>
            <w:tcW w:type="dxa" w:w="1728"/>
          </w:tcPr>
          <w:p>
            <w:r>
              <w:t>Review macro and cycle context.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HM-005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Think probabilistically.</w:t>
            </w:r>
          </w:p>
        </w:tc>
        <w:tc>
          <w:tcPr>
            <w:tcW w:type="dxa" w:w="1728"/>
          </w:tcPr>
          <w:p>
            <w:r>
              <w:t>Express conclusions with confidence levels.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</w:tr>
      <w:tr>
        <w:tc>
          <w:tcPr>
            <w:tcW w:type="dxa" w:w="1728"/>
          </w:tcPr>
          <w:p>
            <w:r>
              <w:t>HM-006</w:t>
            </w:r>
          </w:p>
        </w:tc>
        <w:tc>
          <w:tcPr>
            <w:tcW w:type="dxa" w:w="1728"/>
          </w:tcPr>
          <w:p>
            <w:r>
              <w:t>Safety</w:t>
            </w:r>
          </w:p>
        </w:tc>
        <w:tc>
          <w:tcPr>
            <w:tcW w:type="dxa" w:w="1728"/>
          </w:tcPr>
          <w:p>
            <w:r>
              <w:t>Require a margin of safety.</w:t>
            </w:r>
          </w:p>
        </w:tc>
        <w:tc>
          <w:tcPr>
            <w:tcW w:type="dxa" w:w="1728"/>
          </w:tcPr>
          <w:p>
            <w:r>
              <w:t>No BUY without sufficient downside protection.</w:t>
            </w:r>
          </w:p>
        </w:tc>
        <w:tc>
          <w:tcPr>
            <w:tcW w:type="dxa" w:w="1728"/>
          </w:tcPr>
          <w:p>
            <w:r>
              <w:t>Committee</w:t>
            </w:r>
          </w:p>
        </w:tc>
      </w:tr>
    </w:tbl>
    <w:p>
      <w:pPr>
        <w:pStyle w:val="Heading2"/>
      </w:pPr>
      <w:r>
        <w:t>Evidence Policy</w:t>
      </w:r>
    </w:p>
    <w:p>
      <w:r>
        <w:t>Every future principle admitted into A-ZION must include: primary source reference, confidence assessment, and implementation location. Interpretations must be labeled separately from explicit author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