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A-ZION Gold Master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Living Research Library Control Document | v1.0 | 2026-07-06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Executive Dashboard</w:t>
      </w:r>
    </w:p>
    <w:tbl>
      <w:tblPr>
        <w:tblStyle w:val="Table1"/>
        <w:tblW w:w="14544.0" w:type="dxa"/>
        <w:jc w:val="center"/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Gold Certified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Pipeline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A-ZION 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Locked /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Certified This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Amazon, ASML, Mastercard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Next Mission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Gold Reference #007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Gold Library Index</w:t>
      </w:r>
    </w:p>
    <w:tbl>
      <w:tblPr>
        <w:tblStyle w:val="Table2"/>
        <w:tblW w:w="14550.0" w:type="dxa"/>
        <w:jc w:val="center"/>
        <w:tblLayout w:type="fixed"/>
        <w:tblLook w:val="040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  <w:tblGridChange w:id="0">
          <w:tblGrid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  <w:gridCol w:w="97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Fair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P-W Fair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Expected CAGR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Core Question / Decision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MSFT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/ Core Compounder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Platform durability, cloud/AI monetization, capital allocation discipline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NVIDIA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NVDA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Watch / Selective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NVIDIA convert AI capex into durable ecosystem economics before substitution compresses returns?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Visa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Watch / Buy on 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Visa sustain network economics against regulation, RTP, wallets and alternative rails?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AMZN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Amazon convert infrastructure and AI capex into durable FCF and capital productivity?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ASML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ASML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BUY on Gradual Accumulation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€920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€928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10–14%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Does AI structurally raise lithography intensity or merely front-load a capex cycle?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#006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Mastercard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Gold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BUY — Gradual Accumulation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US$560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US$565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11–15%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3"/>
                <w:szCs w:val="13"/>
                <w:rtl w:val="0"/>
              </w:rPr>
              <w:t xml:space="preserve">Can Mastercard become infrastructure for digital money movement regardless of rail?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3. Locked Research Pipeline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pipeline: </w:t>
      </w:r>
      <w:r w:rsidDel="00000000" w:rsidR="00000000" w:rsidRPr="00000000">
        <w:rPr>
          <w:rtl w:val="0"/>
        </w:rPr>
        <w:t xml:space="preserve">Business Intelligence → Financial Intelligence → Financial Metrics Appendix → Valuation Intelligence → Technical Intelligence → Investment Committee → Editorial Lock → Master Update.</w:t>
      </w:r>
    </w:p>
    <w:tbl>
      <w:tblPr>
        <w:tblStyle w:val="Table3"/>
        <w:tblW w:w="14544.0" w:type="dxa"/>
        <w:jc w:val="left"/>
        <w:tblInd w:w="-115.0" w:type="dxa"/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Gold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Define the investment question and business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Business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Must identify falsifiable decision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Assess financial durability and capital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Financial + allocation scores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Quantify financial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Metrics 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Numbers support valuation assumptions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Reverse DCF first, then DCF/scenarios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Valuation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Fair value + zones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Market structure for timing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Technical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Timing score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Stage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Convert research to capital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Investment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Decision + sizing + kill 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Editorial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Final consistency and archive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Gold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 contradictions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4. Gold Certification Rules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research case must begin with a single Executive Investment Question.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stage must maintain Evidence → Analysis → Conclusion separation.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Valuation Intelligence begins with Reverse DCF before intrinsic DCF.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Intelligence is used for timing only, never for intrinsic value or business quality.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Position sizing is expressed as portfolio allocation, not as percent of the position.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Editorial Lock is mandatory before any reference becomes Gold Certified.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Index must be updated after every Gold Certification.</w:t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5. Mission Backlog</w:t>
      </w:r>
    </w:p>
    <w:tbl>
      <w:tblPr>
        <w:tblStyle w:val="Table4"/>
        <w:tblW w:w="14545.0" w:type="dxa"/>
        <w:jc w:val="left"/>
        <w:tblInd w:w="-115.0" w:type="dxa"/>
        <w:tblLayout w:type="fixed"/>
        <w:tblLook w:val="0400"/>
      </w:tblPr>
      <w:tblGrid>
        <w:gridCol w:w="2909"/>
        <w:gridCol w:w="2909"/>
        <w:gridCol w:w="2909"/>
        <w:gridCol w:w="2909"/>
        <w:gridCol w:w="2909"/>
        <w:tblGridChange w:id="0">
          <w:tblGrid>
            <w:gridCol w:w="2909"/>
            <w:gridCol w:w="2909"/>
            <w:gridCol w:w="2909"/>
            <w:gridCol w:w="2909"/>
            <w:gridCol w:w="2909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Alphabet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GOOGL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Internet / AI / Ads /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ad + cloud + AI economics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TSMC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Foundry / Semiconductors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foundry moat and geopolitical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Berkshire Hathaway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BRK.B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Conglomerate / Capital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capital allocation and intrinsic value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Costco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Consumer / 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membership model and valuation discipline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S&amp;P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Financial Data /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information moat and regulatory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Software / Creative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AI disruption versus software moat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6. Master Update Log</w:t>
      </w:r>
    </w:p>
    <w:tbl>
      <w:tblPr>
        <w:tblStyle w:val="Table5"/>
        <w:tblW w:w="14544.0" w:type="dxa"/>
        <w:jc w:val="left"/>
        <w:tblInd w:w="-115.0" w:type="dxa"/>
        <w:tblLayout w:type="fixed"/>
        <w:tblLook w:val="0400"/>
      </w:tblPr>
      <w:tblGrid>
        <w:gridCol w:w="3636"/>
        <w:gridCol w:w="3636"/>
        <w:gridCol w:w="3636"/>
        <w:gridCol w:w="3636"/>
        <w:tblGridChange w:id="0">
          <w:tblGrid>
            <w:gridCol w:w="3636"/>
            <w:gridCol w:w="3636"/>
            <w:gridCol w:w="3636"/>
            <w:gridCol w:w="363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Affected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Created Master Index v1.0 and backed up certified references #004–#006. Included known status for #001–#003.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A-ZION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Certified ASML as Gold Reference #005.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ASML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A-ZION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2026-07-06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Certified Mastercard as Gold Reference #006.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Mastercard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A-ZION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A-ZION Gold Master Index | Living Document | Update after every Editorial Lock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