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A-ZION Live Master Sync v2.7</w:t>
      </w:r>
    </w:p>
    <w:p>
      <w:r>
        <w:t>Sprint 2.8 - Opportunity Registry</w:t>
        <w:br/>
        <w:t>Status: APPROVED FOR LIVE MASTER</w:t>
      </w:r>
    </w:p>
    <w:p>
      <w:pPr>
        <w:pStyle w:val="Heading2"/>
      </w:pPr>
      <w:r>
        <w:t>Mission</w:t>
      </w:r>
    </w:p>
    <w:p>
      <w:r>
        <w:t>Manage every investment opportunity, regardless of asset type, from first observation through learning.</w:t>
      </w:r>
    </w:p>
    <w:p>
      <w:pPr>
        <w:pStyle w:val="Heading2"/>
      </w:pPr>
      <w:r>
        <w:t>Core Principle</w:t>
      </w:r>
    </w:p>
    <w:p>
      <w:r>
        <w:t>A-ZION manages opportunities, not assets. Assets are components of opportunities.</w:t>
      </w:r>
    </w:p>
    <w:p>
      <w:pPr>
        <w:pStyle w:val="Heading2"/>
      </w:pPr>
      <w:r>
        <w:t>Supported Opportunity Types</w:t>
      </w:r>
    </w:p>
    <w:p>
      <w:pPr>
        <w:pStyle w:val="ListBullet"/>
      </w:pPr>
      <w:r>
        <w:t>Stock</w:t>
      </w:r>
    </w:p>
    <w:p>
      <w:pPr>
        <w:pStyle w:val="ListBullet"/>
      </w:pPr>
      <w:r>
        <w:t>ETF</w:t>
      </w:r>
    </w:p>
    <w:p>
      <w:pPr>
        <w:pStyle w:val="ListBullet"/>
      </w:pPr>
      <w:r>
        <w:t>Index</w:t>
      </w:r>
    </w:p>
    <w:p>
      <w:pPr>
        <w:pStyle w:val="ListBullet"/>
      </w:pPr>
      <w:r>
        <w:t>Sector</w:t>
      </w:r>
    </w:p>
    <w:p>
      <w:pPr>
        <w:pStyle w:val="ListBullet"/>
      </w:pPr>
      <w:r>
        <w:t>Theme</w:t>
      </w:r>
    </w:p>
    <w:p>
      <w:pPr>
        <w:pStyle w:val="ListBullet"/>
      </w:pPr>
      <w:r>
        <w:t>Value Chain</w:t>
      </w:r>
    </w:p>
    <w:p>
      <w:pPr>
        <w:pStyle w:val="ListBullet"/>
      </w:pPr>
      <w:r>
        <w:t>Commodity</w:t>
      </w:r>
    </w:p>
    <w:p>
      <w:pPr>
        <w:pStyle w:val="ListBullet"/>
      </w:pPr>
      <w:r>
        <w:t>Bond</w:t>
      </w:r>
    </w:p>
    <w:p>
      <w:pPr>
        <w:pStyle w:val="ListBullet"/>
      </w:pPr>
      <w:r>
        <w:t>Currency</w:t>
      </w:r>
    </w:p>
    <w:p>
      <w:pPr>
        <w:pStyle w:val="ListBullet"/>
      </w:pPr>
      <w:r>
        <w:t>Macro</w:t>
      </w:r>
    </w:p>
    <w:p>
      <w:pPr>
        <w:pStyle w:val="ListBullet"/>
      </w:pPr>
      <w:r>
        <w:t>Event</w:t>
      </w:r>
    </w:p>
    <w:p>
      <w:pPr>
        <w:pStyle w:val="ListBullet"/>
      </w:pPr>
      <w:r>
        <w:t>Basket</w:t>
      </w:r>
    </w:p>
    <w:p>
      <w:pPr>
        <w:pStyle w:val="Heading2"/>
      </w:pPr>
      <w:r>
        <w:t>Opportunity Record</w:t>
      </w:r>
    </w:p>
    <w:p>
      <w:pPr>
        <w:pStyle w:val="ListBullet"/>
      </w:pPr>
      <w:r>
        <w:t>Opportunity_ID</w:t>
      </w:r>
    </w:p>
    <w:p>
      <w:pPr>
        <w:pStyle w:val="ListBullet"/>
      </w:pPr>
      <w:r>
        <w:t>Asset_ID</w:t>
      </w:r>
    </w:p>
    <w:p>
      <w:pPr>
        <w:pStyle w:val="ListBullet"/>
      </w:pPr>
      <w:r>
        <w:t>Asset_Type</w:t>
      </w:r>
    </w:p>
    <w:p>
      <w:pPr>
        <w:pStyle w:val="ListBullet"/>
      </w:pPr>
      <w:r>
        <w:t>Theme_ID</w:t>
      </w:r>
    </w:p>
    <w:p>
      <w:pPr>
        <w:pStyle w:val="ListBullet"/>
      </w:pPr>
      <w:r>
        <w:t>Discovery_Date</w:t>
      </w:r>
    </w:p>
    <w:p>
      <w:pPr>
        <w:pStyle w:val="ListBullet"/>
      </w:pPr>
      <w:r>
        <w:t>Current_Status</w:t>
      </w:r>
    </w:p>
    <w:p>
      <w:pPr>
        <w:pStyle w:val="ListBullet"/>
      </w:pPr>
      <w:r>
        <w:t>Evidence Score</w:t>
      </w:r>
    </w:p>
    <w:p>
      <w:pPr>
        <w:pStyle w:val="ListBullet"/>
      </w:pPr>
      <w:r>
        <w:t>Technical Score</w:t>
      </w:r>
    </w:p>
    <w:p>
      <w:pPr>
        <w:pStyle w:val="ListBullet"/>
      </w:pPr>
      <w:r>
        <w:t>Fundamental Score</w:t>
      </w:r>
    </w:p>
    <w:p>
      <w:pPr>
        <w:pStyle w:val="ListBullet"/>
      </w:pPr>
      <w:r>
        <w:t>Macro Score</w:t>
      </w:r>
    </w:p>
    <w:p>
      <w:pPr>
        <w:pStyle w:val="ListBullet"/>
      </w:pPr>
      <w:r>
        <w:t>Capital Flow Score</w:t>
      </w:r>
    </w:p>
    <w:p>
      <w:pPr>
        <w:pStyle w:val="ListBullet"/>
      </w:pPr>
      <w:r>
        <w:t>Risk Score</w:t>
      </w:r>
    </w:p>
    <w:p>
      <w:pPr>
        <w:pStyle w:val="ListBullet"/>
      </w:pPr>
      <w:r>
        <w:t>Theme Score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Confidence</w:t>
      </w:r>
    </w:p>
    <w:p>
      <w:pPr>
        <w:pStyle w:val="ListBullet"/>
      </w:pPr>
      <w:r>
        <w:t>Overall Opportunity Score</w:t>
      </w:r>
    </w:p>
    <w:p>
      <w:pPr>
        <w:pStyle w:val="ListBullet"/>
      </w:pPr>
      <w:r>
        <w:t>Expiry Condition</w:t>
      </w:r>
    </w:p>
    <w:p>
      <w:pPr>
        <w:pStyle w:val="Heading2"/>
      </w:pPr>
      <w:r>
        <w:t>Lifecycle</w:t>
      </w:r>
    </w:p>
    <w:p>
      <w:pPr>
        <w:pStyle w:val="ListNumber"/>
      </w:pPr>
      <w:r>
        <w:t>Observed</w:t>
      </w:r>
    </w:p>
    <w:p>
      <w:pPr>
        <w:pStyle w:val="ListNumber"/>
      </w:pPr>
      <w:r>
        <w:t>Candidate</w:t>
      </w:r>
    </w:p>
    <w:p>
      <w:pPr>
        <w:pStyle w:val="ListNumber"/>
      </w:pPr>
      <w:r>
        <w:t>Emerging</w:t>
      </w:r>
    </w:p>
    <w:p>
      <w:pPr>
        <w:pStyle w:val="ListNumber"/>
      </w:pPr>
      <w:r>
        <w:t>Developing</w:t>
      </w:r>
    </w:p>
    <w:p>
      <w:pPr>
        <w:pStyle w:val="ListNumber"/>
      </w:pPr>
      <w:r>
        <w:t>Qualified</w:t>
      </w:r>
    </w:p>
    <w:p>
      <w:pPr>
        <w:pStyle w:val="ListNumber"/>
      </w:pPr>
      <w:r>
        <w:t>Committee Review</w:t>
      </w:r>
    </w:p>
    <w:p>
      <w:pPr>
        <w:pStyle w:val="ListNumber"/>
      </w:pPr>
      <w:r>
        <w:t>Approved</w:t>
      </w:r>
    </w:p>
    <w:p>
      <w:pPr>
        <w:pStyle w:val="ListNumber"/>
      </w:pPr>
      <w:r>
        <w:t>Portfolio</w:t>
      </w:r>
    </w:p>
    <w:p>
      <w:pPr>
        <w:pStyle w:val="ListNumber"/>
      </w:pPr>
      <w:r>
        <w:t>Monitoring</w:t>
      </w:r>
    </w:p>
    <w:p>
      <w:pPr>
        <w:pStyle w:val="ListNumber"/>
      </w:pPr>
      <w:r>
        <w:t>Closed</w:t>
      </w:r>
    </w:p>
    <w:p>
      <w:pPr>
        <w:pStyle w:val="ListNumber"/>
      </w:pPr>
      <w:r>
        <w:t>Learning</w:t>
      </w:r>
    </w:p>
    <w:p>
      <w:pPr>
        <w:pStyle w:val="ListNumber"/>
      </w:pPr>
      <w:r>
        <w:t>Archived</w:t>
      </w:r>
    </w:p>
    <w:p>
      <w:pPr>
        <w:pStyle w:val="Heading2"/>
      </w:pPr>
      <w:r>
        <w:t>Operational Rules</w:t>
      </w:r>
    </w:p>
    <w:p>
      <w:pPr>
        <w:pStyle w:val="ListBullet"/>
      </w:pPr>
      <w:r>
        <w:t>Every opportunity has a unique ID.</w:t>
      </w:r>
    </w:p>
    <w:p>
      <w:pPr>
        <w:pStyle w:val="ListBullet"/>
      </w:pPr>
      <w:r>
        <w:t>No recommendation without evidence.</w:t>
      </w:r>
    </w:p>
    <w:p>
      <w:pPr>
        <w:pStyle w:val="ListBullet"/>
      </w:pPr>
      <w:r>
        <w:t>Every opportunity has an expiry condition.</w:t>
      </w:r>
    </w:p>
    <w:p>
      <w:pPr>
        <w:pStyle w:val="ListBullet"/>
      </w:pPr>
      <w:r>
        <w:t>Every outcome feeds the Learning Engine.</w:t>
      </w:r>
    </w:p>
    <w:p>
      <w:pPr>
        <w:pStyle w:val="ListBullet"/>
      </w:pPr>
      <w:r>
        <w:t>Every opportunity is linked to Themes, Events and Value Chains where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