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24486E"/>
          <w:spacing w:val="60"/>
          <w:sz w:val="20"/>
          <w:szCs w:val="20"/>
        </w:rPr>
        <w:t xml:space="preserve">LIKEWISE</w:t>
      </w:r>
    </w:p>
    <w:p>
      <w:pPr>
        <w:spacing w:after="100"/>
      </w:pPr>
      <w:r>
        <w:rPr>
          <w:rFonts w:ascii="Calibri" w:cs="Calibri" w:eastAsia="Calibri" w:hAnsi="Calibri"/>
          <w:b/>
          <w:bCs/>
          <w:color w:val="1B1F26"/>
          <w:sz w:val="52"/>
          <w:szCs w:val="52"/>
        </w:rPr>
        <w:t xml:space="preserve">User Guide</w:t>
      </w:r>
    </w:p>
    <w:p>
      <w:pPr>
        <w:spacing w:after="100"/>
      </w:pPr>
      <w:r>
        <w:rPr>
          <w:rFonts w:ascii="Calibri" w:cs="Calibri" w:eastAsia="Calibri" w:hAnsi="Calibri"/>
          <w:color w:val="6B7280"/>
          <w:sz w:val="20"/>
          <w:szCs w:val="20"/>
        </w:rPr>
        <w:t xml:space="preserve">Every screen and every number, for a reader who is not a statistician</w:t>
      </w:r>
    </w:p>
    <w:p>
      <w:pPr>
        <w:pBdr>
          <w:bottom w:val="single" w:color="24486E" w:sz="12"/>
        </w:pBdr>
        <w:spacing w:after="420"/>
      </w:pPr>
      <w:r>
        <w:rPr>
          <w:rFonts w:ascii="Calibri" w:cs="Calibri" w:eastAsia="Calibri" w:hAnsi="Calibri"/>
          <w:color w:val="6B7280"/>
          <w:sz w:val="16"/>
          <w:szCs w:val="16"/>
        </w:rPr>
        <w:t xml:space="preserve">Likewise v0.13.0  ·  comparability specification 1.4.0  ·  Apache License 2.0</w:t>
      </w:r>
    </w:p>
    <w:p>
      <w:pPr>
        <w:spacing w:after="140" w:before="60"/>
        <w:jc w:val="left"/>
      </w:pPr>
      <w:r>
        <w:rPr>
          <w:rFonts w:ascii="Georgia" w:cs="Georgia" w:eastAsia="Georgia" w:hAnsi="Georgia"/>
          <w:color w:val="1B1F26"/>
          <w:sz w:val="21"/>
          <w:szCs w:val="21"/>
        </w:rPr>
        <w:t xml:space="preserve">This guide assumes nothing. It explains what the product does, how to run it, what every screen shows, and — the part most people skip and shouldn't — what a result does </w:t>
      </w:r>
      <w:r>
        <w:rPr>
          <w:rFonts w:ascii="Georgia" w:cs="Georgia" w:eastAsia="Georgia" w:hAnsi="Georgia"/>
          <w:b/>
          <w:bCs/>
          <w:color w:val="1B1F26"/>
          <w:sz w:val="21"/>
          <w:szCs w:val="21"/>
        </w:rPr>
        <w:t xml:space="preserve">not</w:t>
      </w:r>
      <w:r>
        <w:rPr>
          <w:rFonts w:ascii="Georgia" w:cs="Georgia" w:eastAsia="Georgia" w:hAnsi="Georgia"/>
          <w:color w:val="1B1F26"/>
          <w:sz w:val="21"/>
          <w:szCs w:val="21"/>
        </w:rPr>
        <w:t xml:space="preserve"> mean.</w:t>
      </w:r>
    </w:p>
    <w:p>
      <w:pPr>
        <w:spacing w:after="140" w:before="60"/>
        <w:jc w:val="left"/>
      </w:pPr>
      <w:r>
        <w:rPr>
          <w:rFonts w:ascii="Georgia" w:cs="Georgia" w:eastAsia="Georgia" w:hAnsi="Georgia"/>
          <w:color w:val="1B1F26"/>
          <w:sz w:val="21"/>
          <w:szCs w:val="21"/>
        </w:rPr>
        <w:t xml:space="preserve">If you want the statistics, read [METHOD.md](METHOD.md). If you want the architecture, read [DESIGN.md](DESIGN.md). If you are deploying it, read [OPERATIONS.md](OPERATIONS.md).</w:t>
      </w:r>
    </w:p>
    <w:p>
      <w:pPr>
        <w:spacing w:after="120" w:before="600"/>
      </w:pPr>
      <w:r>
        <w:rPr>
          <w:rFonts w:ascii="Calibri" w:cs="Calibri" w:eastAsia="Calibri" w:hAnsi="Calibri"/>
          <w:b/>
          <w:bCs/>
          <w:color w:val="24486E"/>
          <w:sz w:val="26"/>
          <w:szCs w:val="2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20" w:before="280"/>
      </w:pPr>
      <w:r>
        <w:rPr>
          <w:rFonts w:ascii="Calibri" w:cs="Calibri" w:eastAsia="Calibri" w:hAnsi="Calibri"/>
          <w:b/>
          <w:bCs/>
          <w:color w:val="24486E"/>
          <w:sz w:val="24"/>
          <w:szCs w:val="24"/>
        </w:rPr>
        <w:t xml:space="preserve">1. What Likewise does, in one paragraph</w:t>
      </w:r>
    </w:p>
    <w:p>
      <w:pPr>
        <w:spacing w:after="140" w:before="60"/>
        <w:jc w:val="left"/>
      </w:pPr>
      <w:r>
        <w:rPr>
          <w:rFonts w:ascii="Georgia" w:cs="Georgia" w:eastAsia="Georgia" w:hAnsi="Georgia"/>
          <w:color w:val="1B1F26"/>
          <w:sz w:val="21"/>
          <w:szCs w:val="21"/>
        </w:rPr>
        <w:t xml:space="preserve">Every year, mortgage lenders in the United States publish a record of every application they received, whether they approved or denied it, and — for denials — the reason they gave. This is the HMDA public file, and it is genuinely public: anyone can download it.</w:t>
      </w:r>
    </w:p>
    <w:p>
      <w:pPr>
        <w:spacing w:after="140" w:before="60"/>
        <w:jc w:val="left"/>
      </w:pPr>
      <w:r>
        <w:rPr>
          <w:rFonts w:ascii="Georgia" w:cs="Georgia" w:eastAsia="Georgia" w:hAnsi="Georgia"/>
          <w:color w:val="1B1F26"/>
          <w:sz w:val="21"/>
          <w:szCs w:val="21"/>
        </w:rPr>
        <w:t xml:space="preserve">Likewise reads one lender's own published filing and asks a narrow question, one denial at a time:</w:t>
      </w:r>
    </w:p>
    <w:p>
      <w:pPr>
        <w:pBdr>
          <w:left w:val="single" w:color="24486E" w:sz="12"/>
        </w:pBdr>
        <w:spacing w:after="140" w:before="100"/>
        <w:ind w:left="360"/>
      </w:pPr>
      <w:r>
        <w:rPr>
          <w:rFonts w:ascii="Georgia" w:cs="Georgia" w:eastAsia="Georgia" w:hAnsi="Georgia"/>
          <w:color w:val="3A4250"/>
          <w:sz w:val="21"/>
          <w:szCs w:val="21"/>
        </w:rPr>
        <w:t xml:space="preserve">Among the applications this lender </w:t>
      </w:r>
      <w:r>
        <w:rPr>
          <w:rFonts w:ascii="Georgia" w:cs="Georgia" w:eastAsia="Georgia" w:hAnsi="Georgia"/>
          <w:b/>
          <w:bCs/>
          <w:color w:val="3A4250"/>
          <w:sz w:val="21"/>
          <w:szCs w:val="21"/>
        </w:rPr>
        <w:t xml:space="preserve">approved</w:t>
      </w:r>
      <w:r>
        <w:rPr>
          <w:rFonts w:ascii="Georgia" w:cs="Georgia" w:eastAsia="Georgia" w:hAnsi="Georgia"/>
          <w:color w:val="3A4250"/>
          <w:sz w:val="21"/>
          <w:szCs w:val="21"/>
        </w:rPr>
        <w:t xml:space="preserve">, is there one that looks the same as</w:t>
      </w:r>
    </w:p>
    <w:p>
      <w:pPr>
        <w:pBdr>
          <w:left w:val="single" w:color="24486E" w:sz="12"/>
        </w:pBdr>
        <w:spacing w:after="140" w:before="100"/>
        <w:ind w:left="360"/>
      </w:pPr>
      <w:r>
        <w:rPr>
          <w:rFonts w:ascii="Georgia" w:cs="Georgia" w:eastAsia="Georgia" w:hAnsi="Georgia"/>
          <w:color w:val="3A4250"/>
          <w:sz w:val="21"/>
          <w:szCs w:val="21"/>
        </w:rPr>
        <w:t xml:space="preserve">this denied application on everything the public record shows, and is </w:t>
      </w:r>
      <w:r>
        <w:rPr>
          <w:rFonts w:ascii="Georgia" w:cs="Georgia" w:eastAsia="Georgia" w:hAnsi="Georgia"/>
          <w:b/>
          <w:bCs/>
          <w:color w:val="3A4250"/>
          <w:sz w:val="21"/>
          <w:szCs w:val="21"/>
        </w:rPr>
        <w:t xml:space="preserve">no better</w:t>
      </w:r>
      <w:r>
        <w:rPr>
          <w:rFonts w:ascii="Georgia" w:cs="Georgia" w:eastAsia="Georgia" w:hAnsi="Georgia"/>
          <w:color w:val="3A4250"/>
          <w:sz w:val="21"/>
          <w:szCs w:val="21"/>
        </w:rPr>
        <w:t xml:space="preserve"> on</w:t>
      </w:r>
    </w:p>
    <w:p>
      <w:pPr>
        <w:pBdr>
          <w:left w:val="single" w:color="24486E" w:sz="12"/>
        </w:pBdr>
        <w:spacing w:after="140" w:before="100"/>
        <w:ind w:left="360"/>
      </w:pPr>
      <w:r>
        <w:rPr>
          <w:rFonts w:ascii="Georgia" w:cs="Georgia" w:eastAsia="Georgia" w:hAnsi="Georgia"/>
          <w:color w:val="3A4250"/>
          <w:sz w:val="21"/>
          <w:szCs w:val="21"/>
        </w:rPr>
        <w:t xml:space="preserve">the specific thing the lender said it denied for?</w:t>
      </w:r>
    </w:p>
    <w:p>
      <w:pPr>
        <w:spacing w:after="140" w:before="60"/>
        <w:jc w:val="left"/>
      </w:pPr>
      <w:r>
        <w:rPr>
          <w:rFonts w:ascii="Georgia" w:cs="Georgia" w:eastAsia="Georgia" w:hAnsi="Georgia"/>
          <w:color w:val="1B1F26"/>
          <w:sz w:val="21"/>
          <w:szCs w:val="21"/>
        </w:rPr>
        <w:t xml:space="preserve">When the answer is yes, that denial is flagged. It is a place to look, not a conclusion.</w:t>
      </w:r>
    </w:p>
    <w:p>
      <w:pPr>
        <w:pStyle w:val="Heading2"/>
        <w:spacing w:after="120" w:before="280"/>
      </w:pPr>
      <w:r>
        <w:rPr>
          <w:rFonts w:ascii="Calibri" w:cs="Calibri" w:eastAsia="Calibri" w:hAnsi="Calibri"/>
          <w:b/>
          <w:bCs/>
          <w:color w:val="24486E"/>
          <w:sz w:val="24"/>
          <w:szCs w:val="24"/>
        </w:rPr>
        <w:t xml:space="preserve">2. Why that question is worth asking</w:t>
      </w:r>
    </w:p>
    <w:p>
      <w:pPr>
        <w:spacing w:after="140" w:before="60"/>
        <w:jc w:val="left"/>
      </w:pPr>
      <w:r>
        <w:rPr>
          <w:rFonts w:ascii="Georgia" w:cs="Georgia" w:eastAsia="Georgia" w:hAnsi="Georgia"/>
          <w:color w:val="1B1F26"/>
          <w:sz w:val="21"/>
          <w:szCs w:val="21"/>
        </w:rPr>
        <w:t xml:space="preserve">A lender that denies an application "for collateral" and, in the same county, in the same loan programme, approves an application at a </w:t>
      </w:r>
      <w:r>
        <w:rPr>
          <w:rFonts w:ascii="Georgia" w:cs="Georgia" w:eastAsia="Georgia" w:hAnsi="Georgia"/>
          <w:i/>
          <w:iCs/>
          <w:color w:val="1B1F26"/>
          <w:sz w:val="21"/>
          <w:szCs w:val="21"/>
        </w:rPr>
        <w:t xml:space="preserve">worse</w:t>
      </w:r>
      <w:r>
        <w:rPr>
          <w:rFonts w:ascii="Georgia" w:cs="Georgia" w:eastAsia="Georgia" w:hAnsi="Georgia"/>
          <w:color w:val="1B1F26"/>
          <w:sz w:val="21"/>
          <w:szCs w:val="21"/>
        </w:rPr>
        <w:t xml:space="preserve"> loan-to-value ratio has not necessarily done anything wrong. Underwriting uses information that never reaches the public file — credit scores, reserves, employment history, the appraisal narrative. Any single pair can have a perfectly good explanation.</w:t>
      </w:r>
    </w:p>
    <w:p>
      <w:pPr>
        <w:spacing w:after="140" w:before="60"/>
        <w:jc w:val="left"/>
      </w:pPr>
      <w:r>
        <w:rPr>
          <w:rFonts w:ascii="Georgia" w:cs="Georgia" w:eastAsia="Georgia" w:hAnsi="Georgia"/>
          <w:color w:val="1B1F26"/>
          <w:sz w:val="21"/>
          <w:szCs w:val="21"/>
        </w:rPr>
        <w:t xml:space="preserve">What Likewise gives you is a </w:t>
      </w:r>
      <w:r>
        <w:rPr>
          <w:rFonts w:ascii="Georgia" w:cs="Georgia" w:eastAsia="Georgia" w:hAnsi="Georgia"/>
          <w:b/>
          <w:bCs/>
          <w:color w:val="1B1F26"/>
          <w:sz w:val="21"/>
          <w:szCs w:val="21"/>
        </w:rPr>
        <w:t xml:space="preserve">prioritised place to start</w:t>
      </w:r>
      <w:r>
        <w:rPr>
          <w:rFonts w:ascii="Georgia" w:cs="Georgia" w:eastAsia="Georgia" w:hAnsi="Georgia"/>
          <w:color w:val="1B1F26"/>
          <w:sz w:val="21"/>
          <w:szCs w:val="21"/>
        </w:rPr>
        <w:t xml:space="preserve">: a short list, out of thousands of denials, where the public record itself does not support the stated reason. A compliance team reviewing files by hand can only read so many. This decides which ones to read.</w:t>
      </w:r>
    </w:p>
    <w:p>
      <w:pPr>
        <w:spacing w:after="140" w:before="60"/>
        <w:jc w:val="left"/>
      </w:pPr>
      <w:r>
        <w:rPr>
          <w:rFonts w:ascii="Georgia" w:cs="Georgia" w:eastAsia="Georgia" w:hAnsi="Georgia"/>
          <w:color w:val="1B1F26"/>
          <w:sz w:val="21"/>
          <w:szCs w:val="21"/>
        </w:rPr>
        <w:t xml:space="preserve">That is the entire value claim. Everything else in this document exists to keep the claim that size.</w:t>
      </w:r>
    </w:p>
    <w:p>
      <w:pPr>
        <w:pStyle w:val="Heading2"/>
        <w:spacing w:after="120" w:before="280"/>
      </w:pPr>
      <w:r>
        <w:rPr>
          <w:rFonts w:ascii="Calibri" w:cs="Calibri" w:eastAsia="Calibri" w:hAnsi="Calibri"/>
          <w:b/>
          <w:bCs/>
          <w:color w:val="24486E"/>
          <w:sz w:val="24"/>
          <w:szCs w:val="24"/>
        </w:rPr>
        <w:t xml:space="preserve">3. What it is not</w:t>
      </w:r>
    </w:p>
    <w:p>
      <w:pPr>
        <w:spacing w:after="140" w:before="60"/>
        <w:jc w:val="left"/>
      </w:pPr>
      <w:r>
        <w:rPr>
          <w:rFonts w:ascii="Georgia" w:cs="Georgia" w:eastAsia="Georgia" w:hAnsi="Georgia"/>
          <w:color w:val="1B1F26"/>
          <w:sz w:val="21"/>
          <w:szCs w:val="21"/>
        </w:rPr>
        <w:t xml:space="preserve">Read this section before you show anyone a result.</w:t>
      </w:r>
    </w:p>
    <w:p>
      <w:pPr>
        <w:spacing w:after="140" w:before="60"/>
        <w:jc w:val="left"/>
      </w:pPr>
      <w:r>
        <w:rPr>
          <w:rFonts w:ascii="Georgia" w:cs="Georgia" w:eastAsia="Georgia" w:hAnsi="Georgia"/>
          <w:b/>
          <w:bCs/>
          <w:color w:val="1B1F26"/>
          <w:sz w:val="21"/>
          <w:szCs w:val="21"/>
        </w:rPr>
        <w:t xml:space="preserve">It is not a fair lending finding.</w:t>
      </w:r>
      <w:r>
        <w:rPr>
          <w:rFonts w:ascii="Georgia" w:cs="Georgia" w:eastAsia="Georgia" w:hAnsi="Georgia"/>
          <w:color w:val="1B1F26"/>
          <w:sz w:val="21"/>
          <w:szCs w:val="21"/>
        </w:rPr>
        <w:t xml:space="preserve"> Likewise deliberately does not look at race, ethnicity or sex. Without a protected-class axis, a matched pair with opposite outcomes is evidence of </w:t>
      </w:r>
      <w:r>
        <w:rPr>
          <w:rFonts w:ascii="Georgia" w:cs="Georgia" w:eastAsia="Georgia" w:hAnsi="Georgia"/>
          <w:i/>
          <w:iCs/>
          <w:color w:val="1B1F26"/>
          <w:sz w:val="21"/>
          <w:szCs w:val="21"/>
        </w:rPr>
        <w:t xml:space="preserve">inconsistent underwriting</w:t>
      </w:r>
      <w:r>
        <w:rPr>
          <w:rFonts w:ascii="Georgia" w:cs="Georgia" w:eastAsia="Georgia" w:hAnsi="Georgia"/>
          <w:color w:val="1B1F26"/>
          <w:sz w:val="21"/>
          <w:szCs w:val="21"/>
        </w:rPr>
        <w:t xml:space="preserve"> — a discretion risk factor — and nothing more.</w:t>
      </w:r>
    </w:p>
    <w:p>
      <w:pPr>
        <w:spacing w:after="140" w:before="60"/>
        <w:jc w:val="left"/>
      </w:pPr>
      <w:r>
        <w:rPr>
          <w:rFonts w:ascii="Georgia" w:cs="Georgia" w:eastAsia="Georgia" w:hAnsi="Georgia"/>
          <w:b/>
          <w:bCs/>
          <w:color w:val="1B1F26"/>
          <w:sz w:val="21"/>
          <w:szCs w:val="21"/>
        </w:rPr>
        <w:t xml:space="preserve">It is not comparative file review.</w:t>
      </w:r>
      <w:r>
        <w:rPr>
          <w:rFonts w:ascii="Georgia" w:cs="Georgia" w:eastAsia="Georgia" w:hAnsi="Georgia"/>
          <w:color w:val="1B1F26"/>
          <w:sz w:val="21"/>
          <w:szCs w:val="21"/>
        </w:rPr>
        <w:t xml:space="preserve"> The Interagency Fair Lending Examination Procedures define that term: a prohibited-basis group against a control group, marginal transactions, the lender's own written criteria, and a step where the lender explains each pair. Likewise does the first mechanical slice of the work and none of the rest.</w:t>
      </w:r>
    </w:p>
    <w:p>
      <w:pPr>
        <w:spacing w:after="140" w:before="60"/>
        <w:jc w:val="left"/>
      </w:pPr>
      <w:r>
        <w:rPr>
          <w:rFonts w:ascii="Georgia" w:cs="Georgia" w:eastAsia="Georgia" w:hAnsi="Georgia"/>
          <w:b/>
          <w:bCs/>
          <w:color w:val="1B1F26"/>
          <w:sz w:val="21"/>
          <w:szCs w:val="21"/>
        </w:rPr>
        <w:t xml:space="preserve">A finding is not a claim about an application.</w:t>
      </w:r>
      <w:r>
        <w:rPr>
          <w:rFonts w:ascii="Georgia" w:cs="Georgia" w:eastAsia="Georgia" w:hAnsi="Georgia"/>
          <w:color w:val="1B1F26"/>
          <w:sz w:val="21"/>
          <w:szCs w:val="21"/>
        </w:rPr>
        <w:t xml:space="preserve"> Every finding carries </w:t>
      </w:r>
      <w:r>
        <w:rPr>
          <w:rFonts w:ascii="Consolas" w:cs="Consolas" w:eastAsia="Consolas" w:hAnsi="Consolas"/>
          <w:color w:val="1B1F26"/>
          <w:sz w:val="19"/>
          <w:szCs w:val="19"/>
        </w:rPr>
        <w:t xml:space="preserve">evidentiary_status: screening_hypothesis</w:t>
      </w:r>
      <w:r>
        <w:rPr>
          <w:rFonts w:ascii="Georgia" w:cs="Georgia" w:eastAsia="Georgia" w:hAnsi="Georgia"/>
          <w:color w:val="1B1F26"/>
          <w:sz w:val="21"/>
          <w:szCs w:val="21"/>
        </w:rPr>
        <w:t xml:space="preserve"> in the data itself, so a downstream system cannot quietly promote it to something stronger.</w:t>
      </w:r>
    </w:p>
    <w:p>
      <w:pPr>
        <w:spacing w:after="140" w:before="60"/>
        <w:jc w:val="left"/>
      </w:pPr>
      <w:r>
        <w:rPr>
          <w:rFonts w:ascii="Georgia" w:cs="Georgia" w:eastAsia="Georgia" w:hAnsi="Georgia"/>
          <w:b/>
          <w:bCs/>
          <w:color w:val="1B1F26"/>
          <w:sz w:val="21"/>
          <w:szCs w:val="21"/>
        </w:rPr>
        <w:t xml:space="preserve">"Collateral" is not "loan-to-value".</w:t>
      </w:r>
      <w:r>
        <w:rPr>
          <w:rFonts w:ascii="Georgia" w:cs="Georgia" w:eastAsia="Georgia" w:hAnsi="Georgia"/>
          <w:color w:val="1B1F26"/>
          <w:sz w:val="21"/>
          <w:szCs w:val="21"/>
        </w:rPr>
        <w:t xml:space="preserve"> Denial reason 4 is a bucket for property problems of every kind — a failed appraisal, a title defect, an uninsurable structure. A loan-to-value difference of a point and a half has ordinary explanations.</w:t>
      </w:r>
    </w:p>
    <w:p>
      <w:pPr>
        <w:spacing w:after="140" w:before="60"/>
        <w:jc w:val="left"/>
      </w:pPr>
      <w:r>
        <w:rPr>
          <w:rFonts w:ascii="Georgia" w:cs="Georgia" w:eastAsia="Georgia" w:hAnsi="Georgia"/>
          <w:b/>
          <w:bCs/>
          <w:color w:val="1B1F26"/>
          <w:sz w:val="21"/>
          <w:szCs w:val="21"/>
        </w:rPr>
        <w:t xml:space="preserve">Denial reasons are first-sufficient, unranked and not exhaustive.</w:t>
      </w:r>
      <w:r>
        <w:rPr>
          <w:rFonts w:ascii="Georgia" w:cs="Georgia" w:eastAsia="Georgia" w:hAnsi="Georgia"/>
          <w:color w:val="1B1F26"/>
          <w:sz w:val="21"/>
          <w:szCs w:val="21"/>
        </w:rPr>
        <w:t xml:space="preserve"> A lender lists up to four; the list is not ordered by importance and does not have to be complete.</w:t>
      </w:r>
    </w:p>
    <w:p>
      <w:pPr>
        <w:spacing w:after="140" w:before="60"/>
        <w:jc w:val="left"/>
      </w:pPr>
      <w:r>
        <w:rPr>
          <w:rFonts w:ascii="Georgia" w:cs="Georgia" w:eastAsia="Georgia" w:hAnsi="Georgia"/>
          <w:b/>
          <w:bCs/>
          <w:color w:val="1B1F26"/>
          <w:sz w:val="21"/>
          <w:szCs w:val="21"/>
        </w:rPr>
        <w:t xml:space="preserve">Income is not fully comparable across the pair.</w:t>
      </w:r>
      <w:r>
        <w:rPr>
          <w:rFonts w:ascii="Georgia" w:cs="Georgia" w:eastAsia="Georgia" w:hAnsi="Georgia"/>
          <w:color w:val="1B1F26"/>
          <w:sz w:val="21"/>
          <w:szCs w:val="21"/>
        </w:rPr>
        <w:t xml:space="preserve"> For an approved loan the income was verified. For a denial it is often what the applicant stated.</w:t>
      </w:r>
    </w:p>
    <w:p>
      <w:pPr>
        <w:spacing w:after="140" w:before="60"/>
        <w:jc w:val="left"/>
      </w:pPr>
      <w:r>
        <w:rPr>
          <w:rFonts w:ascii="Georgia" w:cs="Georgia" w:eastAsia="Georgia" w:hAnsi="Georgia"/>
          <w:b/>
          <w:bCs/>
          <w:color w:val="1B1F26"/>
          <w:sz w:val="21"/>
          <w:szCs w:val="21"/>
        </w:rPr>
        <w:t xml:space="preserve">Reason-coding is gameable, and the incentive runs the wrong way.</w:t>
      </w:r>
      <w:r>
        <w:rPr>
          <w:rFonts w:ascii="Georgia" w:cs="Georgia" w:eastAsia="Georgia" w:hAnsi="Georgia"/>
          <w:color w:val="1B1F26"/>
          <w:sz w:val="21"/>
          <w:szCs w:val="21"/>
        </w:rPr>
        <w:t xml:space="preserve"> Because Likewise resolves multiple codes conservatively, a lender who adds untestable codes gets </w:t>
      </w:r>
      <w:r>
        <w:rPr>
          <w:rFonts w:ascii="Georgia" w:cs="Georgia" w:eastAsia="Georgia" w:hAnsi="Georgia"/>
          <w:i/>
          <w:iCs/>
          <w:color w:val="1B1F26"/>
          <w:sz w:val="21"/>
          <w:szCs w:val="21"/>
        </w:rPr>
        <w:t xml:space="preserve">fewer</w:t>
      </w:r>
      <w:r>
        <w:rPr>
          <w:rFonts w:ascii="Georgia" w:cs="Georgia" w:eastAsia="Georgia" w:hAnsi="Georgia"/>
          <w:color w:val="1B1F26"/>
          <w:sz w:val="21"/>
          <w:szCs w:val="21"/>
        </w:rPr>
        <w:t xml:space="preserve"> findings. That is why the reason-code composition of each filing is published beside every result.</w:t>
      </w:r>
    </w:p>
    <w:p>
      <w:pPr>
        <w:pStyle w:val="Heading2"/>
        <w:spacing w:after="120" w:before="280"/>
      </w:pPr>
      <w:r>
        <w:rPr>
          <w:rFonts w:ascii="Calibri" w:cs="Calibri" w:eastAsia="Calibri" w:hAnsi="Calibri"/>
          <w:b/>
          <w:bCs/>
          <w:color w:val="24486E"/>
          <w:sz w:val="24"/>
          <w:szCs w:val="24"/>
        </w:rPr>
        <w:t xml:space="preserve">4. Installing and starting it</w:t>
      </w:r>
    </w:p>
    <w:p>
      <w:pPr>
        <w:spacing w:after="140" w:before="60"/>
        <w:jc w:val="left"/>
      </w:pPr>
      <w:r>
        <w:rPr>
          <w:rFonts w:ascii="Georgia" w:cs="Georgia" w:eastAsia="Georgia" w:hAnsi="Georgia"/>
          <w:color w:val="1B1F26"/>
          <w:sz w:val="21"/>
          <w:szCs w:val="21"/>
        </w:rPr>
        <w:t xml:space="preserve">Two ways to run it. Both are one command.</w:t>
      </w:r>
    </w:p>
    <w:p>
      <w:pPr>
        <w:spacing w:after="140" w:before="60"/>
        <w:jc w:val="left"/>
      </w:pPr>
      <w:r>
        <w:rPr>
          <w:rFonts w:ascii="Georgia" w:cs="Georgia" w:eastAsia="Georgia" w:hAnsi="Georgia"/>
          <w:b/>
          <w:bCs/>
          <w:color w:val="1B1F26"/>
          <w:sz w:val="21"/>
          <w:szCs w:val="21"/>
        </w:rPr>
        <w:t xml:space="preserve">As a container</w:t>
      </w:r>
      <w:r>
        <w:rPr>
          <w:rFonts w:ascii="Georgia" w:cs="Georgia" w:eastAsia="Georgia" w:hAnsi="Georgia"/>
          <w:color w:val="1B1F26"/>
          <w:sz w:val="21"/>
          <w:szCs w:val="21"/>
        </w:rPr>
        <w:t xml:space="preserve"> (recommended for anything but code work — nothing but podman is needed):</w:t>
      </w:r>
    </w:p>
    <w:p>
      <w:pPr>
        <w:pBdr>
          <w:left w:val="single" w:color="24486E" w:sz="12"/>
        </w:pBdr>
        <w:shd w:fill="F5F6F8" w:color="auto" w:val="clear"/>
        <w:spacing w:after="160" w:before="120"/>
      </w:pPr>
      <w:r>
        <w:rPr>
          <w:rFonts w:ascii="Consolas" w:cs="Consolas" w:eastAsia="Consolas" w:hAnsi="Consolas"/>
          <w:color w:val="1B1F26"/>
          <w:sz w:val="16"/>
          <w:szCs w:val="16"/>
        </w:rPr>
        <w:t xml:space="preserve">./install.sh --container</w:t>
      </w:r>
      <w:r>
        <w:br/>
      </w:r>
      <w:r>
        <w:rPr>
          <w:rFonts w:ascii="Consolas" w:cs="Consolas" w:eastAsia="Consolas" w:hAnsi="Consolas"/>
          <w:color w:val="1B1F26"/>
          <w:sz w:val="16"/>
          <w:szCs w:val="16"/>
        </w:rPr>
        <w:t xml:space="preserve">./likewise.sh start</w:t>
      </w:r>
    </w:p>
    <w:p>
      <w:pPr>
        <w:spacing w:after="140" w:before="60"/>
        <w:jc w:val="left"/>
      </w:pPr>
      <w:r>
        <w:rPr>
          <w:rFonts w:ascii="Georgia" w:cs="Georgia" w:eastAsia="Georgia" w:hAnsi="Georgia"/>
          <w:b/>
          <w:bCs/>
          <w:color w:val="1B1F26"/>
          <w:sz w:val="21"/>
          <w:szCs w:val="21"/>
        </w:rPr>
        <w:t xml:space="preserve">In a virtual environment</w:t>
      </w:r>
      <w:r>
        <w:rPr>
          <w:rFonts w:ascii="Georgia" w:cs="Georgia" w:eastAsia="Georgia" w:hAnsi="Georgia"/>
          <w:color w:val="1B1F26"/>
          <w:sz w:val="21"/>
          <w:szCs w:val="21"/>
        </w:rPr>
        <w:t xml:space="preserve"> (if you are going to edit the code):</w:t>
      </w:r>
    </w:p>
    <w:p>
      <w:pPr>
        <w:pBdr>
          <w:left w:val="single" w:color="24486E" w:sz="12"/>
        </w:pBdr>
        <w:shd w:fill="F5F6F8" w:color="auto" w:val="clear"/>
        <w:spacing w:after="160" w:before="120"/>
      </w:pPr>
      <w:r>
        <w:rPr>
          <w:rFonts w:ascii="Consolas" w:cs="Consolas" w:eastAsia="Consolas" w:hAnsi="Consolas"/>
          <w:color w:val="1B1F26"/>
          <w:sz w:val="16"/>
          <w:szCs w:val="16"/>
        </w:rPr>
        <w:t xml:space="preserve">./install.sh --venv</w:t>
      </w:r>
      <w:r>
        <w:br/>
      </w:r>
      <w:r>
        <w:rPr>
          <w:rFonts w:ascii="Consolas" w:cs="Consolas" w:eastAsia="Consolas" w:hAnsi="Consolas"/>
          <w:color w:val="1B1F26"/>
          <w:sz w:val="16"/>
          <w:szCs w:val="16"/>
        </w:rPr>
        <w:t xml:space="preserve">make serve</w:t>
      </w:r>
    </w:p>
    <w:p>
      <w:pPr>
        <w:spacing w:after="140" w:before="60"/>
        <w:jc w:val="left"/>
      </w:pPr>
      <w:r>
        <w:rPr>
          <w:rFonts w:ascii="Georgia" w:cs="Georgia" w:eastAsia="Georgia" w:hAnsi="Georgia"/>
          <w:color w:val="1B1F26"/>
          <w:sz w:val="21"/>
          <w:szCs w:val="21"/>
        </w:rPr>
        <w:t xml:space="preserve">Either way, open &lt;http://127.0.0.1:8080/ui&gt;.</w:t>
      </w:r>
    </w:p>
    <w:p>
      <w:pPr>
        <w:spacing w:after="140" w:before="60"/>
        <w:jc w:val="left"/>
      </w:pPr>
      <w:r>
        <w:rPr>
          <w:rFonts w:ascii="Georgia" w:cs="Georgia" w:eastAsia="Georgia" w:hAnsi="Georgia"/>
          <w:color w:val="1B1F26"/>
          <w:sz w:val="21"/>
          <w:szCs w:val="21"/>
        </w:rPr>
        <w:t xml:space="preserve">The container path prints a read/write credential into a </w:t>
      </w:r>
      <w:r>
        <w:rPr>
          <w:rFonts w:ascii="Consolas" w:cs="Consolas" w:eastAsia="Consolas" w:hAnsi="Consolas"/>
          <w:color w:val="1B1F26"/>
          <w:sz w:val="19"/>
          <w:szCs w:val="19"/>
        </w:rPr>
        <w:t xml:space="preserve">.env</w:t>
      </w:r>
      <w:r>
        <w:rPr>
          <w:rFonts w:ascii="Georgia" w:cs="Georgia" w:eastAsia="Georgia" w:hAnsi="Georgia"/>
          <w:color w:val="1B1F26"/>
          <w:sz w:val="21"/>
          <w:szCs w:val="21"/>
        </w:rPr>
        <w:t xml:space="preserve"> file on first start; sign in with that. The virtual-environment path uses the development credential </w:t>
      </w:r>
      <w:r>
        <w:rPr>
          <w:rFonts w:ascii="Consolas" w:cs="Consolas" w:eastAsia="Consolas" w:hAnsi="Consolas"/>
          <w:color w:val="1B1F26"/>
          <w:sz w:val="19"/>
          <w:szCs w:val="19"/>
        </w:rPr>
        <w:t xml:space="preserve">dev-write</w:t>
      </w:r>
      <w:r>
        <w:rPr>
          <w:rFonts w:ascii="Georgia" w:cs="Georgia" w:eastAsia="Georgia" w:hAnsi="Georgia"/>
          <w:color w:val="1B1F26"/>
          <w:sz w:val="21"/>
          <w:szCs w:val="21"/>
        </w:rPr>
        <w:t xml:space="preserve">, which is fine locally and wrong anywhere else.</w:t>
      </w:r>
    </w:p>
    <w:p>
      <w:pPr>
        <w:spacing w:after="140" w:before="60"/>
        <w:jc w:val="left"/>
      </w:pPr>
      <w:r>
        <w:rPr>
          <w:rFonts w:ascii="Georgia" w:cs="Georgia" w:eastAsia="Georgia" w:hAnsi="Georgia"/>
          <w:color w:val="1B1F26"/>
          <w:sz w:val="21"/>
          <w:szCs w:val="21"/>
        </w:rPr>
        <w:t xml:space="preserve">The install runs the specification gate, the test suite and — unless you pass </w:t>
      </w:r>
      <w:r>
        <w:rPr>
          <w:rFonts w:ascii="Consolas" w:cs="Consolas" w:eastAsia="Consolas" w:hAnsi="Consolas"/>
          <w:color w:val="1B1F26"/>
          <w:sz w:val="19"/>
          <w:szCs w:val="19"/>
        </w:rPr>
        <w:t xml:space="preserve">--quick</w:t>
      </w:r>
      <w:r>
        <w:rPr>
          <w:rFonts w:ascii="Georgia" w:cs="Georgia" w:eastAsia="Georgia" w:hAnsi="Georgia"/>
          <w:color w:val="1B1F26"/>
          <w:sz w:val="21"/>
          <w:szCs w:val="21"/>
        </w:rPr>
        <w:t xml:space="preserve"> — the mutation gate before it tells you it succeeded. If it stops, it stops with a reason.</w:t>
      </w:r>
    </w:p>
    <w:p>
      <w:pPr>
        <w:spacing w:after="140" w:before="60"/>
        <w:jc w:val="left"/>
      </w:pPr>
      <w:r>
        <w:rPr>
          <w:rFonts w:ascii="Georgia" w:cs="Georgia" w:eastAsia="Georgia" w:hAnsi="Georgia"/>
          <w:color w:val="1B1F26"/>
          <w:sz w:val="21"/>
          <w:szCs w:val="21"/>
        </w:rPr>
        <w:t xml:space="preserve">To see it work immediately without supplying data:</w:t>
      </w:r>
    </w:p>
    <w:p>
      <w:pPr>
        <w:pBdr>
          <w:left w:val="single" w:color="24486E" w:sz="12"/>
        </w:pBdr>
        <w:shd w:fill="F5F6F8" w:color="auto" w:val="clear"/>
        <w:spacing w:after="160" w:before="120"/>
      </w:pPr>
      <w:r>
        <w:rPr>
          <w:rFonts w:ascii="Consolas" w:cs="Consolas" w:eastAsia="Consolas" w:hAnsi="Consolas"/>
          <w:color w:val="1B1F26"/>
          <w:sz w:val="16"/>
          <w:szCs w:val="16"/>
        </w:rPr>
        <w:t xml:space="preserve">./install.sh --with-example</w:t>
      </w:r>
    </w:p>
    <w:p>
      <w:pPr>
        <w:spacing w:after="140" w:before="60"/>
        <w:jc w:val="left"/>
      </w:pPr>
      <w:r>
        <w:rPr>
          <w:rFonts w:ascii="Georgia" w:cs="Georgia" w:eastAsia="Georgia" w:hAnsi="Georgia"/>
          <w:color w:val="1B1F26"/>
          <w:sz w:val="21"/>
          <w:szCs w:val="21"/>
        </w:rPr>
        <w:t xml:space="preserve">This loads a 15,000-row example filing and runs the whole sequence end to end.</w:t>
      </w:r>
    </w:p>
    <w:p>
      <w:pPr>
        <w:pStyle w:val="Heading2"/>
        <w:spacing w:after="120" w:before="280"/>
      </w:pPr>
      <w:r>
        <w:rPr>
          <w:rFonts w:ascii="Calibri" w:cs="Calibri" w:eastAsia="Calibri" w:hAnsi="Calibri"/>
          <w:b/>
          <w:bCs/>
          <w:color w:val="24486E"/>
          <w:sz w:val="24"/>
          <w:szCs w:val="24"/>
        </w:rPr>
        <w:t xml:space="preserve">5. Loading your own filing</w:t>
      </w:r>
    </w:p>
    <w:p>
      <w:pPr>
        <w:pBdr>
          <w:left w:val="single" w:color="24486E" w:sz="12"/>
        </w:pBdr>
        <w:shd w:fill="F5F6F8" w:color="auto" w:val="clear"/>
        <w:spacing w:after="160" w:before="120"/>
      </w:pPr>
      <w:r>
        <w:rPr>
          <w:rFonts w:ascii="Consolas" w:cs="Consolas" w:eastAsia="Consolas" w:hAnsi="Consolas"/>
          <w:color w:val="1B1F26"/>
          <w:sz w:val="16"/>
          <w:szCs w:val="16"/>
        </w:rPr>
        <w:t xml:space="preserve">make template                       # puts the CSV template in data/inbox/</w:t>
      </w:r>
      <w:r>
        <w:br/>
      </w:r>
      <w:r>
        <w:rPr>
          <w:rFonts w:ascii="Consolas" w:cs="Consolas" w:eastAsia="Consolas" w:hAnsi="Consolas"/>
          <w:color w:val="1B1F26"/>
          <w:sz w:val="16"/>
          <w:szCs w:val="16"/>
        </w:rPr>
        <w:t xml:space="preserve"># edit data/inbox/my_filing.csv</w:t>
      </w:r>
      <w:r>
        <w:br/>
      </w:r>
      <w:r>
        <w:rPr>
          <w:rFonts w:ascii="Consolas" w:cs="Consolas" w:eastAsia="Consolas" w:hAnsi="Consolas"/>
          <w:color w:val="1B1F26"/>
          <w:sz w:val="16"/>
          <w:szCs w:val="16"/>
        </w:rPr>
        <w:t xml:space="preserve">make load                           # or: make load ARGS=--and-scan</w:t>
      </w:r>
    </w:p>
    <w:p>
      <w:pPr>
        <w:spacing w:after="140" w:before="60"/>
        <w:jc w:val="left"/>
      </w:pPr>
      <w:r>
        <w:rPr>
          <w:rFonts w:ascii="Georgia" w:cs="Georgia" w:eastAsia="Georgia" w:hAnsi="Georgia"/>
          <w:color w:val="1B1F26"/>
          <w:sz w:val="21"/>
          <w:szCs w:val="21"/>
        </w:rPr>
        <w:t xml:space="preserve">In the container, the equivalent is </w:t>
      </w:r>
      <w:r>
        <w:rPr>
          <w:rFonts w:ascii="Consolas" w:cs="Consolas" w:eastAsia="Consolas" w:hAnsi="Consolas"/>
          <w:color w:val="1B1F26"/>
          <w:sz w:val="19"/>
          <w:szCs w:val="19"/>
        </w:rPr>
        <w:t xml:space="preserve">./likewise.sh load</w:t>
      </w:r>
      <w:r>
        <w:rPr>
          <w:rFonts w:ascii="Georgia" w:cs="Georgia" w:eastAsia="Georgia" w:hAnsi="Georgia"/>
          <w:color w:val="1B1F26"/>
          <w:sz w:val="21"/>
          <w:szCs w:val="21"/>
        </w:rPr>
        <w:t xml:space="preserve">.</w:t>
      </w:r>
    </w:p>
    <w:p>
      <w:pPr>
        <w:spacing w:after="140" w:before="60"/>
        <w:jc w:val="left"/>
      </w:pPr>
      <w:r>
        <w:rPr>
          <w:rFonts w:ascii="Georgia" w:cs="Georgia" w:eastAsia="Georgia" w:hAnsi="Georgia"/>
          <w:color w:val="1B1F26"/>
          <w:sz w:val="21"/>
          <w:szCs w:val="21"/>
        </w:rPr>
        <w:t xml:space="preserve">Drop any </w:t>
      </w:r>
      <w:r>
        <w:rPr>
          <w:rFonts w:ascii="Consolas" w:cs="Consolas" w:eastAsia="Consolas" w:hAnsi="Consolas"/>
          <w:color w:val="1B1F26"/>
          <w:sz w:val="19"/>
          <w:szCs w:val="19"/>
        </w:rPr>
        <w:t xml:space="preserve">.csv</w:t>
      </w:r>
      <w:r>
        <w:rPr>
          <w:rFonts w:ascii="Georgia" w:cs="Georgia" w:eastAsia="Georgia" w:hAnsi="Georgia"/>
          <w:color w:val="1B1F26"/>
          <w:sz w:val="21"/>
          <w:szCs w:val="21"/>
        </w:rPr>
        <w:t xml:space="preserve"> into </w:t>
      </w:r>
      <w:r>
        <w:rPr>
          <w:rFonts w:ascii="Consolas" w:cs="Consolas" w:eastAsia="Consolas" w:hAnsi="Consolas"/>
          <w:color w:val="1B1F26"/>
          <w:sz w:val="19"/>
          <w:szCs w:val="19"/>
        </w:rPr>
        <w:t xml:space="preserve">data/inbox/</w:t>
      </w:r>
      <w:r>
        <w:rPr>
          <w:rFonts w:ascii="Georgia" w:cs="Georgia" w:eastAsia="Georgia" w:hAnsi="Georgia"/>
          <w:color w:val="1B1F26"/>
          <w:sz w:val="21"/>
          <w:szCs w:val="21"/>
        </w:rPr>
        <w:t xml:space="preserve"> and load it. Three layouts are recognised automatically from the header row:</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4680"/>
        <w:gridCol w:w="4680"/>
      </w:tblGrid>
      <w:tr>
        <w:trPr>
          <w:tblHeader/>
        </w:trPr>
        <w:tc>
          <w:tcPr>
            <w:tcW w:type="dxa" w:w="468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Layout</w:t>
            </w:r>
          </w:p>
        </w:tc>
        <w:tc>
          <w:tcPr>
            <w:tcW w:type="dxa" w:w="468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Where it comes from</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FFIEC Data Browser export</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CFPB HMDA Data Browser, filtered to your institution</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Modified LAR</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file your institution publishes itself</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Template</w:t>
            </w:r>
          </w:p>
        </w:tc>
        <w:tc>
          <w:tcPr>
            <w:tcW w:type="dxa" w:w="4680"/>
            <w:tcMar>
              <w:top w:type="dxa" w:w="80"/>
              <w:left w:type="dxa" w:w="120"/>
              <w:bottom w:type="dxa" w:w="80"/>
              <w:right w:type="dxa" w:w="120"/>
            </w:tcMar>
          </w:tcPr>
          <w:p>
            <w:pPr>
              <w:spacing w:after="0" w:before="0"/>
            </w:pPr>
            <w:r>
              <w:rPr>
                <w:rFonts w:ascii="Consolas" w:cs="Consolas" w:eastAsia="Consolas" w:hAnsi="Consolas"/>
                <w:color w:val="1B1F26"/>
                <w:sz w:val="16"/>
                <w:szCs w:val="16"/>
              </w:rPr>
              <w:t xml:space="preserve">docs/templates/likewise_lar_template.csv</w:t>
            </w:r>
            <w:r>
              <w:rPr>
                <w:rFonts w:ascii="Calibri" w:cs="Calibri" w:eastAsia="Calibri" w:hAnsi="Calibri"/>
                <w:color w:val="1B1F26"/>
                <w:sz w:val="18"/>
                <w:szCs w:val="18"/>
              </w:rPr>
              <w:t xml:space="preserve"> in this repository</w:t>
            </w:r>
          </w:p>
        </w:tc>
      </w:tr>
    </w:tbl>
    <w:p>
      <w:pPr>
        <w:spacing w:after="160"/>
      </w:pPr>
    </w:p>
    <w:p>
      <w:pPr>
        <w:spacing w:after="140" w:before="60"/>
        <w:jc w:val="left"/>
      </w:pPr>
      <w:r>
        <w:rPr>
          <w:rFonts w:ascii="Consolas" w:cs="Consolas" w:eastAsia="Consolas" w:hAnsi="Consolas"/>
          <w:color w:val="1B1F26"/>
          <w:sz w:val="19"/>
          <w:szCs w:val="19"/>
        </w:rPr>
        <w:t xml:space="preserve">docs/templates/likewise_lar_dictionary.csv</w:t>
      </w:r>
      <w:r>
        <w:rPr>
          <w:rFonts w:ascii="Georgia" w:cs="Georgia" w:eastAsia="Georgia" w:hAnsi="Georgia"/>
          <w:color w:val="1B1F26"/>
          <w:sz w:val="21"/>
          <w:szCs w:val="21"/>
        </w:rPr>
        <w:t xml:space="preserve"> documents every column, its allowed values and what the engine uses it for.</w:t>
      </w:r>
    </w:p>
    <w:p>
      <w:pPr>
        <w:pStyle w:val="Heading3"/>
        <w:spacing w:after="100" w:before="220"/>
      </w:pPr>
      <w:r>
        <w:rPr>
          <w:rFonts w:ascii="Calibri" w:cs="Calibri" w:eastAsia="Calibri" w:hAnsi="Calibri"/>
          <w:b/>
          <w:bCs/>
          <w:color w:val="1B1F26"/>
          <w:sz w:val="21"/>
          <w:szCs w:val="21"/>
        </w:rPr>
        <w:t xml:space="preserve">The loader refuses; it does not repair</w:t>
      </w:r>
    </w:p>
    <w:p>
      <w:pPr>
        <w:spacing w:after="140" w:before="60"/>
        <w:jc w:val="left"/>
      </w:pPr>
      <w:r>
        <w:rPr>
          <w:rFonts w:ascii="Georgia" w:cs="Georgia" w:eastAsia="Georgia" w:hAnsi="Georgia"/>
          <w:color w:val="1B1F26"/>
          <w:sz w:val="21"/>
          <w:szCs w:val="21"/>
        </w:rPr>
        <w:t xml:space="preserve">Every refusal prints a payload naming the offending rows or columns. It refuses:</w:t>
      </w:r>
    </w:p>
    <w:p>
      <w:pPr>
        <w:pStyle w:val="ListParagraph"/>
        <w:numPr>
          <w:ilvl w:val="0"/>
          <w:numId w:val="1"/>
        </w:numPr>
        <w:spacing w:after="40" w:before="40"/>
      </w:pPr>
      <w:r>
        <w:rPr>
          <w:rFonts w:ascii="Georgia" w:cs="Georgia" w:eastAsia="Georgia" w:hAnsi="Georgia"/>
          <w:color w:val="1B1F26"/>
          <w:sz w:val="21"/>
          <w:szCs w:val="21"/>
        </w:rPr>
        <w:t xml:space="preserve">a </w:t>
      </w:r>
      <w:r>
        <w:rPr>
          <w:rFonts w:ascii="Georgia" w:cs="Georgia" w:eastAsia="Georgia" w:hAnsi="Georgia"/>
          <w:b/>
          <w:bCs/>
          <w:color w:val="1B1F26"/>
          <w:sz w:val="21"/>
          <w:szCs w:val="21"/>
        </w:rPr>
        <w:t xml:space="preserve">ragged row</w:t>
      </w:r>
      <w:r>
        <w:rPr>
          <w:rFonts w:ascii="Georgia" w:cs="Georgia" w:eastAsia="Georgia" w:hAnsi="Georgia"/>
          <w:color w:val="1B1F26"/>
          <w:sz w:val="21"/>
          <w:szCs w:val="21"/>
        </w:rPr>
        <w:t xml:space="preserve"> — it is never padded, because a shifted column is exactly what that</w:t>
      </w:r>
    </w:p>
    <w:p>
      <w:pPr>
        <w:spacing w:after="140" w:before="60"/>
        <w:jc w:val="left"/>
      </w:pPr>
      <w:r>
        <w:rPr>
          <w:rFonts w:ascii="Georgia" w:cs="Georgia" w:eastAsia="Georgia" w:hAnsi="Georgia"/>
          <w:color w:val="1B1F26"/>
          <w:sz w:val="21"/>
          <w:szCs w:val="21"/>
        </w:rPr>
        <w:t xml:space="preserve">  catches;</w:t>
      </w:r>
    </w:p>
    <w:p>
      <w:pPr>
        <w:pStyle w:val="ListParagraph"/>
        <w:numPr>
          <w:ilvl w:val="0"/>
          <w:numId w:val="1"/>
        </w:numPr>
        <w:spacing w:after="40" w:before="40"/>
      </w:pPr>
      <w:r>
        <w:rPr>
          <w:rFonts w:ascii="Georgia" w:cs="Georgia" w:eastAsia="Georgia" w:hAnsi="Georgia"/>
          <w:color w:val="1B1F26"/>
          <w:sz w:val="21"/>
          <w:szCs w:val="21"/>
        </w:rPr>
        <w:t xml:space="preserve">a </w:t>
      </w:r>
      <w:r>
        <w:rPr>
          <w:rFonts w:ascii="Georgia" w:cs="Georgia" w:eastAsia="Georgia" w:hAnsi="Georgia"/>
          <w:b/>
          <w:bCs/>
          <w:color w:val="1B1F26"/>
          <w:sz w:val="21"/>
          <w:szCs w:val="21"/>
        </w:rPr>
        <w:t xml:space="preserve">code outside its published domain</w:t>
      </w:r>
      <w:r>
        <w:rPr>
          <w:rFonts w:ascii="Georgia" w:cs="Georgia" w:eastAsia="Georgia" w:hAnsi="Georgia"/>
          <w:color w:val="1B1F26"/>
          <w:sz w:val="21"/>
          <w:szCs w:val="21"/>
        </w:rPr>
        <w:t xml:space="preserve">;</w:t>
      </w:r>
    </w:p>
    <w:p>
      <w:pPr>
        <w:pStyle w:val="ListParagraph"/>
        <w:numPr>
          <w:ilvl w:val="0"/>
          <w:numId w:val="1"/>
        </w:numPr>
        <w:spacing w:after="40" w:before="40"/>
      </w:pPr>
      <w:r>
        <w:rPr>
          <w:rFonts w:ascii="Georgia" w:cs="Georgia" w:eastAsia="Georgia" w:hAnsi="Georgia"/>
          <w:b/>
          <w:bCs/>
          <w:color w:val="1B1F26"/>
          <w:sz w:val="21"/>
          <w:szCs w:val="21"/>
        </w:rPr>
        <w:t xml:space="preserve">more than one filer or filing year</w:t>
      </w:r>
      <w:r>
        <w:rPr>
          <w:rFonts w:ascii="Georgia" w:cs="Georgia" w:eastAsia="Georgia" w:hAnsi="Georgia"/>
          <w:color w:val="1B1F26"/>
          <w:sz w:val="21"/>
          <w:szCs w:val="21"/>
        </w:rPr>
        <w:t xml:space="preserve"> in a single snapshot;</w:t>
      </w:r>
    </w:p>
    <w:p>
      <w:pPr>
        <w:pStyle w:val="ListParagraph"/>
        <w:numPr>
          <w:ilvl w:val="0"/>
          <w:numId w:val="1"/>
        </w:numPr>
        <w:spacing w:after="40" w:before="40"/>
      </w:pPr>
      <w:r>
        <w:rPr>
          <w:rFonts w:ascii="Georgia" w:cs="Georgia" w:eastAsia="Georgia" w:hAnsi="Georgia"/>
          <w:color w:val="1B1F26"/>
          <w:sz w:val="21"/>
          <w:szCs w:val="21"/>
        </w:rPr>
        <w:t xml:space="preserve">values that are </w:t>
      </w:r>
      <w:r>
        <w:rPr>
          <w:rFonts w:ascii="Georgia" w:cs="Georgia" w:eastAsia="Georgia" w:hAnsi="Georgia"/>
          <w:b/>
          <w:bCs/>
          <w:color w:val="1B1F26"/>
          <w:sz w:val="21"/>
          <w:szCs w:val="21"/>
        </w:rPr>
        <w:t xml:space="preserve">not at publication granularity</w:t>
      </w:r>
      <w:r>
        <w:rPr>
          <w:rFonts w:ascii="Georgia" w:cs="Georgia" w:eastAsia="Georgia" w:hAnsi="Georgia"/>
          <w:color w:val="1B1F26"/>
          <w:sz w:val="21"/>
          <w:szCs w:val="21"/>
        </w:rPr>
        <w:t xml:space="preserve">.</w:t>
      </w:r>
    </w:p>
    <w:p>
      <w:pPr>
        <w:spacing w:after="140" w:before="60"/>
        <w:jc w:val="left"/>
      </w:pPr>
      <w:r>
        <w:rPr>
          <w:rFonts w:ascii="Georgia" w:cs="Georgia" w:eastAsia="Georgia" w:hAnsi="Georgia"/>
          <w:color w:val="1B1F26"/>
          <w:sz w:val="21"/>
          <w:szCs w:val="21"/>
        </w:rPr>
        <w:t xml:space="preserve">That last one surprises people, and it is the one that matters most.</w:t>
      </w:r>
    </w:p>
    <w:p>
      <w:pPr>
        <w:pStyle w:val="Heading3"/>
        <w:spacing w:after="100" w:before="220"/>
      </w:pPr>
      <w:r>
        <w:rPr>
          <w:rFonts w:ascii="Calibri" w:cs="Calibri" w:eastAsia="Calibri" w:hAnsi="Calibri"/>
          <w:b/>
          <w:bCs/>
          <w:color w:val="1B1F26"/>
          <w:sz w:val="21"/>
          <w:szCs w:val="21"/>
        </w:rPr>
        <w:t xml:space="preserve">Publication granularity, and why it is enforced</w:t>
      </w:r>
    </w:p>
    <w:p>
      <w:pPr>
        <w:spacing w:after="140" w:before="60"/>
        <w:jc w:val="left"/>
      </w:pPr>
      <w:r>
        <w:rPr>
          <w:rFonts w:ascii="Georgia" w:cs="Georgia" w:eastAsia="Georgia" w:hAnsi="Georgia"/>
          <w:color w:val="1B1F26"/>
          <w:sz w:val="21"/>
          <w:szCs w:val="21"/>
        </w:rPr>
        <w:t xml:space="preserve">The regulator publishes these fields already rounded:</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4680"/>
        <w:gridCol w:w="4680"/>
      </w:tblGrid>
      <w:tr>
        <w:trPr>
          <w:tblHeader/>
        </w:trPr>
        <w:tc>
          <w:tcPr>
            <w:tcW w:type="dxa" w:w="468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Field</w:t>
            </w:r>
          </w:p>
        </w:tc>
        <w:tc>
          <w:tcPr>
            <w:tcW w:type="dxa" w:w="468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Published form</w:t>
            </w:r>
          </w:p>
        </w:tc>
      </w:tr>
      <w:tr>
        <w:tc>
          <w:tcPr>
            <w:tcW w:type="dxa" w:w="4680"/>
            <w:tcMar>
              <w:top w:type="dxa" w:w="80"/>
              <w:left w:type="dxa" w:w="120"/>
              <w:bottom w:type="dxa" w:w="80"/>
              <w:right w:type="dxa" w:w="120"/>
            </w:tcMar>
          </w:tcPr>
          <w:p>
            <w:pPr>
              <w:spacing w:after="0" w:before="0"/>
            </w:pPr>
            <w:r>
              <w:rPr>
                <w:rFonts w:ascii="Consolas" w:cs="Consolas" w:eastAsia="Consolas" w:hAnsi="Consolas"/>
                <w:color w:val="1B1F26"/>
                <w:sz w:val="16"/>
                <w:szCs w:val="16"/>
              </w:rPr>
              <w:t xml:space="preserve">loan_amount</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midpoint of a $10,000 bin (so </w:t>
            </w:r>
            <w:r>
              <w:rPr>
                <w:rFonts w:ascii="Consolas" w:cs="Consolas" w:eastAsia="Consolas" w:hAnsi="Consolas"/>
                <w:color w:val="1B1F26"/>
                <w:sz w:val="16"/>
                <w:szCs w:val="16"/>
              </w:rPr>
              <w:t xml:space="preserve">x mod 10000 == 5000</w:t>
            </w:r>
            <w:r>
              <w:rPr>
                <w:rFonts w:ascii="Calibri" w:cs="Calibri" w:eastAsia="Calibri" w:hAnsi="Calibri"/>
                <w:color w:val="1B1F26"/>
                <w:sz w:val="18"/>
                <w:szCs w:val="18"/>
              </w:rPr>
              <w:t xml:space="preserve">)</w:t>
            </w:r>
          </w:p>
        </w:tc>
      </w:tr>
      <w:tr>
        <w:tc>
          <w:tcPr>
            <w:tcW w:type="dxa" w:w="4680"/>
            <w:tcMar>
              <w:top w:type="dxa" w:w="80"/>
              <w:left w:type="dxa" w:w="120"/>
              <w:bottom w:type="dxa" w:w="80"/>
              <w:right w:type="dxa" w:w="120"/>
            </w:tcMar>
          </w:tcPr>
          <w:p>
            <w:pPr>
              <w:spacing w:after="0" w:before="0"/>
            </w:pPr>
            <w:r>
              <w:rPr>
                <w:rFonts w:ascii="Consolas" w:cs="Consolas" w:eastAsia="Consolas" w:hAnsi="Consolas"/>
                <w:color w:val="1B1F26"/>
                <w:sz w:val="16"/>
                <w:szCs w:val="16"/>
              </w:rPr>
              <w:t xml:space="preserve">property_value</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midpoint of a $10,000 bin</w:t>
            </w:r>
          </w:p>
        </w:tc>
      </w:tr>
      <w:tr>
        <w:tc>
          <w:tcPr>
            <w:tcW w:type="dxa" w:w="4680"/>
            <w:tcMar>
              <w:top w:type="dxa" w:w="80"/>
              <w:left w:type="dxa" w:w="120"/>
              <w:bottom w:type="dxa" w:w="80"/>
              <w:right w:type="dxa" w:w="120"/>
            </w:tcMar>
          </w:tcPr>
          <w:p>
            <w:pPr>
              <w:spacing w:after="0" w:before="0"/>
            </w:pPr>
            <w:r>
              <w:rPr>
                <w:rFonts w:ascii="Consolas" w:cs="Consolas" w:eastAsia="Consolas" w:hAnsi="Consolas"/>
                <w:color w:val="1B1F26"/>
                <w:sz w:val="16"/>
                <w:szCs w:val="16"/>
              </w:rPr>
              <w:t xml:space="preserve">income</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rounded to $1,000</w:t>
            </w:r>
          </w:p>
        </w:tc>
      </w:tr>
      <w:tr>
        <w:tc>
          <w:tcPr>
            <w:tcW w:type="dxa" w:w="4680"/>
            <w:tcMar>
              <w:top w:type="dxa" w:w="80"/>
              <w:left w:type="dxa" w:w="120"/>
              <w:bottom w:type="dxa" w:w="80"/>
              <w:right w:type="dxa" w:w="120"/>
            </w:tcMar>
          </w:tcPr>
          <w:p>
            <w:pPr>
              <w:spacing w:after="0" w:before="0"/>
            </w:pPr>
            <w:r>
              <w:rPr>
                <w:rFonts w:ascii="Consolas" w:cs="Consolas" w:eastAsia="Consolas" w:hAnsi="Consolas"/>
                <w:color w:val="1B1F26"/>
                <w:sz w:val="16"/>
                <w:szCs w:val="16"/>
              </w:rPr>
              <w:t xml:space="preserve">debt_to_income_ratio</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an exact integer only inside </w:t>
            </w:r>
            <w:r>
              <w:rPr>
                <w:rFonts w:ascii="Consolas" w:cs="Consolas" w:eastAsia="Consolas" w:hAnsi="Consolas"/>
                <w:color w:val="1B1F26"/>
                <w:sz w:val="16"/>
                <w:szCs w:val="16"/>
              </w:rPr>
              <w:t xml:space="preserve">[36, 49]</w:t>
            </w:r>
            <w:r>
              <w:rPr>
                <w:rFonts w:ascii="Calibri" w:cs="Calibri" w:eastAsia="Calibri" w:hAnsi="Calibri"/>
                <w:color w:val="1B1F26"/>
                <w:sz w:val="18"/>
                <w:szCs w:val="18"/>
              </w:rPr>
              <w:t xml:space="preserve">; a band otherwise (</w:t>
            </w:r>
            <w:r>
              <w:rPr>
                <w:rFonts w:ascii="Consolas" w:cs="Consolas" w:eastAsia="Consolas" w:hAnsi="Consolas"/>
                <w:color w:val="1B1F26"/>
                <w:sz w:val="16"/>
                <w:szCs w:val="16"/>
              </w:rPr>
              <w:t xml:space="preserve">&lt;20%</w:t>
            </w:r>
            <w:r>
              <w:rPr>
                <w:rFonts w:ascii="Calibri" w:cs="Calibri" w:eastAsia="Calibri" w:hAnsi="Calibri"/>
                <w:color w:val="1B1F26"/>
                <w:sz w:val="18"/>
                <w:szCs w:val="18"/>
              </w:rPr>
              <w:t xml:space="preserve">, </w:t>
            </w:r>
            <w:r>
              <w:rPr>
                <w:rFonts w:ascii="Consolas" w:cs="Consolas" w:eastAsia="Consolas" w:hAnsi="Consolas"/>
                <w:color w:val="1B1F26"/>
                <w:sz w:val="16"/>
                <w:szCs w:val="16"/>
              </w:rPr>
              <w:t xml:space="preserve">20%-&lt;30%</w:t>
            </w:r>
            <w:r>
              <w:rPr>
                <w:rFonts w:ascii="Calibri" w:cs="Calibri" w:eastAsia="Calibri" w:hAnsi="Calibri"/>
                <w:color w:val="1B1F26"/>
                <w:sz w:val="18"/>
                <w:szCs w:val="18"/>
              </w:rPr>
              <w:t xml:space="preserve">, </w:t>
            </w:r>
            <w:r>
              <w:rPr>
                <w:rFonts w:ascii="Consolas" w:cs="Consolas" w:eastAsia="Consolas" w:hAnsi="Consolas"/>
                <w:color w:val="1B1F26"/>
                <w:sz w:val="16"/>
                <w:szCs w:val="16"/>
              </w:rPr>
              <w:t xml:space="preserve">30%-&lt;36%</w:t>
            </w:r>
            <w:r>
              <w:rPr>
                <w:rFonts w:ascii="Calibri" w:cs="Calibri" w:eastAsia="Calibri" w:hAnsi="Calibri"/>
                <w:color w:val="1B1F26"/>
                <w:sz w:val="18"/>
                <w:szCs w:val="18"/>
              </w:rPr>
              <w:t xml:space="preserve">, </w:t>
            </w:r>
            <w:r>
              <w:rPr>
                <w:rFonts w:ascii="Consolas" w:cs="Consolas" w:eastAsia="Consolas" w:hAnsi="Consolas"/>
                <w:color w:val="1B1F26"/>
                <w:sz w:val="16"/>
                <w:szCs w:val="16"/>
              </w:rPr>
              <w:t xml:space="preserve">50%-60%</w:t>
            </w:r>
            <w:r>
              <w:rPr>
                <w:rFonts w:ascii="Calibri" w:cs="Calibri" w:eastAsia="Calibri" w:hAnsi="Calibri"/>
                <w:color w:val="1B1F26"/>
                <w:sz w:val="18"/>
                <w:szCs w:val="18"/>
              </w:rPr>
              <w:t xml:space="preserve">, </w:t>
            </w:r>
            <w:r>
              <w:rPr>
                <w:rFonts w:ascii="Consolas" w:cs="Consolas" w:eastAsia="Consolas" w:hAnsi="Consolas"/>
                <w:color w:val="1B1F26"/>
                <w:sz w:val="16"/>
                <w:szCs w:val="16"/>
              </w:rPr>
              <w:t xml:space="preserve">&gt;60%</w:t>
            </w:r>
            <w:r>
              <w:rPr>
                <w:rFonts w:ascii="Calibri" w:cs="Calibri" w:eastAsia="Calibri" w:hAnsi="Calibri"/>
                <w:color w:val="1B1F26"/>
                <w:sz w:val="18"/>
                <w:szCs w:val="18"/>
              </w:rPr>
              <w:t xml:space="preserve">)</w:t>
            </w:r>
          </w:p>
        </w:tc>
      </w:tr>
    </w:tbl>
    <w:p>
      <w:pPr>
        <w:spacing w:after="160"/>
      </w:pPr>
    </w:p>
    <w:p>
      <w:pPr>
        <w:spacing w:after="140" w:before="60"/>
        <w:jc w:val="left"/>
      </w:pPr>
      <w:r>
        <w:rPr>
          <w:rFonts w:ascii="Georgia" w:cs="Georgia" w:eastAsia="Georgia" w:hAnsi="Georgia"/>
          <w:color w:val="1B1F26"/>
          <w:sz w:val="21"/>
          <w:szCs w:val="21"/>
        </w:rPr>
        <w:t xml:space="preserve">Every comparability threshold in Likewise is </w:t>
      </w:r>
      <w:r>
        <w:rPr>
          <w:rFonts w:ascii="Georgia" w:cs="Georgia" w:eastAsia="Georgia" w:hAnsi="Georgia"/>
          <w:i/>
          <w:iCs/>
          <w:color w:val="1B1F26"/>
          <w:sz w:val="21"/>
          <w:szCs w:val="21"/>
        </w:rPr>
        <w:t xml:space="preserve">derived from</w:t>
      </w:r>
      <w:r>
        <w:rPr>
          <w:rFonts w:ascii="Georgia" w:cs="Georgia" w:eastAsia="Georgia" w:hAnsi="Georgia"/>
          <w:color w:val="1B1F26"/>
          <w:sz w:val="21"/>
          <w:szCs w:val="21"/>
        </w:rPr>
        <w:t xml:space="preserve"> that rounding. If you load data at full internal precision, the derivation is wrong and every screen states a bin width the values do not have. So the loader refuses.</w:t>
      </w:r>
    </w:p>
    <w:p>
      <w:pPr>
        <w:spacing w:after="140" w:before="60"/>
        <w:jc w:val="left"/>
      </w:pPr>
      <w:r>
        <w:rPr>
          <w:rFonts w:ascii="Consolas" w:cs="Consolas" w:eastAsia="Consolas" w:hAnsi="Consolas"/>
          <w:color w:val="1B1F26"/>
          <w:sz w:val="19"/>
          <w:szCs w:val="19"/>
        </w:rPr>
        <w:t xml:space="preserve">--internal-data</w:t>
      </w:r>
      <w:r>
        <w:rPr>
          <w:rFonts w:ascii="Georgia" w:cs="Georgia" w:eastAsia="Georgia" w:hAnsi="Georgia"/>
          <w:color w:val="1B1F26"/>
          <w:sz w:val="21"/>
          <w:szCs w:val="21"/>
        </w:rPr>
        <w:t xml:space="preserve"> loads it anyway and stamps the snapshot </w:t>
      </w:r>
      <w:r>
        <w:rPr>
          <w:rFonts w:ascii="Consolas" w:cs="Consolas" w:eastAsia="Consolas" w:hAnsi="Consolas"/>
          <w:color w:val="1B1F26"/>
          <w:sz w:val="19"/>
          <w:szCs w:val="19"/>
        </w:rPr>
        <w:t xml:space="preserve">public_record: false</w:t>
      </w:r>
      <w:r>
        <w:rPr>
          <w:rFonts w:ascii="Georgia" w:cs="Georgia" w:eastAsia="Georgia" w:hAnsi="Georgia"/>
          <w:color w:val="1B1F26"/>
          <w:sz w:val="21"/>
          <w:szCs w:val="21"/>
        </w:rPr>
        <w:t xml:space="preserve">. The stamp travels: the coverage screen says so on every scan of that snapshot, permanently.</w:t>
      </w:r>
    </w:p>
    <w:p>
      <w:pPr>
        <w:pStyle w:val="Heading2"/>
        <w:spacing w:after="120" w:before="280"/>
      </w:pPr>
      <w:r>
        <w:rPr>
          <w:rFonts w:ascii="Calibri" w:cs="Calibri" w:eastAsia="Calibri" w:hAnsi="Calibri"/>
          <w:b/>
          <w:bCs/>
          <w:color w:val="24486E"/>
          <w:sz w:val="24"/>
          <w:szCs w:val="24"/>
        </w:rPr>
        <w:t xml:space="preserve">6. Running a scan</w:t>
      </w:r>
    </w:p>
    <w:p>
      <w:pPr>
        <w:spacing w:after="140" w:before="60"/>
        <w:jc w:val="left"/>
      </w:pPr>
      <w:r>
        <w:rPr>
          <w:rFonts w:ascii="Georgia" w:cs="Georgia" w:eastAsia="Georgia" w:hAnsi="Georgia"/>
          <w:color w:val="1B1F26"/>
          <w:sz w:val="21"/>
          <w:szCs w:val="21"/>
        </w:rPr>
        <w:t xml:space="preserve">A scan is one filer, one filing year, one specification version, one snapshot. Its identifier is derived from that tuple, so the same inputs always produce the same scan.</w:t>
      </w:r>
    </w:p>
    <w:p>
      <w:pPr>
        <w:pBdr>
          <w:left w:val="single" w:color="24486E" w:sz="12"/>
        </w:pBdr>
        <w:shd w:fill="F5F6F8" w:color="auto" w:val="clear"/>
        <w:spacing w:after="160" w:before="120"/>
      </w:pPr>
      <w:r>
        <w:rPr>
          <w:rFonts w:ascii="Consolas" w:cs="Consolas" w:eastAsia="Consolas" w:hAnsi="Consolas"/>
          <w:color w:val="1B1F26"/>
          <w:sz w:val="16"/>
          <w:szCs w:val="16"/>
        </w:rPr>
        <w:t xml:space="preserve">make scan                           # or ./likewise.sh scan &lt;LEI&gt; &lt;YEAR&gt;</w:t>
      </w:r>
      <w:r>
        <w:br/>
      </w:r>
      <w:r>
        <w:rPr>
          <w:rFonts w:ascii="Consolas" w:cs="Consolas" w:eastAsia="Consolas" w:hAnsi="Consolas"/>
          <w:color w:val="1B1F26"/>
          <w:sz w:val="16"/>
          <w:szCs w:val="16"/>
        </w:rPr>
        <w:t xml:space="preserve">make sweep    SCAN=scn_...          # required</w:t>
      </w:r>
      <w:r>
        <w:br/>
      </w:r>
      <w:r>
        <w:rPr>
          <w:rFonts w:ascii="Consolas" w:cs="Consolas" w:eastAsia="Consolas" w:hAnsi="Consolas"/>
          <w:color w:val="1B1F26"/>
          <w:sz w:val="16"/>
          <w:szCs w:val="16"/>
        </w:rPr>
        <w:t xml:space="preserve">make controls SCAN=scn_...          # required before publication</w:t>
      </w:r>
    </w:p>
    <w:p>
      <w:pPr>
        <w:spacing w:after="140" w:before="60"/>
        <w:jc w:val="left"/>
      </w:pPr>
      <w:r>
        <w:rPr>
          <w:rFonts w:ascii="Georgia" w:cs="Georgia" w:eastAsia="Georgia" w:hAnsi="Georgia"/>
          <w:color w:val="1B1F26"/>
          <w:sz w:val="21"/>
          <w:szCs w:val="21"/>
        </w:rPr>
        <w:t xml:space="preserve">You can also start a scan from the web view, on </w:t>
      </w:r>
      <w:r>
        <w:rPr>
          <w:rFonts w:ascii="Consolas" w:cs="Consolas" w:eastAsia="Consolas" w:hAnsi="Consolas"/>
          <w:color w:val="1B1F26"/>
          <w:sz w:val="19"/>
          <w:szCs w:val="19"/>
        </w:rPr>
        <w:t xml:space="preserve">/ui/scans</w:t>
      </w:r>
      <w:r>
        <w:rPr>
          <w:rFonts w:ascii="Georgia" w:cs="Georgia" w:eastAsia="Georgia" w:hAnsi="Georgia"/>
          <w:color w:val="1B1F26"/>
          <w:sz w:val="21"/>
          <w:szCs w:val="21"/>
        </w:rPr>
        <w:t xml:space="preserve">.</w:t>
      </w:r>
    </w:p>
    <w:p>
      <w:pPr>
        <w:pStyle w:val="Heading3"/>
        <w:spacing w:after="100" w:before="220"/>
      </w:pPr>
      <w:r>
        <w:rPr>
          <w:rFonts w:ascii="Calibri" w:cs="Calibri" w:eastAsia="Calibri" w:hAnsi="Calibri"/>
          <w:b/>
          <w:bCs/>
          <w:color w:val="1B1F26"/>
          <w:sz w:val="21"/>
          <w:szCs w:val="21"/>
        </w:rPr>
        <w:t xml:space="preserve">Why the sweep is required</w:t>
      </w:r>
    </w:p>
    <w:p>
      <w:pPr>
        <w:spacing w:after="140" w:before="60"/>
        <w:jc w:val="left"/>
      </w:pPr>
      <w:r>
        <w:rPr>
          <w:rFonts w:ascii="Consolas" w:cs="Consolas" w:eastAsia="Consolas" w:hAnsi="Consolas"/>
          <w:color w:val="1B1F26"/>
          <w:sz w:val="19"/>
          <w:szCs w:val="19"/>
        </w:rPr>
        <w:t xml:space="preserve">GET /v1/scans/{id}/findings</w:t>
      </w:r>
      <w:r>
        <w:rPr>
          <w:rFonts w:ascii="Georgia" w:cs="Georgia" w:eastAsia="Georgia" w:hAnsi="Georgia"/>
          <w:color w:val="1B1F26"/>
          <w:sz w:val="21"/>
          <w:szCs w:val="21"/>
        </w:rPr>
        <w:t xml:space="preserve"> and the web review queue both return </w:t>
      </w:r>
      <w:r>
        <w:rPr>
          <w:rFonts w:ascii="Georgia" w:cs="Georgia" w:eastAsia="Georgia" w:hAnsi="Georgia"/>
          <w:b/>
          <w:bCs/>
          <w:color w:val="1B1F26"/>
          <w:sz w:val="21"/>
          <w:szCs w:val="21"/>
        </w:rPr>
        <w:t xml:space="preserve">409 Conflict</w:t>
      </w:r>
      <w:r>
        <w:rPr>
          <w:rFonts w:ascii="Georgia" w:cs="Georgia" w:eastAsia="Georgia" w:hAnsi="Georgia"/>
          <w:color w:val="1B1F26"/>
          <w:sz w:val="21"/>
          <w:szCs w:val="21"/>
        </w:rPr>
        <w:t xml:space="preserve"> if the scan has no sweep. This is deliberate.</w:t>
      </w:r>
    </w:p>
    <w:p>
      <w:pPr>
        <w:spacing w:after="140" w:before="60"/>
        <w:jc w:val="left"/>
      </w:pPr>
      <w:r>
        <w:rPr>
          <w:rFonts w:ascii="Georgia" w:cs="Georgia" w:eastAsia="Georgia" w:hAnsi="Georgia"/>
          <w:color w:val="1B1F26"/>
          <w:sz w:val="21"/>
          <w:szCs w:val="21"/>
        </w:rPr>
        <w:t xml:space="preserve">The first question any informed reader asks is </w:t>
      </w:r>
      <w:r>
        <w:rPr>
          <w:rFonts w:ascii="Georgia" w:cs="Georgia" w:eastAsia="Georgia" w:hAnsi="Georgia"/>
          <w:i/>
          <w:iCs/>
          <w:color w:val="1B1F26"/>
          <w:sz w:val="21"/>
          <w:szCs w:val="21"/>
        </w:rPr>
        <w:t xml:space="preserve">"did you pick the threshold that produced this result?"</w:t>
      </w:r>
      <w:r>
        <w:rPr>
          <w:rFonts w:ascii="Georgia" w:cs="Georgia" w:eastAsia="Georgia" w:hAnsi="Georgia"/>
          <w:color w:val="1B1F26"/>
          <w:sz w:val="21"/>
          <w:szCs w:val="21"/>
        </w:rPr>
        <w:t xml:space="preserve"> The sweep re-runs the scan across a grid of tolerance values and publishes the resulting curve. A finding may not be shown without the curve that answers that question. There is no flag to skip it.</w:t>
      </w:r>
    </w:p>
    <w:p>
      <w:pPr>
        <w:pStyle w:val="Heading3"/>
        <w:spacing w:after="100" w:before="220"/>
      </w:pPr>
      <w:r>
        <w:rPr>
          <w:rFonts w:ascii="Calibri" w:cs="Calibri" w:eastAsia="Calibri" w:hAnsi="Calibri"/>
          <w:b/>
          <w:bCs/>
          <w:color w:val="1B1F26"/>
          <w:sz w:val="21"/>
          <w:szCs w:val="21"/>
        </w:rPr>
        <w:t xml:space="preserve">Why the controls are required</w:t>
      </w:r>
    </w:p>
    <w:p>
      <w:pPr>
        <w:spacing w:after="140" w:before="60"/>
        <w:jc w:val="left"/>
      </w:pPr>
      <w:r>
        <w:rPr>
          <w:rFonts w:ascii="Georgia" w:cs="Georgia" w:eastAsia="Georgia" w:hAnsi="Georgia"/>
          <w:color w:val="1B1F26"/>
          <w:sz w:val="21"/>
          <w:szCs w:val="21"/>
        </w:rPr>
        <w:t xml:space="preserve">The controls answer </w:t>
      </w:r>
      <w:r>
        <w:rPr>
          <w:rFonts w:ascii="Georgia" w:cs="Georgia" w:eastAsia="Georgia" w:hAnsi="Georgia"/>
          <w:i/>
          <w:iCs/>
          <w:color w:val="1B1F26"/>
          <w:sz w:val="21"/>
          <w:szCs w:val="21"/>
        </w:rPr>
        <w:t xml:space="preserve">"does this engine only fire on the reason that was actually cited, or does it fire on anything?"</w:t>
      </w:r>
      <w:r>
        <w:rPr>
          <w:rFonts w:ascii="Georgia" w:cs="Georgia" w:eastAsia="Georgia" w:hAnsi="Georgia"/>
          <w:color w:val="1B1F26"/>
          <w:sz w:val="21"/>
          <w:szCs w:val="21"/>
        </w:rPr>
        <w:t xml:space="preserve"> It re-runs the identical engine against a </w:t>
      </w:r>
      <w:r>
        <w:rPr>
          <w:rFonts w:ascii="Georgia" w:cs="Georgia" w:eastAsia="Georgia" w:hAnsi="Georgia"/>
          <w:b/>
          <w:bCs/>
          <w:color w:val="1B1F26"/>
          <w:sz w:val="21"/>
          <w:szCs w:val="21"/>
        </w:rPr>
        <w:t xml:space="preserve">placebo</w:t>
      </w:r>
      <w:r>
        <w:rPr>
          <w:rFonts w:ascii="Georgia" w:cs="Georgia" w:eastAsia="Georgia" w:hAnsi="Georgia"/>
          <w:color w:val="1B1F26"/>
          <w:sz w:val="21"/>
          <w:szCs w:val="21"/>
        </w:rPr>
        <w:t xml:space="preserve"> dimension the lender did not cite. If the cited dimension does not fire meaningfully more often than the placebo, the engine is detecting noise and nothing is published.</w:t>
      </w:r>
    </w:p>
    <w:p>
      <w:pPr>
        <w:pStyle w:val="Heading2"/>
        <w:spacing w:after="120" w:before="280"/>
      </w:pPr>
      <w:r>
        <w:rPr>
          <w:rFonts w:ascii="Calibri" w:cs="Calibri" w:eastAsia="Calibri" w:hAnsi="Calibri"/>
          <w:b/>
          <w:bCs/>
          <w:color w:val="24486E"/>
          <w:sz w:val="24"/>
          <w:szCs w:val="24"/>
        </w:rPr>
        <w:t xml:space="preserve">7. Reading the screens</w:t>
      </w:r>
    </w:p>
    <w:p>
      <w:pPr>
        <w:pStyle w:val="Heading3"/>
        <w:spacing w:after="100" w:before="220"/>
      </w:pPr>
      <w:r>
        <w:rPr>
          <w:rFonts w:ascii="Calibri" w:cs="Calibri" w:eastAsia="Calibri" w:hAnsi="Calibri"/>
          <w:b/>
          <w:bCs/>
          <w:color w:val="1B1F26"/>
          <w:sz w:val="21"/>
          <w:szCs w:val="21"/>
        </w:rPr>
        <w:t xml:space="preserve">Scans — </w:t>
      </w:r>
      <w:r>
        <w:rPr>
          <w:rFonts w:ascii="Consolas" w:cs="Consolas" w:eastAsia="Consolas" w:hAnsi="Consolas"/>
          <w:b/>
          <w:bCs/>
          <w:color w:val="1B1F26"/>
          <w:sz w:val="19"/>
          <w:szCs w:val="19"/>
        </w:rPr>
        <w:t xml:space="preserve">/ui/scans</w:t>
      </w:r>
    </w:p>
    <w:p>
      <w:pPr>
        <w:spacing w:after="140" w:before="60"/>
        <w:jc w:val="left"/>
      </w:pPr>
      <w:r>
        <w:rPr>
          <w:rFonts w:ascii="Georgia" w:cs="Georgia" w:eastAsia="Georgia" w:hAnsi="Georgia"/>
          <w:color w:val="1B1F26"/>
          <w:sz w:val="21"/>
          <w:szCs w:val="21"/>
        </w:rPr>
        <w:t xml:space="preserve">Every snapshot loaded, every scan run. Each row is labelled with the snapshot it used and whether that snapshot is real public data or a fixture. A scan whose specification post-dates its pre-registration is labelled </w:t>
      </w:r>
      <w:r>
        <w:rPr>
          <w:rFonts w:ascii="Georgia" w:cs="Georgia" w:eastAsia="Georgia" w:hAnsi="Georgia"/>
          <w:b/>
          <w:bCs/>
          <w:color w:val="1B1F26"/>
          <w:sz w:val="21"/>
          <w:szCs w:val="21"/>
        </w:rPr>
        <w:t xml:space="preserve">exploratory</w:t>
      </w:r>
      <w:r>
        <w:rPr>
          <w:rFonts w:ascii="Georgia" w:cs="Georgia" w:eastAsia="Georgia" w:hAnsi="Georgia"/>
          <w:color w:val="1B1F26"/>
          <w:sz w:val="21"/>
          <w:szCs w:val="21"/>
        </w:rPr>
        <w:t xml:space="preserve"> here and on every finding it produced.</w:t>
      </w:r>
    </w:p>
    <w:p>
      <w:pPr>
        <w:pStyle w:val="Heading3"/>
        <w:spacing w:after="100" w:before="220"/>
      </w:pPr>
      <w:r>
        <w:rPr>
          <w:rFonts w:ascii="Calibri" w:cs="Calibri" w:eastAsia="Calibri" w:hAnsi="Calibri"/>
          <w:b/>
          <w:bCs/>
          <w:color w:val="1B1F26"/>
          <w:sz w:val="21"/>
          <w:szCs w:val="21"/>
        </w:rPr>
        <w:t xml:space="preserve">Coverage — </w:t>
      </w:r>
      <w:r>
        <w:rPr>
          <w:rFonts w:ascii="Consolas" w:cs="Consolas" w:eastAsia="Consolas" w:hAnsi="Consolas"/>
          <w:b/>
          <w:bCs/>
          <w:color w:val="1B1F26"/>
          <w:sz w:val="19"/>
          <w:szCs w:val="19"/>
        </w:rPr>
        <w:t xml:space="preserve">/ui/scans/{id}/coverage</w:t>
      </w:r>
    </w:p>
    <w:p>
      <w:pPr>
        <w:spacing w:after="140" w:before="60"/>
        <w:jc w:val="left"/>
      </w:pPr>
      <w:r>
        <w:rPr>
          <w:rFonts w:ascii="Georgia" w:cs="Georgia" w:eastAsia="Georgia" w:hAnsi="Georgia"/>
          <w:b/>
          <w:bCs/>
          <w:color w:val="1B1F26"/>
          <w:sz w:val="21"/>
          <w:szCs w:val="21"/>
        </w:rPr>
        <w:t xml:space="preserve">Read this before the findings.</w:t>
      </w:r>
      <w:r>
        <w:rPr>
          <w:rFonts w:ascii="Georgia" w:cs="Georgia" w:eastAsia="Georgia" w:hAnsi="Georgia"/>
          <w:color w:val="1B1F26"/>
          <w:sz w:val="21"/>
          <w:szCs w:val="21"/>
        </w:rPr>
        <w:t xml:space="preserve"> It is the denominator chain: how the population shrank from every record in the filing down to the handful of findings, with the reason at each step.</w:t>
      </w:r>
    </w:p>
    <w:p>
      <w:pPr>
        <w:pBdr>
          <w:left w:val="single" w:color="24486E" w:sz="12"/>
        </w:pBdr>
        <w:shd w:fill="F5F6F8" w:color="auto" w:val="clear"/>
        <w:spacing w:after="160" w:before="120"/>
      </w:pPr>
      <w:r>
        <w:rPr>
          <w:rFonts w:ascii="Consolas" w:cs="Consolas" w:eastAsia="Consolas" w:hAnsi="Consolas"/>
          <w:color w:val="1B1F26"/>
          <w:sz w:val="16"/>
          <w:szCs w:val="16"/>
        </w:rPr>
        <w:t xml:space="preserve">records in scope</w:t>
      </w:r>
      <w:r>
        <w:br/>
      </w:r>
      <w:r>
        <w:rPr>
          <w:rFonts w:ascii="Consolas" w:cs="Consolas" w:eastAsia="Consolas" w:hAnsi="Consolas"/>
          <w:color w:val="1B1F26"/>
          <w:sz w:val="16"/>
          <w:szCs w:val="16"/>
        </w:rPr>
        <w:t xml:space="preserve">  → denials in scope</w:t>
      </w:r>
      <w:r>
        <w:br/>
      </w:r>
      <w:r>
        <w:rPr>
          <w:rFonts w:ascii="Consolas" w:cs="Consolas" w:eastAsia="Consolas" w:hAnsi="Consolas"/>
          <w:color w:val="1B1F26"/>
          <w:sz w:val="16"/>
          <w:szCs w:val="16"/>
        </w:rPr>
        <w:t xml:space="preserve">  → denials not partially exempt          (exempt filers omit the fields the comparison needs)</w:t>
      </w:r>
      <w:r>
        <w:br/>
      </w:r>
      <w:r>
        <w:rPr>
          <w:rFonts w:ascii="Consolas" w:cs="Consolas" w:eastAsia="Consolas" w:hAnsi="Consolas"/>
          <w:color w:val="1B1F26"/>
          <w:sz w:val="16"/>
          <w:szCs w:val="16"/>
        </w:rPr>
        <w:t xml:space="preserve">  → denials with a complete record</w:t>
      </w:r>
      <w:r>
        <w:br/>
      </w:r>
      <w:r>
        <w:rPr>
          <w:rFonts w:ascii="Consolas" w:cs="Consolas" w:eastAsia="Consolas" w:hAnsi="Consolas"/>
          <w:color w:val="1B1F26"/>
          <w:sz w:val="16"/>
          <w:szCs w:val="16"/>
        </w:rPr>
        <w:t xml:space="preserve">  → denials with a matched comparator     (same cell, same key)</w:t>
      </w:r>
      <w:r>
        <w:br/>
      </w:r>
      <w:r>
        <w:rPr>
          <w:rFonts w:ascii="Consolas" w:cs="Consolas" w:eastAsia="Consolas" w:hAnsi="Consolas"/>
          <w:color w:val="1B1F26"/>
          <w:sz w:val="16"/>
          <w:szCs w:val="16"/>
        </w:rPr>
        <w:t xml:space="preserve">  → denials testable by their stated code</w:t>
      </w:r>
      <w:r>
        <w:br/>
      </w:r>
      <w:r>
        <w:rPr>
          <w:rFonts w:ascii="Consolas" w:cs="Consolas" w:eastAsia="Consolas" w:hAnsi="Consolas"/>
          <w:color w:val="1B1F26"/>
          <w:sz w:val="16"/>
          <w:szCs w:val="16"/>
        </w:rPr>
        <w:t xml:space="preserve">  → denials in an adequately powered cell</w:t>
      </w:r>
      <w:r>
        <w:br/>
      </w:r>
      <w:r>
        <w:rPr>
          <w:rFonts w:ascii="Consolas" w:cs="Consolas" w:eastAsia="Consolas" w:hAnsi="Consolas"/>
          <w:color w:val="1B1F26"/>
          <w:sz w:val="16"/>
          <w:szCs w:val="16"/>
        </w:rPr>
        <w:t xml:space="preserve">  → denials with a finding</w:t>
      </w:r>
    </w:p>
    <w:p>
      <w:pPr>
        <w:spacing w:after="140" w:before="60"/>
        <w:jc w:val="left"/>
      </w:pPr>
      <w:r>
        <w:rPr>
          <w:rFonts w:ascii="Georgia" w:cs="Georgia" w:eastAsia="Georgia" w:hAnsi="Georgia"/>
          <w:color w:val="1B1F26"/>
          <w:sz w:val="21"/>
          <w:szCs w:val="21"/>
        </w:rPr>
        <w:t xml:space="preserve">Each row states its own denominator. Testability is a property of the denial's stated reason code, not of whether it matched, so it is reported as a marginal over all denials in scope as well.</w:t>
      </w:r>
    </w:p>
    <w:p>
      <w:pPr>
        <w:spacing w:after="140" w:before="60"/>
        <w:jc w:val="left"/>
      </w:pPr>
      <w:r>
        <w:rPr>
          <w:rFonts w:ascii="Georgia" w:cs="Georgia" w:eastAsia="Georgia" w:hAnsi="Georgia"/>
          <w:color w:val="1B1F26"/>
          <w:sz w:val="21"/>
          <w:szCs w:val="21"/>
        </w:rPr>
        <w:t xml:space="preserve">The coverage screen also carries the </w:t>
      </w:r>
      <w:r>
        <w:rPr>
          <w:rFonts w:ascii="Georgia" w:cs="Georgia" w:eastAsia="Georgia" w:hAnsi="Georgia"/>
          <w:b/>
          <w:bCs/>
          <w:color w:val="1B1F26"/>
          <w:sz w:val="21"/>
          <w:szCs w:val="21"/>
        </w:rPr>
        <w:t xml:space="preserve">coverage profile</w:t>
      </w:r>
      <w:r>
        <w:rPr>
          <w:rFonts w:ascii="Georgia" w:cs="Georgia" w:eastAsia="Georgia" w:hAnsi="Georgia"/>
          <w:color w:val="1B1F26"/>
          <w:sz w:val="21"/>
          <w:szCs w:val="21"/>
        </w:rPr>
        <w:t xml:space="preserve">: matched fraction and finding rate broken out by county volume, submission channel, loan purpose and complete-case status. This is not decoration. A comparison cell exists only where the lender has volume, so the method is structurally blind to thin markets, non-metropolitan lending, the broker channel, manual underwriting and small filers — which is where underwriting discretion is </w:t>
      </w:r>
      <w:r>
        <w:rPr>
          <w:rFonts w:ascii="Georgia" w:cs="Georgia" w:eastAsia="Georgia" w:hAnsi="Georgia"/>
          <w:i/>
          <w:iCs/>
          <w:color w:val="1B1F26"/>
          <w:sz w:val="21"/>
          <w:szCs w:val="21"/>
        </w:rPr>
        <w:t xml:space="preserve">largest</w:t>
      </w:r>
      <w:r>
        <w:rPr>
          <w:rFonts w:ascii="Georgia" w:cs="Georgia" w:eastAsia="Georgia" w:hAnsi="Georgia"/>
          <w:color w:val="1B1F26"/>
          <w:sz w:val="21"/>
          <w:szCs w:val="21"/>
        </w:rPr>
        <w:t xml:space="preserve">. The sampling frame is anti-correlated with the risk it is meant to prioritise, and the coverage profile is where the product says so out loud.</w:t>
      </w:r>
    </w:p>
    <w:p>
      <w:pPr>
        <w:pStyle w:val="Heading3"/>
        <w:spacing w:after="100" w:before="220"/>
      </w:pPr>
      <w:r>
        <w:rPr>
          <w:rFonts w:ascii="Calibri" w:cs="Calibri" w:eastAsia="Calibri" w:hAnsi="Calibri"/>
          <w:b/>
          <w:bCs/>
          <w:color w:val="1B1F26"/>
          <w:sz w:val="21"/>
          <w:szCs w:val="21"/>
        </w:rPr>
        <w:t xml:space="preserve">Review queue — </w:t>
      </w:r>
      <w:r>
        <w:rPr>
          <w:rFonts w:ascii="Consolas" w:cs="Consolas" w:eastAsia="Consolas" w:hAnsi="Consolas"/>
          <w:b/>
          <w:bCs/>
          <w:color w:val="1B1F26"/>
          <w:sz w:val="19"/>
          <w:szCs w:val="19"/>
        </w:rPr>
        <w:t xml:space="preserve">/ui/scans/{id}/queue</w:t>
      </w:r>
    </w:p>
    <w:p>
      <w:pPr>
        <w:spacing w:after="140" w:before="60"/>
        <w:jc w:val="left"/>
      </w:pPr>
      <w:r>
        <w:rPr>
          <w:rFonts w:ascii="Georgia" w:cs="Georgia" w:eastAsia="Georgia" w:hAnsi="Georgia"/>
          <w:color w:val="1B1F26"/>
          <w:sz w:val="21"/>
          <w:szCs w:val="21"/>
        </w:rPr>
        <w:t xml:space="preserve">The findings, ordered by priority. Each row shows the denial, the comparator, which dimension decided it, the margin, and the size of the cell it came from.</w:t>
      </w:r>
    </w:p>
    <w:p>
      <w:pPr>
        <w:spacing w:after="140" w:before="60"/>
        <w:jc w:val="left"/>
      </w:pPr>
      <w:r>
        <w:rPr>
          <w:rFonts w:ascii="Georgia" w:cs="Georgia" w:eastAsia="Georgia" w:hAnsi="Georgia"/>
          <w:b/>
          <w:bCs/>
          <w:color w:val="1B1F26"/>
          <w:sz w:val="21"/>
          <w:szCs w:val="21"/>
        </w:rPr>
        <w:t xml:space="preserve">There is no significance score, and that is intentional.</w:t>
      </w:r>
      <w:r>
        <w:rPr>
          <w:rFonts w:ascii="Georgia" w:cs="Georgia" w:eastAsia="Georgia" w:hAnsi="Georgia"/>
          <w:color w:val="1B1F26"/>
          <w:sz w:val="21"/>
          <w:szCs w:val="21"/>
        </w:rPr>
        <w:t xml:space="preserve"> The ranking is a triage order — how far apart the two records are on the tested dimension, relative to the smallest difference the published data can actually resolve. See §8.</w:t>
      </w:r>
    </w:p>
    <w:p>
      <w:pPr>
        <w:pStyle w:val="Heading3"/>
        <w:spacing w:after="100" w:before="220"/>
      </w:pPr>
      <w:r>
        <w:rPr>
          <w:rFonts w:ascii="Calibri" w:cs="Calibri" w:eastAsia="Calibri" w:hAnsi="Calibri"/>
          <w:b/>
          <w:bCs/>
          <w:color w:val="1B1F26"/>
          <w:sz w:val="21"/>
          <w:szCs w:val="21"/>
        </w:rPr>
        <w:t xml:space="preserve">Finding detail — </w:t>
      </w:r>
      <w:r>
        <w:rPr>
          <w:rFonts w:ascii="Consolas" w:cs="Consolas" w:eastAsia="Consolas" w:hAnsi="Consolas"/>
          <w:b/>
          <w:bCs/>
          <w:color w:val="1B1F26"/>
          <w:sz w:val="19"/>
          <w:szCs w:val="19"/>
        </w:rPr>
        <w:t xml:space="preserve">/ui/scans/{id}/findings/{fid}</w:t>
      </w:r>
    </w:p>
    <w:p>
      <w:pPr>
        <w:spacing w:after="140" w:before="60"/>
        <w:jc w:val="left"/>
      </w:pPr>
      <w:r>
        <w:rPr>
          <w:rFonts w:ascii="Georgia" w:cs="Georgia" w:eastAsia="Georgia" w:hAnsi="Georgia"/>
          <w:color w:val="1B1F26"/>
          <w:sz w:val="21"/>
          <w:szCs w:val="21"/>
        </w:rPr>
        <w:t xml:space="preserve">One denial, one approved comparator, side by side. For each you see:</w:t>
      </w:r>
    </w:p>
    <w:p>
      <w:pPr>
        <w:pStyle w:val="ListParagraph"/>
        <w:numPr>
          <w:ilvl w:val="0"/>
          <w:numId w:val="1"/>
        </w:numPr>
        <w:spacing w:after="40" w:before="40"/>
      </w:pPr>
      <w:r>
        <w:rPr>
          <w:rFonts w:ascii="Georgia" w:cs="Georgia" w:eastAsia="Georgia" w:hAnsi="Georgia"/>
          <w:color w:val="1B1F26"/>
          <w:sz w:val="21"/>
          <w:szCs w:val="21"/>
        </w:rPr>
        <w:t xml:space="preserve">the </w:t>
      </w:r>
      <w:r>
        <w:rPr>
          <w:rFonts w:ascii="Georgia" w:cs="Georgia" w:eastAsia="Georgia" w:hAnsi="Georgia"/>
          <w:b/>
          <w:bCs/>
          <w:color w:val="1B1F26"/>
          <w:sz w:val="21"/>
          <w:szCs w:val="21"/>
        </w:rPr>
        <w:t xml:space="preserve">banded</w:t>
      </w:r>
      <w:r>
        <w:rPr>
          <w:rFonts w:ascii="Georgia" w:cs="Georgia" w:eastAsia="Georgia" w:hAnsi="Georgia"/>
          <w:color w:val="1B1F26"/>
          <w:sz w:val="21"/>
          <w:szCs w:val="21"/>
        </w:rPr>
        <w:t xml:space="preserve"> value of every published financial field (see below);</w:t>
      </w:r>
    </w:p>
    <w:p>
      <w:pPr>
        <w:pStyle w:val="ListParagraph"/>
        <w:numPr>
          <w:ilvl w:val="0"/>
          <w:numId w:val="1"/>
        </w:numPr>
        <w:spacing w:after="40" w:before="40"/>
      </w:pPr>
      <w:r>
        <w:rPr>
          <w:rFonts w:ascii="Georgia" w:cs="Georgia" w:eastAsia="Georgia" w:hAnsi="Georgia"/>
          <w:color w:val="1B1F26"/>
          <w:sz w:val="21"/>
          <w:szCs w:val="21"/>
        </w:rPr>
        <w:t xml:space="preserve">the </w:t>
      </w:r>
      <w:r>
        <w:rPr>
          <w:rFonts w:ascii="Georgia" w:cs="Georgia" w:eastAsia="Georgia" w:hAnsi="Georgia"/>
          <w:b/>
          <w:bCs/>
          <w:color w:val="1B1F26"/>
          <w:sz w:val="21"/>
          <w:szCs w:val="21"/>
        </w:rPr>
        <w:t xml:space="preserve">tested dimension</w:t>
      </w:r>
      <w:r>
        <w:rPr>
          <w:rFonts w:ascii="Georgia" w:cs="Georgia" w:eastAsia="Georgia" w:hAnsi="Georgia"/>
          <w:color w:val="1B1F26"/>
          <w:sz w:val="21"/>
          <w:szCs w:val="21"/>
        </w:rPr>
        <w:t xml:space="preserve">, its direction, the margin between the two records, and the</w:t>
      </w:r>
    </w:p>
    <w:p>
      <w:pPr>
        <w:spacing w:after="140" w:before="60"/>
        <w:jc w:val="left"/>
      </w:pPr>
      <w:r>
        <w:rPr>
          <w:rFonts w:ascii="Georgia" w:cs="Georgia" w:eastAsia="Georgia" w:hAnsi="Georgia"/>
          <w:color w:val="1B1F26"/>
          <w:sz w:val="21"/>
          <w:szCs w:val="21"/>
        </w:rPr>
        <w:t xml:space="preserve">  decisive threshold that applied </w:t>
      </w:r>
      <w:r>
        <w:rPr>
          <w:rFonts w:ascii="Georgia" w:cs="Georgia" w:eastAsia="Georgia" w:hAnsi="Georgia"/>
          <w:i/>
          <w:iCs/>
          <w:color w:val="1B1F26"/>
          <w:sz w:val="21"/>
          <w:szCs w:val="21"/>
        </w:rPr>
        <w:t xml:space="preserve">to this pair</w:t>
      </w:r>
      <w:r>
        <w:rPr>
          <w:rFonts w:ascii="Georgia" w:cs="Georgia" w:eastAsia="Georgia" w:hAnsi="Georgia"/>
          <w:color w:val="1B1F26"/>
          <w:sz w:val="21"/>
          <w:szCs w:val="21"/>
        </w:rPr>
        <w:t xml:space="preserve">;</w:t>
      </w:r>
    </w:p>
    <w:p>
      <w:pPr>
        <w:pStyle w:val="ListParagraph"/>
        <w:numPr>
          <w:ilvl w:val="0"/>
          <w:numId w:val="1"/>
        </w:numPr>
        <w:spacing w:after="40" w:before="40"/>
      </w:pPr>
      <w:r>
        <w:rPr>
          <w:rFonts w:ascii="Georgia" w:cs="Georgia" w:eastAsia="Georgia" w:hAnsi="Georgia"/>
          <w:color w:val="1B1F26"/>
          <w:sz w:val="21"/>
          <w:szCs w:val="21"/>
        </w:rPr>
        <w:t xml:space="preserve">the cell: how many records were in it, where this denial ranked, and whether the cell was</w:t>
      </w:r>
    </w:p>
    <w:p>
      <w:pPr>
        <w:spacing w:after="140" w:before="60"/>
        <w:jc w:val="left"/>
      </w:pPr>
      <w:r>
        <w:rPr>
          <w:rFonts w:ascii="Georgia" w:cs="Georgia" w:eastAsia="Georgia" w:hAnsi="Georgia"/>
          <w:color w:val="1B1F26"/>
          <w:sz w:val="21"/>
          <w:szCs w:val="21"/>
        </w:rPr>
        <w:t xml:space="preserve">  large enough to say anything;</w:t>
      </w:r>
    </w:p>
    <w:p>
      <w:pPr>
        <w:pStyle w:val="ListParagraph"/>
        <w:numPr>
          <w:ilvl w:val="0"/>
          <w:numId w:val="1"/>
        </w:numPr>
        <w:spacing w:after="40" w:before="40"/>
      </w:pPr>
      <w:r>
        <w:rPr>
          <w:rFonts w:ascii="Georgia" w:cs="Georgia" w:eastAsia="Georgia" w:hAnsi="Georgia"/>
          <w:b/>
          <w:bCs/>
          <w:color w:val="1B1F26"/>
          <w:sz w:val="21"/>
          <w:szCs w:val="21"/>
        </w:rPr>
        <w:t xml:space="preserve">Γ\</w:t>
      </w:r>
      <w:r>
        <w:rPr>
          <w:rFonts w:ascii="Georgia" w:cs="Georgia" w:eastAsia="Georgia" w:hAnsi="Georgia"/>
          <w:color w:val="1B1F26"/>
          <w:sz w:val="21"/>
          <w:szCs w:val="21"/>
        </w:rPr>
        <w:t xml:space="preserve">* (gamma-star), the sensitivity number described in §8;</w:t>
      </w:r>
    </w:p>
    <w:p>
      <w:pPr>
        <w:pStyle w:val="ListParagraph"/>
        <w:numPr>
          <w:ilvl w:val="0"/>
          <w:numId w:val="1"/>
        </w:numPr>
        <w:spacing w:after="40" w:before="40"/>
      </w:pPr>
      <w:r>
        <w:rPr>
          <w:rFonts w:ascii="Georgia" w:cs="Georgia" w:eastAsia="Georgia" w:hAnsi="Georgia"/>
          <w:color w:val="1B1F26"/>
          <w:sz w:val="21"/>
          <w:szCs w:val="21"/>
        </w:rPr>
        <w:t xml:space="preserve">the specification digests and snapshot identifier, so the pair can be re-derived.</w:t>
      </w:r>
    </w:p>
    <w:p>
      <w:pPr>
        <w:spacing w:after="140" w:before="60"/>
        <w:jc w:val="left"/>
      </w:pPr>
      <w:r>
        <w:rPr>
          <w:rFonts w:ascii="Georgia" w:cs="Georgia" w:eastAsia="Georgia" w:hAnsi="Georgia"/>
          <w:color w:val="1B1F26"/>
          <w:sz w:val="21"/>
          <w:szCs w:val="21"/>
        </w:rPr>
        <w:t xml:space="preserve">At the bottom is a disposition form: record what you checked and what you concluded. That note is saved with your name and the date, and it stays with the finding.</w:t>
      </w:r>
    </w:p>
    <w:p>
      <w:pPr>
        <w:spacing w:after="140" w:before="60"/>
        <w:jc w:val="left"/>
      </w:pPr>
      <w:r>
        <w:rPr>
          <w:rFonts w:ascii="Georgia" w:cs="Georgia" w:eastAsia="Georgia" w:hAnsi="Georgia"/>
          <w:b/>
          <w:bCs/>
          <w:color w:val="1B1F26"/>
          <w:sz w:val="21"/>
          <w:szCs w:val="21"/>
        </w:rPr>
        <w:t xml:space="preserve">Why banded and not exact.</w:t>
      </w:r>
      <w:r>
        <w:rPr>
          <w:rFonts w:ascii="Georgia" w:cs="Georgia" w:eastAsia="Georgia" w:hAnsi="Georgia"/>
          <w:color w:val="1B1F26"/>
          <w:sz w:val="21"/>
          <w:szCs w:val="21"/>
        </w:rPr>
        <w:t xml:space="preserve"> Everything published by Likewise passes through a single serialisation boundary that bands financial values. An exact margin at six decimal places, sitting next to four banded quasi-identifiers, is very nearly a unique key for the pair — which would defeat the disclosure protection everywhere else. So the view shows the band, the margin bucketed to multiples of the applicable threshold, and the threshold itself.</w:t>
      </w:r>
    </w:p>
    <w:p>
      <w:pPr>
        <w:spacing w:after="140" w:before="60"/>
        <w:jc w:val="left"/>
      </w:pPr>
      <w:r>
        <w:rPr>
          <w:rFonts w:ascii="Georgia" w:cs="Georgia" w:eastAsia="Georgia" w:hAnsi="Georgia"/>
          <w:b/>
          <w:bCs/>
          <w:color w:val="1B1F26"/>
          <w:sz w:val="21"/>
          <w:szCs w:val="21"/>
        </w:rPr>
        <w:t xml:space="preserve">Why county and not census tract.</w:t>
      </w:r>
      <w:r>
        <w:rPr>
          <w:rFonts w:ascii="Georgia" w:cs="Georgia" w:eastAsia="Georgia" w:hAnsi="Georgia"/>
          <w:color w:val="1B1F26"/>
          <w:sz w:val="21"/>
          <w:szCs w:val="21"/>
        </w:rPr>
        <w:t xml:space="preserve"> The geography ceiling in force is the county. Census tract is dropped at ingest, so no downstream code can emit it even by accident.</w:t>
      </w:r>
    </w:p>
    <w:p>
      <w:pPr>
        <w:pStyle w:val="Heading3"/>
        <w:spacing w:after="100" w:before="220"/>
      </w:pPr>
      <w:r>
        <w:rPr>
          <w:rFonts w:ascii="Calibri" w:cs="Calibri" w:eastAsia="Calibri" w:hAnsi="Calibri"/>
          <w:b/>
          <w:bCs/>
          <w:color w:val="1B1F26"/>
          <w:sz w:val="21"/>
          <w:szCs w:val="21"/>
        </w:rPr>
        <w:t xml:space="preserve">Sweep — </w:t>
      </w:r>
      <w:r>
        <w:rPr>
          <w:rFonts w:ascii="Consolas" w:cs="Consolas" w:eastAsia="Consolas" w:hAnsi="Consolas"/>
          <w:b/>
          <w:bCs/>
          <w:color w:val="1B1F26"/>
          <w:sz w:val="19"/>
          <w:szCs w:val="19"/>
        </w:rPr>
        <w:t xml:space="preserve">/ui/scans/{id}/sweep</w:t>
      </w:r>
    </w:p>
    <w:p>
      <w:pPr>
        <w:spacing w:after="140" w:before="60"/>
        <w:jc w:val="left"/>
      </w:pPr>
      <w:r>
        <w:rPr>
          <w:rFonts w:ascii="Georgia" w:cs="Georgia" w:eastAsia="Georgia" w:hAnsi="Georgia"/>
          <w:color w:val="1B1F26"/>
          <w:sz w:val="21"/>
          <w:szCs w:val="21"/>
        </w:rPr>
        <w:t xml:space="preserve">The exceedance curve: how the finding count moves as the tolerance moves. A result that only exists at one point on this curve is a result that was chosen rather than found.</w:t>
      </w:r>
    </w:p>
    <w:p>
      <w:pPr>
        <w:pStyle w:val="Heading3"/>
        <w:spacing w:after="100" w:before="220"/>
      </w:pPr>
      <w:r>
        <w:rPr>
          <w:rFonts w:ascii="Calibri" w:cs="Calibri" w:eastAsia="Calibri" w:hAnsi="Calibri"/>
          <w:b/>
          <w:bCs/>
          <w:color w:val="1B1F26"/>
          <w:sz w:val="21"/>
          <w:szCs w:val="21"/>
        </w:rPr>
        <w:t xml:space="preserve">Controls — </w:t>
      </w:r>
      <w:r>
        <w:rPr>
          <w:rFonts w:ascii="Consolas" w:cs="Consolas" w:eastAsia="Consolas" w:hAnsi="Consolas"/>
          <w:b/>
          <w:bCs/>
          <w:color w:val="1B1F26"/>
          <w:sz w:val="19"/>
          <w:szCs w:val="19"/>
        </w:rPr>
        <w:t xml:space="preserve">/ui/scans/{id}/controls</w:t>
      </w:r>
    </w:p>
    <w:p>
      <w:pPr>
        <w:spacing w:after="140" w:before="60"/>
        <w:jc w:val="left"/>
      </w:pPr>
      <w:r>
        <w:rPr>
          <w:rFonts w:ascii="Georgia" w:cs="Georgia" w:eastAsia="Georgia" w:hAnsi="Georgia"/>
          <w:color w:val="1B1F26"/>
          <w:sz w:val="21"/>
          <w:szCs w:val="21"/>
        </w:rPr>
        <w:t xml:space="preserve">The placebo comparison, and whether it passed. Nothing is published from a scan whose controls failed.</w:t>
      </w:r>
    </w:p>
    <w:p>
      <w:pPr>
        <w:pStyle w:val="Heading3"/>
        <w:spacing w:after="100" w:before="220"/>
      </w:pPr>
      <w:r>
        <w:rPr>
          <w:rFonts w:ascii="Calibri" w:cs="Calibri" w:eastAsia="Calibri" w:hAnsi="Calibri"/>
          <w:b/>
          <w:bCs/>
          <w:color w:val="1B1F26"/>
          <w:sz w:val="21"/>
          <w:szCs w:val="21"/>
        </w:rPr>
        <w:t xml:space="preserve">Specification — </w:t>
      </w:r>
      <w:r>
        <w:rPr>
          <w:rFonts w:ascii="Consolas" w:cs="Consolas" w:eastAsia="Consolas" w:hAnsi="Consolas"/>
          <w:b/>
          <w:bCs/>
          <w:color w:val="1B1F26"/>
          <w:sz w:val="19"/>
          <w:szCs w:val="19"/>
        </w:rPr>
        <w:t xml:space="preserve">/ui/spec</w:t>
      </w:r>
    </w:p>
    <w:p>
      <w:pPr>
        <w:spacing w:after="140" w:before="60"/>
        <w:jc w:val="left"/>
      </w:pPr>
      <w:r>
        <w:rPr>
          <w:rFonts w:ascii="Georgia" w:cs="Georgia" w:eastAsia="Georgia" w:hAnsi="Georgia"/>
          <w:color w:val="1B1F26"/>
          <w:sz w:val="21"/>
          <w:szCs w:val="21"/>
        </w:rPr>
        <w:t xml:space="preserve">The comparability standard in force: every dimension, its tolerance, the written rationale for that tolerance, and the author who signed it. Every finding cites this by digest.</w:t>
      </w:r>
    </w:p>
    <w:p>
      <w:pPr>
        <w:pStyle w:val="Heading2"/>
        <w:spacing w:after="120" w:before="280"/>
      </w:pPr>
      <w:r>
        <w:rPr>
          <w:rFonts w:ascii="Calibri" w:cs="Calibri" w:eastAsia="Calibri" w:hAnsi="Calibri"/>
          <w:b/>
          <w:bCs/>
          <w:color w:val="24486E"/>
          <w:sz w:val="24"/>
          <w:szCs w:val="24"/>
        </w:rPr>
        <w:t xml:space="preserve">8. The numbers on a finding, in plain language</w:t>
      </w:r>
    </w:p>
    <w:p>
      <w:pPr>
        <w:spacing w:after="140" w:before="60"/>
        <w:jc w:val="left"/>
      </w:pPr>
      <w:r>
        <w:rPr>
          <w:rFonts w:ascii="Georgia" w:cs="Georgia" w:eastAsia="Georgia" w:hAnsi="Georgia"/>
          <w:b/>
          <w:bCs/>
          <w:color w:val="1B1F26"/>
          <w:sz w:val="21"/>
          <w:szCs w:val="21"/>
        </w:rPr>
        <w:t xml:space="preserve">Margin.</w:t>
      </w:r>
      <w:r>
        <w:rPr>
          <w:rFonts w:ascii="Georgia" w:cs="Georgia" w:eastAsia="Georgia" w:hAnsi="Georgia"/>
          <w:color w:val="1B1F26"/>
          <w:sz w:val="21"/>
          <w:szCs w:val="21"/>
        </w:rPr>
        <w:t xml:space="preserve"> How far apart the two records are on the tested dimension, in that dimension's own units. Positive means the approved comparator is worse.</w:t>
      </w:r>
    </w:p>
    <w:p>
      <w:pPr>
        <w:spacing w:after="140" w:before="60"/>
        <w:jc w:val="left"/>
      </w:pPr>
      <w:r>
        <w:rPr>
          <w:rFonts w:ascii="Georgia" w:cs="Georgia" w:eastAsia="Georgia" w:hAnsi="Georgia"/>
          <w:b/>
          <w:bCs/>
          <w:color w:val="1B1F26"/>
          <w:sz w:val="21"/>
          <w:szCs w:val="21"/>
        </w:rPr>
        <w:t xml:space="preserve">Decisive threshold.</w:t>
      </w:r>
      <w:r>
        <w:rPr>
          <w:rFonts w:ascii="Georgia" w:cs="Georgia" w:eastAsia="Georgia" w:hAnsi="Georgia"/>
          <w:color w:val="1B1F26"/>
          <w:sz w:val="21"/>
          <w:szCs w:val="21"/>
        </w:rPr>
        <w:t xml:space="preserve"> The smallest difference that counts as a real difference </w:t>
      </w:r>
      <w:r>
        <w:rPr>
          <w:rFonts w:ascii="Georgia" w:cs="Georgia" w:eastAsia="Georgia" w:hAnsi="Georgia"/>
          <w:i/>
          <w:iCs/>
          <w:color w:val="1B1F26"/>
          <w:sz w:val="21"/>
          <w:szCs w:val="21"/>
        </w:rPr>
        <w:t xml:space="preserve">for this pair</w:t>
      </w:r>
      <w:r>
        <w:rPr>
          <w:rFonts w:ascii="Georgia" w:cs="Georgia" w:eastAsia="Georgia" w:hAnsi="Georgia"/>
          <w:color w:val="1B1F26"/>
          <w:sz w:val="21"/>
          <w:szCs w:val="21"/>
        </w:rPr>
        <w:t xml:space="preserve">. It is not one number for the whole scan: it is computed at the pair's own magnitudes, because the published data resolves a percentage point of loan-to-value very differently on a $125,000 house than on an $800,000 one. See METHOD.md §5.</w:t>
      </w:r>
    </w:p>
    <w:p>
      <w:pPr>
        <w:spacing w:after="140" w:before="60"/>
        <w:jc w:val="left"/>
      </w:pPr>
      <w:r>
        <w:rPr>
          <w:rFonts w:ascii="Georgia" w:cs="Georgia" w:eastAsia="Georgia" w:hAnsi="Georgia"/>
          <w:b/>
          <w:bCs/>
          <w:color w:val="1B1F26"/>
          <w:sz w:val="21"/>
          <w:szCs w:val="21"/>
        </w:rPr>
        <w:t xml:space="preserve">Margin ratio.</w:t>
      </w:r>
      <w:r>
        <w:rPr>
          <w:rFonts w:ascii="Georgia" w:cs="Georgia" w:eastAsia="Georgia" w:hAnsi="Georgia"/>
          <w:color w:val="1B1F26"/>
          <w:sz w:val="21"/>
          <w:szCs w:val="21"/>
        </w:rPr>
        <w:t xml:space="preserve"> Margin ÷ the granularity of the field. A margin of 0.1 percentage points and one of 5.0 used to produce identical verdicts; on a field published in bins, the first is a rounding artefact. The ratio is what tells them apart.</w:t>
      </w:r>
    </w:p>
    <w:p>
      <w:pPr>
        <w:spacing w:after="140" w:before="60"/>
        <w:jc w:val="left"/>
      </w:pPr>
      <w:r>
        <w:rPr>
          <w:rFonts w:ascii="Georgia" w:cs="Georgia" w:eastAsia="Georgia" w:hAnsi="Georgia"/>
          <w:b/>
          <w:bCs/>
          <w:color w:val="1B1F26"/>
          <w:sz w:val="21"/>
          <w:szCs w:val="21"/>
        </w:rPr>
        <w:t xml:space="preserve">Cell size, and rank in cell.</w:t>
      </w:r>
      <w:r>
        <w:rPr>
          <w:rFonts w:ascii="Georgia" w:cs="Georgia" w:eastAsia="Georgia" w:hAnsi="Georgia"/>
          <w:color w:val="1B1F26"/>
          <w:sz w:val="21"/>
          <w:szCs w:val="21"/>
        </w:rPr>
        <w:t xml:space="preserve"> The cell is the group of comparable records this denial was compared against. Rank is where the denial sat inside it. Rank is a </w:t>
      </w:r>
      <w:r>
        <w:rPr>
          <w:rFonts w:ascii="Georgia" w:cs="Georgia" w:eastAsia="Georgia" w:hAnsi="Georgia"/>
          <w:i/>
          <w:iCs/>
          <w:color w:val="1B1F26"/>
          <w:sz w:val="21"/>
          <w:szCs w:val="21"/>
        </w:rPr>
        <w:t xml:space="preserve">midrank</w:t>
      </w:r>
      <w:r>
        <w:rPr>
          <w:rFonts w:ascii="Georgia" w:cs="Georgia" w:eastAsia="Georgia" w:hAnsi="Georgia"/>
          <w:color w:val="1B1F26"/>
          <w:sz w:val="21"/>
          <w:szCs w:val="21"/>
        </w:rPr>
        <w:t xml:space="preserve"> and is therefore often fractional — on data published in bins, ties are the normal case, not the exception.</w:t>
      </w:r>
    </w:p>
    <w:p>
      <w:pPr>
        <w:spacing w:after="140" w:before="60"/>
        <w:jc w:val="left"/>
      </w:pPr>
      <w:r>
        <w:rPr>
          <w:rFonts w:ascii="Georgia" w:cs="Georgia" w:eastAsia="Georgia" w:hAnsi="Georgia"/>
          <w:b/>
          <w:bCs/>
          <w:color w:val="1B1F26"/>
          <w:sz w:val="21"/>
          <w:szCs w:val="21"/>
        </w:rPr>
        <w:t xml:space="preserve">Cell power.</w:t>
      </w:r>
      <w:r>
        <w:rPr>
          <w:rFonts w:ascii="Georgia" w:cs="Georgia" w:eastAsia="Georgia" w:hAnsi="Georgia"/>
          <w:color w:val="1B1F26"/>
          <w:sz w:val="21"/>
          <w:szCs w:val="21"/>
        </w:rPr>
        <w:t xml:space="preserve"> </w:t>
      </w:r>
      <w:r>
        <w:rPr>
          <w:rFonts w:ascii="Consolas" w:cs="Consolas" w:eastAsia="Consolas" w:hAnsi="Consolas"/>
          <w:color w:val="1B1F26"/>
          <w:sz w:val="19"/>
          <w:szCs w:val="19"/>
        </w:rPr>
        <w:t xml:space="preserve">adequate</w:t>
      </w:r>
      <w:r>
        <w:rPr>
          <w:rFonts w:ascii="Georgia" w:cs="Georgia" w:eastAsia="Georgia" w:hAnsi="Georgia"/>
          <w:color w:val="1B1F26"/>
          <w:sz w:val="21"/>
          <w:szCs w:val="21"/>
        </w:rPr>
        <w:t xml:space="preserve"> or </w:t>
      </w:r>
      <w:r>
        <w:rPr>
          <w:rFonts w:ascii="Consolas" w:cs="Consolas" w:eastAsia="Consolas" w:hAnsi="Consolas"/>
          <w:color w:val="1B1F26"/>
          <w:sz w:val="19"/>
          <w:szCs w:val="19"/>
        </w:rPr>
        <w:t xml:space="preserve">underpowered</w:t>
      </w:r>
      <w:r>
        <w:rPr>
          <w:rFonts w:ascii="Georgia" w:cs="Georgia" w:eastAsia="Georgia" w:hAnsi="Georgia"/>
          <w:color w:val="1B1F26"/>
          <w:sz w:val="21"/>
          <w:szCs w:val="21"/>
        </w:rPr>
        <w:t xml:space="preserve">. A small cell, or a cell where everything is tied, cannot distinguish anything however strong the underlying effect. Underpowered cells are counted separately and never presented as findings.</w:t>
      </w:r>
    </w:p>
    <w:p>
      <w:pPr>
        <w:spacing w:after="140" w:before="60"/>
        <w:jc w:val="left"/>
      </w:pPr>
      <w:r>
        <w:rPr>
          <w:rFonts w:ascii="Georgia" w:cs="Georgia" w:eastAsia="Georgia" w:hAnsi="Georgia"/>
          <w:color w:val="1B1F26"/>
          <w:sz w:val="21"/>
          <w:szCs w:val="21"/>
        </w:rPr>
        <w:t xml:space="preserve">*</w:t>
      </w:r>
      <w:r>
        <w:rPr>
          <w:rFonts w:ascii="Georgia" w:cs="Georgia" w:eastAsia="Georgia" w:hAnsi="Georgia"/>
          <w:i/>
          <w:iCs/>
          <w:color w:val="1B1F26"/>
          <w:sz w:val="21"/>
          <w:szCs w:val="21"/>
        </w:rPr>
        <w:t xml:space="preserve">Γ\</w:t>
      </w:r>
      <w:r>
        <w:rPr>
          <w:rFonts w:ascii="Georgia" w:cs="Georgia" w:eastAsia="Georgia" w:hAnsi="Georgia"/>
          <w:color w:val="1B1F26"/>
          <w:sz w:val="21"/>
          <w:szCs w:val="21"/>
        </w:rPr>
        <w:t xml:space="preserve"> (gamma-star).*</w:t>
      </w:r>
      <w:r>
        <w:rPr>
          <w:rFonts w:ascii="Georgia" w:cs="Georgia" w:eastAsia="Georgia" w:hAnsi="Georgia"/>
          <w:i/>
          <w:iCs/>
          <w:color w:val="1B1F26"/>
          <w:sz w:val="21"/>
          <w:szCs w:val="21"/>
        </w:rPr>
        <w:t xml:space="preserve"> The honest one. It answers: </w:t>
      </w:r>
      <w:r>
        <w:rPr>
          <w:rFonts w:ascii="Georgia" w:cs="Georgia" w:eastAsia="Georgia" w:hAnsi="Georgia"/>
          <w:color w:val="1B1F26"/>
          <w:sz w:val="21"/>
          <w:szCs w:val="21"/>
        </w:rPr>
        <w:t xml:space="preserve">how much hidden bias would it take to explain this away?</w:t>
      </w:r>
      <w:r>
        <w:rPr>
          <w:rFonts w:ascii="Georgia" w:cs="Georgia" w:eastAsia="Georgia" w:hAnsi="Georgia"/>
          <w:i/>
          <w:iCs/>
          <w:color w:val="1B1F26"/>
          <w:sz w:val="21"/>
          <w:szCs w:val="21"/>
        </w:rPr>
        <w:t xml:space="preserve"> Γ\</w:t>
      </w:r>
      <w:r>
        <w:rPr>
          <w:rFonts w:ascii="Georgia" w:cs="Georgia" w:eastAsia="Georgia" w:hAnsi="Georgia"/>
          <w:color w:val="1B1F26"/>
          <w:sz w:val="21"/>
          <w:szCs w:val="21"/>
        </w:rPr>
        <w:t xml:space="preserve"> = 1 means none at all — any unmeasured difference between the two applicants is enough. Γ\</w:t>
      </w:r>
      <w:r>
        <w:rPr>
          <w:rFonts w:ascii="Georgia" w:cs="Georgia" w:eastAsia="Georgia" w:hAnsi="Georgia"/>
          <w:i/>
          <w:iCs/>
          <w:color w:val="1B1F26"/>
          <w:sz w:val="21"/>
          <w:szCs w:val="21"/>
        </w:rPr>
        <w:t xml:space="preserve"> = 5 means an unmeasured factor would have to make one applicant five times more likely to be denied before the result dissolves. Two applications identical on every published field and 90 FICO points apart is completely ordinary, and that alone is worth a Γ in the mid single digits. </w:t>
      </w:r>
      <w:r>
        <w:rPr>
          <w:rFonts w:ascii="Georgia" w:cs="Georgia" w:eastAsia="Georgia" w:hAnsi="Georgia"/>
          <w:i/>
          <w:iCs/>
          <w:color w:val="1B1F26"/>
          <w:sz w:val="21"/>
          <w:szCs w:val="21"/>
        </w:rPr>
        <w:t xml:space="preserve">Read Γ\</w:t>
      </w:r>
      <w:r>
        <w:rPr>
          <w:rFonts w:ascii="Georgia" w:cs="Georgia" w:eastAsia="Georgia" w:hAnsi="Georgia"/>
          <w:color w:val="1B1F26"/>
          <w:sz w:val="21"/>
          <w:szCs w:val="21"/>
        </w:rPr>
        <w:t xml:space="preserve"> before you read the margin.**</w:t>
      </w:r>
    </w:p>
    <w:p>
      <w:pPr>
        <w:pStyle w:val="Heading2"/>
        <w:spacing w:after="120" w:before="280"/>
      </w:pPr>
      <w:r>
        <w:rPr>
          <w:rFonts w:ascii="Calibri" w:cs="Calibri" w:eastAsia="Calibri" w:hAnsi="Calibri"/>
          <w:b/>
          <w:bCs/>
          <w:color w:val="24486E"/>
          <w:sz w:val="24"/>
          <w:szCs w:val="24"/>
        </w:rPr>
        <w:t xml:space="preserve">9. What a scan-level result claims</w:t>
      </w:r>
    </w:p>
    <w:p>
      <w:pPr>
        <w:spacing w:after="140" w:before="60"/>
        <w:jc w:val="left"/>
      </w:pPr>
      <w:r>
        <w:rPr>
          <w:rFonts w:ascii="Georgia" w:cs="Georgia" w:eastAsia="Georgia" w:hAnsi="Georgia"/>
          <w:color w:val="1B1F26"/>
          <w:sz w:val="21"/>
          <w:szCs w:val="21"/>
        </w:rPr>
        <w:t xml:space="preserve">Individual findings carry no significance value. The statistical claim Likewise makes is made once per scan, over all of a filer's denials at once:</w:t>
      </w:r>
    </w:p>
    <w:p>
      <w:pPr>
        <w:pBdr>
          <w:left w:val="single" w:color="24486E" w:sz="12"/>
        </w:pBdr>
        <w:spacing w:after="140" w:before="100"/>
        <w:ind w:left="360"/>
      </w:pPr>
      <w:r>
        <w:rPr>
          <w:rFonts w:ascii="Georgia" w:cs="Georgia" w:eastAsia="Georgia" w:hAnsi="Georgia"/>
          <w:color w:val="3A4250"/>
          <w:sz w:val="21"/>
          <w:szCs w:val="21"/>
        </w:rPr>
        <w:t xml:space="preserve">Across this filer's denials, the dimension the filer's own stated reason names does not</w:t>
      </w:r>
    </w:p>
    <w:p>
      <w:pPr>
        <w:pBdr>
          <w:left w:val="single" w:color="24486E" w:sz="12"/>
        </w:pBdr>
        <w:spacing w:after="140" w:before="100"/>
        <w:ind w:left="360"/>
      </w:pPr>
      <w:r>
        <w:rPr>
          <w:rFonts w:ascii="Georgia" w:cs="Georgia" w:eastAsia="Georgia" w:hAnsi="Georgia"/>
          <w:color w:val="3A4250"/>
          <w:sz w:val="21"/>
          <w:szCs w:val="21"/>
        </w:rPr>
        <w:t xml:space="preserve">order the decisions.</w:t>
      </w:r>
    </w:p>
    <w:p>
      <w:pPr>
        <w:spacing w:after="140" w:before="60"/>
        <w:jc w:val="left"/>
      </w:pPr>
      <w:r>
        <w:rPr>
          <w:rFonts w:ascii="Georgia" w:cs="Georgia" w:eastAsia="Georgia" w:hAnsi="Georgia"/>
          <w:color w:val="1B1F26"/>
          <w:sz w:val="21"/>
          <w:szCs w:val="21"/>
        </w:rPr>
        <w:t xml:space="preserve">That is a claim about a filer, not about an application. METHOD.md §7 explains why the claim sits at that level and not at the level of a single pair.</w:t>
      </w:r>
    </w:p>
    <w:p>
      <w:pPr>
        <w:pStyle w:val="Heading2"/>
        <w:spacing w:after="120" w:before="280"/>
      </w:pPr>
      <w:r>
        <w:rPr>
          <w:rFonts w:ascii="Calibri" w:cs="Calibri" w:eastAsia="Calibri" w:hAnsi="Calibri"/>
          <w:b/>
          <w:bCs/>
          <w:color w:val="24486E"/>
          <w:sz w:val="24"/>
          <w:szCs w:val="24"/>
        </w:rPr>
        <w:t xml:space="preserve">10. Guard rails you will meet</w:t>
      </w:r>
    </w:p>
    <w:p>
      <w:pPr>
        <w:spacing w:after="140" w:before="60"/>
        <w:jc w:val="left"/>
      </w:pPr>
      <w:r>
        <w:rPr>
          <w:rFonts w:ascii="Georgia" w:cs="Georgia" w:eastAsia="Georgia" w:hAnsi="Georgia"/>
          <w:color w:val="1B1F26"/>
          <w:sz w:val="21"/>
          <w:szCs w:val="21"/>
        </w:rPr>
        <w:t xml:space="preserve">These stop the product rather than warn you. Each is there because it caught something real.</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4680"/>
        <w:gridCol w:w="4680"/>
      </w:tblGrid>
      <w:tr>
        <w:trPr>
          <w:tblHeader/>
        </w:trPr>
        <w:tc>
          <w:tcPr>
            <w:tcW w:type="dxa" w:w="468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What stops you</w:t>
            </w:r>
          </w:p>
        </w:tc>
        <w:tc>
          <w:tcPr>
            <w:tcW w:type="dxa" w:w="468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When</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Startup gate</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specification declares a threshold finer than the published data can resolve. The service exits before it binds the port</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Granularity check</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You loaded data that is not at the regulator's coarsening</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Post-treatment diagnostic</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 matching field turns out to be determined by the outcome, so matching on it is circular. It refuses per field, with the reason</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Sweep requirement</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You asked for findings from a scan with no sweep — 409</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Controls gate</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placebo comparison did not pass; nothing is published</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Egress contract</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 response, an export or a rendered page tried to carry a raw institution identifier, a census tract, a record key or a per-application raw value</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Two-sided tripwire</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 headline rate above </w:t>
            </w:r>
            <w:r>
              <w:rPr>
                <w:rFonts w:ascii="Calibri" w:cs="Calibri" w:eastAsia="Calibri" w:hAnsi="Calibri"/>
                <w:b/>
                <w:bCs/>
                <w:color w:val="1B1F26"/>
                <w:sz w:val="18"/>
                <w:szCs w:val="18"/>
              </w:rPr>
              <w:t xml:space="preserve">or below</w:t>
            </w:r>
            <w:r>
              <w:rPr>
                <w:rFonts w:ascii="Calibri" w:cs="Calibri" w:eastAsia="Calibri" w:hAnsi="Calibri"/>
                <w:color w:val="1B1F26"/>
                <w:sz w:val="18"/>
                <w:szCs w:val="18"/>
              </w:rPr>
              <w:t xml:space="preserve"> its expected band. A surprisingly large rate is far more likely to be a bug than misconduct — and the characteristic failure of this design produces zero, so a suspiciously clean result is investigated with equal force</w:t>
            </w:r>
          </w:p>
        </w:tc>
      </w:tr>
    </w:tbl>
    <w:p>
      <w:pPr>
        <w:spacing w:after="160"/>
      </w:pPr>
    </w:p>
    <w:p>
      <w:pPr>
        <w:pStyle w:val="Heading2"/>
        <w:spacing w:after="120" w:before="280"/>
      </w:pPr>
      <w:r>
        <w:rPr>
          <w:rFonts w:ascii="Calibri" w:cs="Calibri" w:eastAsia="Calibri" w:hAnsi="Calibri"/>
          <w:b/>
          <w:bCs/>
          <w:color w:val="24486E"/>
          <w:sz w:val="24"/>
          <w:szCs w:val="24"/>
        </w:rPr>
        <w:t xml:space="preserve">11. Command reference</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4680"/>
        <w:gridCol w:w="4680"/>
      </w:tblGrid>
      <w:tr>
        <w:trPr>
          <w:tblHeader/>
        </w:trPr>
        <w:tc>
          <w:tcPr>
            <w:tcW w:type="dxa" w:w="468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Command</w:t>
            </w:r>
          </w:p>
        </w:tc>
        <w:tc>
          <w:tcPr>
            <w:tcW w:type="dxa" w:w="468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What it does</w:t>
            </w:r>
          </w:p>
        </w:tc>
      </w:tr>
      <w:tr>
        <w:tc>
          <w:tcPr>
            <w:tcW w:type="dxa" w:w="4680"/>
            <w:tcMar>
              <w:top w:type="dxa" w:w="80"/>
              <w:left w:type="dxa" w:w="120"/>
              <w:bottom w:type="dxa" w:w="80"/>
              <w:right w:type="dxa" w:w="120"/>
            </w:tcMar>
          </w:tcPr>
          <w:p>
            <w:pPr>
              <w:spacing w:after="0" w:before="0"/>
            </w:pPr>
            <w:r>
              <w:rPr>
                <w:rFonts w:ascii="Consolas" w:cs="Consolas" w:eastAsia="Consolas" w:hAnsi="Consolas"/>
                <w:color w:val="1B1F26"/>
                <w:sz w:val="16"/>
                <w:szCs w:val="16"/>
              </w:rPr>
              <w:t xml:space="preserve">./install.sh</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Install, container or virtualenv, with all gates</w:t>
            </w:r>
          </w:p>
        </w:tc>
      </w:tr>
      <w:tr>
        <w:tc>
          <w:tcPr>
            <w:tcW w:type="dxa" w:w="4680"/>
            <w:tcMar>
              <w:top w:type="dxa" w:w="80"/>
              <w:left w:type="dxa" w:w="120"/>
              <w:bottom w:type="dxa" w:w="80"/>
              <w:right w:type="dxa" w:w="120"/>
            </w:tcMar>
          </w:tcPr>
          <w:p>
            <w:pPr>
              <w:spacing w:after="0" w:before="0"/>
            </w:pPr>
            <w:r>
              <w:rPr>
                <w:rFonts w:ascii="Consolas" w:cs="Consolas" w:eastAsia="Consolas" w:hAnsi="Consolas"/>
                <w:color w:val="1B1F26"/>
                <w:sz w:val="16"/>
                <w:szCs w:val="16"/>
              </w:rPr>
              <w:t xml:space="preserve">./likewise.sh start</w:t>
            </w:r>
            <w:r>
              <w:rPr>
                <w:rFonts w:ascii="Calibri" w:cs="Calibri" w:eastAsia="Calibri" w:hAnsi="Calibri"/>
                <w:color w:val="1B1F26"/>
                <w:sz w:val="18"/>
                <w:szCs w:val="18"/>
              </w:rPr>
              <w:t xml:space="preserve"> \</w:t>
            </w:r>
          </w:p>
        </w:tc>
        <w:tc>
          <w:tcPr>
            <w:tcW w:type="dxa" w:w="4680"/>
            <w:tcMar>
              <w:top w:type="dxa" w:w="80"/>
              <w:left w:type="dxa" w:w="120"/>
              <w:bottom w:type="dxa" w:w="80"/>
              <w:right w:type="dxa" w:w="120"/>
            </w:tcMar>
          </w:tcPr>
          <w:p>
            <w:pPr>
              <w:spacing w:after="0" w:before="0"/>
            </w:pPr>
            <w:r>
              <w:rPr>
                <w:rFonts w:ascii="Consolas" w:cs="Consolas" w:eastAsia="Consolas" w:hAnsi="Consolas"/>
                <w:color w:val="1B1F26"/>
                <w:sz w:val="16"/>
                <w:szCs w:val="16"/>
              </w:rPr>
              <w:t xml:space="preserve">stop</w:t>
            </w:r>
            <w:r>
              <w:rPr>
                <w:rFonts w:ascii="Calibri" w:cs="Calibri" w:eastAsia="Calibri" w:hAnsi="Calibri"/>
                <w:color w:val="1B1F26"/>
                <w:sz w:val="18"/>
                <w:szCs w:val="18"/>
              </w:rPr>
              <w:t xml:space="preserve"> \</w:t>
            </w:r>
          </w:p>
        </w:tc>
      </w:tr>
      <w:tr>
        <w:tc>
          <w:tcPr>
            <w:tcW w:type="dxa" w:w="4680"/>
            <w:tcMar>
              <w:top w:type="dxa" w:w="80"/>
              <w:left w:type="dxa" w:w="120"/>
              <w:bottom w:type="dxa" w:w="80"/>
              <w:right w:type="dxa" w:w="120"/>
            </w:tcMar>
          </w:tcPr>
          <w:p>
            <w:pPr>
              <w:spacing w:after="0" w:before="0"/>
            </w:pPr>
            <w:r>
              <w:rPr>
                <w:rFonts w:ascii="Consolas" w:cs="Consolas" w:eastAsia="Consolas" w:hAnsi="Consolas"/>
                <w:color w:val="1B1F26"/>
                <w:sz w:val="16"/>
                <w:szCs w:val="16"/>
              </w:rPr>
              <w:t xml:space="preserve">make serve</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Run in the virtualenv</w:t>
            </w:r>
          </w:p>
        </w:tc>
      </w:tr>
      <w:tr>
        <w:tc>
          <w:tcPr>
            <w:tcW w:type="dxa" w:w="4680"/>
            <w:tcMar>
              <w:top w:type="dxa" w:w="80"/>
              <w:left w:type="dxa" w:w="120"/>
              <w:bottom w:type="dxa" w:w="80"/>
              <w:right w:type="dxa" w:w="120"/>
            </w:tcMar>
          </w:tcPr>
          <w:p>
            <w:pPr>
              <w:spacing w:after="0" w:before="0"/>
            </w:pPr>
            <w:r>
              <w:rPr>
                <w:rFonts w:ascii="Consolas" w:cs="Consolas" w:eastAsia="Consolas" w:hAnsi="Consolas"/>
                <w:color w:val="1B1F26"/>
                <w:sz w:val="16"/>
                <w:szCs w:val="16"/>
              </w:rPr>
              <w:t xml:space="preserve">make template</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Copy the CSV template into the drop folder</w:t>
            </w:r>
          </w:p>
        </w:tc>
      </w:tr>
      <w:tr>
        <w:tc>
          <w:tcPr>
            <w:tcW w:type="dxa" w:w="4680"/>
            <w:tcMar>
              <w:top w:type="dxa" w:w="80"/>
              <w:left w:type="dxa" w:w="120"/>
              <w:bottom w:type="dxa" w:w="80"/>
              <w:right w:type="dxa" w:w="120"/>
            </w:tcMar>
          </w:tcPr>
          <w:p>
            <w:pPr>
              <w:spacing w:after="0" w:before="0"/>
            </w:pPr>
            <w:r>
              <w:rPr>
                <w:rFonts w:ascii="Consolas" w:cs="Consolas" w:eastAsia="Consolas" w:hAnsi="Consolas"/>
                <w:color w:val="1B1F26"/>
                <w:sz w:val="16"/>
                <w:szCs w:val="16"/>
              </w:rPr>
              <w:t xml:space="preserve">make load ARGS=--and-scan</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Load </w:t>
            </w:r>
            <w:r>
              <w:rPr>
                <w:rFonts w:ascii="Consolas" w:cs="Consolas" w:eastAsia="Consolas" w:hAnsi="Consolas"/>
                <w:color w:val="1B1F26"/>
                <w:sz w:val="16"/>
                <w:szCs w:val="16"/>
              </w:rPr>
              <w:t xml:space="preserve">data/inbox/</w:t>
            </w:r>
            <w:r>
              <w:rPr>
                <w:rFonts w:ascii="Calibri" w:cs="Calibri" w:eastAsia="Calibri" w:hAnsi="Calibri"/>
                <w:color w:val="1B1F26"/>
                <w:sz w:val="18"/>
                <w:szCs w:val="18"/>
              </w:rPr>
              <w:t xml:space="preserve">, then scan, sweep and run controls</w:t>
            </w:r>
          </w:p>
        </w:tc>
      </w:tr>
      <w:tr>
        <w:tc>
          <w:tcPr>
            <w:tcW w:type="dxa" w:w="4680"/>
            <w:tcMar>
              <w:top w:type="dxa" w:w="80"/>
              <w:left w:type="dxa" w:w="120"/>
              <w:bottom w:type="dxa" w:w="80"/>
              <w:right w:type="dxa" w:w="120"/>
            </w:tcMar>
          </w:tcPr>
          <w:p>
            <w:pPr>
              <w:spacing w:after="0" w:before="0"/>
            </w:pPr>
            <w:r>
              <w:rPr>
                <w:rFonts w:ascii="Consolas" w:cs="Consolas" w:eastAsia="Consolas" w:hAnsi="Consolas"/>
                <w:color w:val="1B1F26"/>
                <w:sz w:val="16"/>
                <w:szCs w:val="16"/>
              </w:rPr>
              <w:t xml:space="preserve">make example</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whole sequence on the shipped example filing</w:t>
            </w:r>
          </w:p>
        </w:tc>
      </w:tr>
      <w:tr>
        <w:tc>
          <w:tcPr>
            <w:tcW w:type="dxa" w:w="4680"/>
            <w:tcMar>
              <w:top w:type="dxa" w:w="80"/>
              <w:left w:type="dxa" w:w="120"/>
              <w:bottom w:type="dxa" w:w="80"/>
              <w:right w:type="dxa" w:w="120"/>
            </w:tcMar>
          </w:tcPr>
          <w:p>
            <w:pPr>
              <w:spacing w:after="0" w:before="0"/>
            </w:pPr>
            <w:r>
              <w:rPr>
                <w:rFonts w:ascii="Consolas" w:cs="Consolas" w:eastAsia="Consolas" w:hAnsi="Consolas"/>
                <w:color w:val="1B1F26"/>
                <w:sz w:val="16"/>
                <w:szCs w:val="16"/>
              </w:rPr>
              <w:t xml:space="preserve">make scan</w:t>
            </w:r>
            <w:r>
              <w:rPr>
                <w:rFonts w:ascii="Calibri" w:cs="Calibri" w:eastAsia="Calibri" w:hAnsi="Calibri"/>
                <w:color w:val="1B1F26"/>
                <w:sz w:val="18"/>
                <w:szCs w:val="18"/>
              </w:rPr>
              <w:t xml:space="preserve"> / </w:t>
            </w:r>
            <w:r>
              <w:rPr>
                <w:rFonts w:ascii="Consolas" w:cs="Consolas" w:eastAsia="Consolas" w:hAnsi="Consolas"/>
                <w:color w:val="1B1F26"/>
                <w:sz w:val="16"/>
                <w:szCs w:val="16"/>
              </w:rPr>
              <w:t xml:space="preserve">make sweep SCAN=…</w:t>
            </w:r>
            <w:r>
              <w:rPr>
                <w:rFonts w:ascii="Calibri" w:cs="Calibri" w:eastAsia="Calibri" w:hAnsi="Calibri"/>
                <w:color w:val="1B1F26"/>
                <w:sz w:val="18"/>
                <w:szCs w:val="18"/>
              </w:rPr>
              <w:t xml:space="preserve"> / </w:t>
            </w:r>
            <w:r>
              <w:rPr>
                <w:rFonts w:ascii="Consolas" w:cs="Consolas" w:eastAsia="Consolas" w:hAnsi="Consolas"/>
                <w:color w:val="1B1F26"/>
                <w:sz w:val="16"/>
                <w:szCs w:val="16"/>
              </w:rPr>
              <w:t xml:space="preserve">make controls SCAN=…</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three steps separately</w:t>
            </w:r>
          </w:p>
        </w:tc>
      </w:tr>
      <w:tr>
        <w:tc>
          <w:tcPr>
            <w:tcW w:type="dxa" w:w="4680"/>
            <w:tcMar>
              <w:top w:type="dxa" w:w="80"/>
              <w:left w:type="dxa" w:w="120"/>
              <w:bottom w:type="dxa" w:w="80"/>
              <w:right w:type="dxa" w:w="120"/>
            </w:tcMar>
          </w:tcPr>
          <w:p>
            <w:pPr>
              <w:spacing w:after="0" w:before="0"/>
            </w:pPr>
            <w:r>
              <w:rPr>
                <w:rFonts w:ascii="Consolas" w:cs="Consolas" w:eastAsia="Consolas" w:hAnsi="Consolas"/>
                <w:color w:val="1B1F26"/>
                <w:sz w:val="16"/>
                <w:szCs w:val="16"/>
              </w:rPr>
              <w:t xml:space="preserve">make test</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test suite</w:t>
            </w:r>
          </w:p>
        </w:tc>
      </w:tr>
      <w:tr>
        <w:tc>
          <w:tcPr>
            <w:tcW w:type="dxa" w:w="4680"/>
            <w:tcMar>
              <w:top w:type="dxa" w:w="80"/>
              <w:left w:type="dxa" w:w="120"/>
              <w:bottom w:type="dxa" w:w="80"/>
              <w:right w:type="dxa" w:w="120"/>
            </w:tcMar>
          </w:tcPr>
          <w:p>
            <w:pPr>
              <w:spacing w:after="0" w:before="0"/>
            </w:pPr>
            <w:r>
              <w:rPr>
                <w:rFonts w:ascii="Consolas" w:cs="Consolas" w:eastAsia="Consolas" w:hAnsi="Consolas"/>
                <w:color w:val="1B1F26"/>
                <w:sz w:val="16"/>
                <w:szCs w:val="16"/>
              </w:rPr>
              <w:t xml:space="preserve">make mutate</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mutation gate</w:t>
            </w:r>
          </w:p>
        </w:tc>
      </w:tr>
      <w:tr>
        <w:tc>
          <w:tcPr>
            <w:tcW w:type="dxa" w:w="4680"/>
            <w:tcMar>
              <w:top w:type="dxa" w:w="80"/>
              <w:left w:type="dxa" w:w="120"/>
              <w:bottom w:type="dxa" w:w="80"/>
              <w:right w:type="dxa" w:w="120"/>
            </w:tcMar>
          </w:tcPr>
          <w:p>
            <w:pPr>
              <w:spacing w:after="0" w:before="0"/>
            </w:pPr>
            <w:r>
              <w:rPr>
                <w:rFonts w:ascii="Consolas" w:cs="Consolas" w:eastAsia="Consolas" w:hAnsi="Consolas"/>
                <w:color w:val="1B1F26"/>
                <w:sz w:val="16"/>
                <w:szCs w:val="16"/>
              </w:rPr>
              <w:t xml:space="preserve">make help</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Everything</w:t>
            </w:r>
          </w:p>
        </w:tc>
      </w:tr>
    </w:tbl>
    <w:p>
      <w:pPr>
        <w:spacing w:after="160"/>
      </w:pPr>
    </w:p>
    <w:p>
      <w:pPr>
        <w:pStyle w:val="Heading2"/>
        <w:spacing w:after="120" w:before="280"/>
      </w:pPr>
      <w:r>
        <w:rPr>
          <w:rFonts w:ascii="Calibri" w:cs="Calibri" w:eastAsia="Calibri" w:hAnsi="Calibri"/>
          <w:b/>
          <w:bCs/>
          <w:color w:val="24486E"/>
          <w:sz w:val="24"/>
          <w:szCs w:val="24"/>
        </w:rPr>
        <w:t xml:space="preserve">12. If something goes wrong</w:t>
      </w:r>
    </w:p>
    <w:p>
      <w:pPr>
        <w:spacing w:after="140" w:before="60"/>
        <w:jc w:val="left"/>
      </w:pPr>
      <w:r>
        <w:rPr>
          <w:rFonts w:ascii="Georgia" w:cs="Georgia" w:eastAsia="Georgia" w:hAnsi="Georgia"/>
          <w:b/>
          <w:bCs/>
          <w:color w:val="1B1F26"/>
          <w:sz w:val="21"/>
          <w:szCs w:val="21"/>
        </w:rPr>
        <w:t xml:space="preserve">The service exits immediately with a JSON payload.</w:t>
      </w:r>
      <w:r>
        <w:rPr>
          <w:rFonts w:ascii="Georgia" w:cs="Georgia" w:eastAsia="Georgia" w:hAnsi="Georgia"/>
          <w:color w:val="1B1F26"/>
          <w:sz w:val="21"/>
          <w:szCs w:val="21"/>
        </w:rPr>
        <w:t xml:space="preserve"> That is the startup gate refusing the specification. The payload names the dimension and the rule. This is a real result about the specification, not an installation problem.</w:t>
      </w:r>
    </w:p>
    <w:p>
      <w:pPr>
        <w:spacing w:after="140" w:before="60"/>
        <w:jc w:val="left"/>
      </w:pPr>
      <w:r>
        <w:rPr>
          <w:rFonts w:ascii="Georgia" w:cs="Georgia" w:eastAsia="Georgia" w:hAnsi="Georgia"/>
          <w:b/>
          <w:bCs/>
          <w:color w:val="1B1F26"/>
          <w:sz w:val="21"/>
          <w:szCs w:val="21"/>
        </w:rPr>
        <w:t xml:space="preserve">A load refused.</w:t>
      </w:r>
      <w:r>
        <w:rPr>
          <w:rFonts w:ascii="Georgia" w:cs="Georgia" w:eastAsia="Georgia" w:hAnsi="Georgia"/>
          <w:color w:val="1B1F26"/>
          <w:sz w:val="21"/>
          <w:szCs w:val="21"/>
        </w:rPr>
        <w:t xml:space="preserve"> Read the payload; it names the rows or columns. The most common cause is data that is not at publication granularity.</w:t>
      </w:r>
    </w:p>
    <w:p>
      <w:pPr>
        <w:spacing w:after="140" w:before="60"/>
        <w:jc w:val="left"/>
      </w:pPr>
      <w:r>
        <w:rPr>
          <w:rFonts w:ascii="Georgia" w:cs="Georgia" w:eastAsia="Georgia" w:hAnsi="Georgia"/>
          <w:b/>
          <w:bCs/>
          <w:color w:val="1B1F26"/>
          <w:sz w:val="21"/>
          <w:szCs w:val="21"/>
        </w:rPr>
        <w:t xml:space="preserve">A scan produced no findings.</w:t>
      </w:r>
      <w:r>
        <w:rPr>
          <w:rFonts w:ascii="Georgia" w:cs="Georgia" w:eastAsia="Georgia" w:hAnsi="Georgia"/>
          <w:color w:val="1B1F26"/>
          <w:sz w:val="21"/>
          <w:szCs w:val="21"/>
        </w:rPr>
        <w:t xml:space="preserve"> That is a normal and common outcome — check the coverage screen. Usually the chain shows the population dropping out at matching (the filer is dispersed across many geographies) or at testability (the stated reasons are codes the public record cannot adjudicate).</w:t>
      </w:r>
    </w:p>
    <w:p>
      <w:pPr>
        <w:spacing w:after="140" w:before="60"/>
        <w:jc w:val="left"/>
      </w:pPr>
      <w:r>
        <w:rPr>
          <w:rFonts w:ascii="Georgia" w:cs="Georgia" w:eastAsia="Georgia" w:hAnsi="Georgia"/>
          <w:b/>
          <w:bCs/>
          <w:color w:val="1B1F26"/>
          <w:sz w:val="21"/>
          <w:szCs w:val="21"/>
        </w:rPr>
        <w:t xml:space="preserve">The queue returns 409.</w:t>
      </w:r>
      <w:r>
        <w:rPr>
          <w:rFonts w:ascii="Georgia" w:cs="Georgia" w:eastAsia="Georgia" w:hAnsi="Georgia"/>
          <w:color w:val="1B1F26"/>
          <w:sz w:val="21"/>
          <w:szCs w:val="21"/>
        </w:rPr>
        <w:t xml:space="preserve"> The scan has no sweep. Run </w:t>
      </w:r>
      <w:r>
        <w:rPr>
          <w:rFonts w:ascii="Consolas" w:cs="Consolas" w:eastAsia="Consolas" w:hAnsi="Consolas"/>
          <w:color w:val="1B1F26"/>
          <w:sz w:val="19"/>
          <w:szCs w:val="19"/>
        </w:rPr>
        <w:t xml:space="preserve">make sweep SCAN=…</w:t>
      </w:r>
      <w:r>
        <w:rPr>
          <w:rFonts w:ascii="Georgia" w:cs="Georgia" w:eastAsia="Georgia" w:hAnsi="Georgia"/>
          <w:color w:val="1B1F26"/>
          <w:sz w:val="21"/>
          <w:szCs w:val="21"/>
        </w:rPr>
        <w:t xml:space="preserve">.</w:t>
      </w:r>
    </w:p>
    <w:p>
      <w:pPr>
        <w:spacing w:after="140" w:before="60"/>
        <w:jc w:val="left"/>
      </w:pPr>
      <w:r>
        <w:rPr>
          <w:rFonts w:ascii="Georgia" w:cs="Georgia" w:eastAsia="Georgia" w:hAnsi="Georgia"/>
          <w:b/>
          <w:bCs/>
          <w:color w:val="1B1F26"/>
          <w:sz w:val="21"/>
          <w:szCs w:val="21"/>
        </w:rPr>
        <w:t xml:space="preserve">Findings look too good.</w:t>
      </w:r>
      <w:r>
        <w:rPr>
          <w:rFonts w:ascii="Georgia" w:cs="Georgia" w:eastAsia="Georgia" w:hAnsi="Georgia"/>
          <w:color w:val="1B1F26"/>
          <w:sz w:val="21"/>
          <w:szCs w:val="21"/>
        </w:rPr>
        <w:t xml:space="preserve"> Investigate them exactly as hard as findings that look too bad. See the tripwire row in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5"/>
        <w:szCs w:val="15"/>
      </w:rPr>
      <w:t xml:space="preserve">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DE4" w:sz="4"/>
      </w:pBdr>
      <w:spacing w:after="120"/>
      <w:jc w:val="right"/>
    </w:pPr>
    <w:r>
      <w:rPr>
        <w:rFonts w:ascii="Calibri" w:cs="Calibri" w:eastAsia="Calibri" w:hAnsi="Calibri"/>
        <w:color w:val="6B7280"/>
        <w:sz w:val="15"/>
        <w:szCs w:val="15"/>
      </w:rPr>
      <w:t xml:space="preserve">Likewise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F26"/>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Likewise — User Guide</dc:title>
  <dc:creator>Arun Kadambi</dc:creator>
  <dc:description>Every screen and every number, for a reader who is not a statistician</dc:description>
  <cp:lastModifiedBy>Arun Kadambi</cp:lastModifiedBy>
  <cp:revision>1</cp:revision>
  <dcterms:created xsi:type="dcterms:W3CDTF">2026-09-10T17:05:21.167Z</dcterms:created>
  <dcterms:modified xsi:type="dcterms:W3CDTF">2026-09-10T17:05:21.167Z</dcterms:modified>
</cp:coreProperties>
</file>

<file path=docProps/custom.xml><?xml version="1.0" encoding="utf-8"?>
<Properties xmlns="http://schemas.openxmlformats.org/officeDocument/2006/custom-properties" xmlns:vt="http://schemas.openxmlformats.org/officeDocument/2006/docPropsVTypes"/>
</file>