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мая</w:t>
      </w:r>
      <w:r>
        <w:t xml:space="preserve"> </w:t>
      </w:r>
      <w:r>
        <w:t xml:space="preserve">2021,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взаимодействия пользователя с системой посредством командной строки</w:t>
      </w:r>
    </w:p>
    <w:bookmarkEnd w:id="20"/>
    <w:bookmarkStart w:id="23" w:name="ход-работы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Работала в консоли используя команды pwd, cd, ls с различными опциями (рис. -fig. 1)</w:t>
      </w:r>
    </w:p>
    <w:p>
      <w:pPr>
        <w:pStyle w:val="CaptionedFigure"/>
      </w:pPr>
      <w:bookmarkStart w:id="22" w:name="fig:001"/>
      <w:r>
        <w:drawing>
          <wp:inline>
            <wp:extent cx="3416300" cy="482600"/>
            <wp:effectExtent b="0" l="0" r="0" t="0"/>
            <wp:docPr descr="Figure 1: Полное имя домашней директории" title="" id="1" name="Picture"/>
            <a:graphic>
              <a:graphicData uri="http://schemas.openxmlformats.org/drawingml/2006/picture">
                <pic:pic>
                  <pic:nvPicPr>
                    <pic:cNvPr descr="image5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Полное имя домашней директории</w:t>
      </w:r>
    </w:p>
    <w:bookmarkEnd w:id="23"/>
    <w:bookmarkStart w:id="26" w:name="ход-работы-1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Так же при помощи команд создавала и удаляла каталоги, работала с ними (рис. -fig. 2)</w:t>
      </w:r>
    </w:p>
    <w:p>
      <w:pPr>
        <w:pStyle w:val="CaptionedFigure"/>
      </w:pPr>
      <w:bookmarkStart w:id="25" w:name="fig:002"/>
      <w:r>
        <w:drawing>
          <wp:inline>
            <wp:extent cx="5334000" cy="2425642"/>
            <wp:effectExtent b="0" l="0" r="0" t="0"/>
            <wp:docPr descr="Figure 2: Работа с каталогами" title="" id="1" name="Picture"/>
            <a:graphic>
              <a:graphicData uri="http://schemas.openxmlformats.org/drawingml/2006/picture">
                <pic:pic>
                  <pic:nvPicPr>
                    <pic:cNvPr descr="image5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Работа с каталогами</w:t>
      </w:r>
    </w:p>
    <w:bookmarkEnd w:id="26"/>
    <w:bookmarkStart w:id="29" w:name="ход-работы-2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Используя команды «man cd», «man pwd», «man mkdir», «man rmdir», «man rm», просматривала описание соответствующих команд (рис. -fig. 3)</w:t>
      </w:r>
    </w:p>
    <w:p>
      <w:pPr>
        <w:pStyle w:val="CaptionedFigure"/>
      </w:pPr>
      <w:bookmarkStart w:id="28" w:name="fig:003"/>
      <w:r>
        <w:drawing>
          <wp:inline>
            <wp:extent cx="3060700" cy="952500"/>
            <wp:effectExtent b="0" l="0" r="0" t="0"/>
            <wp:docPr descr="Figure 3: Команда man" title="" id="1" name="Picture"/>
            <a:graphic>
              <a:graphicData uri="http://schemas.openxmlformats.org/drawingml/2006/picture">
                <pic:pic>
                  <pic:nvPicPr>
                    <pic:cNvPr descr="image5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Команда man</w:t>
      </w:r>
    </w:p>
    <w:bookmarkEnd w:id="29"/>
    <w:bookmarkStart w:id="32" w:name="ход-работы-3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(рис. -fig. 4)</w:t>
      </w:r>
    </w:p>
    <w:p>
      <w:pPr>
        <w:pStyle w:val="CaptionedFigure"/>
      </w:pPr>
      <w:bookmarkStart w:id="31" w:name="fig:004"/>
      <w:r>
        <w:drawing>
          <wp:inline>
            <wp:extent cx="5334000" cy="4096608"/>
            <wp:effectExtent b="0" l="0" r="0" t="0"/>
            <wp:docPr descr="Figure 4: man pwd" title="" id="1" name="Picture"/>
            <a:graphic>
              <a:graphicData uri="http://schemas.openxmlformats.org/drawingml/2006/picture">
                <pic:pic>
                  <pic:nvPicPr>
                    <pic:cNvPr descr="image5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man pwd</w:t>
      </w:r>
    </w:p>
    <w:bookmarkEnd w:id="32"/>
    <w:bookmarkStart w:id="35" w:name="ход-работы-4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С помощью команды history вывела историю команд и воспользовалась двумя из списка (рис. -fig. 5)</w:t>
      </w:r>
    </w:p>
    <w:p>
      <w:pPr>
        <w:pStyle w:val="CaptionedFigure"/>
      </w:pPr>
      <w:bookmarkStart w:id="34" w:name="fig:006"/>
      <w:r>
        <w:drawing>
          <wp:inline>
            <wp:extent cx="5334000" cy="2064774"/>
            <wp:effectExtent b="0" l="0" r="0" t="0"/>
            <wp:docPr descr="Figure 5: Команды 116 и 119" title="" id="1" name="Picture"/>
            <a:graphic>
              <a:graphicData uri="http://schemas.openxmlformats.org/drawingml/2006/picture">
                <pic:pic>
                  <pic:nvPicPr>
                    <pic:cNvPr descr="image5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Команды 116 и 119</w:t>
      </w:r>
    </w:p>
    <w:bookmarkEnd w:id="35"/>
    <w:bookmarkStart w:id="3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взаимодействия пользователя с системой посредством командной строки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/>
  <dc:language>ru-RU</dc:language>
  <cp:keywords/>
  <dcterms:created xsi:type="dcterms:W3CDTF">2021-05-13T10:04:38Z</dcterms:created>
  <dcterms:modified xsi:type="dcterms:W3CDTF">2021-05-13T10:04:38Z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13 мая 2021,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header-includes">
    <vt:lpwstr/>
  </property>
  <property fmtid="{D5CDD505-2E9C-101B-9397-08002B2CF9AE}" pid="24" name="institute">
    <vt:lpwstr>RUDN University, Moscow, Russian Federation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-titles">
    <vt:lpwstr>True</vt:lpwstr>
  </property>
  <property fmtid="{D5CDD505-2E9C-101B-9397-08002B2CF9AE}" pid="48" name="sectionsDepth">
    <vt:lpwstr>0</vt:lpwstr>
  </property>
  <property fmtid="{D5CDD505-2E9C-101B-9397-08002B2CF9AE}" pid="49" name="slide_level">
    <vt:lpwstr>2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heme">
    <vt:lpwstr>metropolis</vt:lpwstr>
  </property>
  <property fmtid="{D5CDD505-2E9C-101B-9397-08002B2CF9AE}" pid="62" name="titleDelim">
    <vt:lpwstr>:</vt:lpwstr>
  </property>
  <property fmtid="{D5CDD505-2E9C-101B-9397-08002B2CF9AE}" pid="63" name="toc">
    <vt:lpwstr>False</vt:lpwstr>
  </property>
</Properties>
</file>