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pPr>
        <w:jc w:val="both"/>
      </w:pPr>
      <w:r>
        <w:br/>
        <w:t>The results show the extrapolated (predicted) value and the real value in Blue and Green, and the error rate of each        sample in Red in other coordinates set. Each LOTs results are shown in a separate sub-section of this document</w:t>
      </w:r>
    </w:p>
    <w:p>
      <w:pPr>
        <w:pStyle w:val="Heading2"/>
      </w:pPr>
      <w:r>
        <w:br/>
        <w:br/>
        <w:t>Pickup Prediction Results for LOT LAXAIM</w:t>
        <w:br/>
      </w:r>
    </w:p>
    <w:p>
      <w:r>
        <w:t>This lot has 1,489,343 pickups from it (38.4% of total data)</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 of total data)</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 of total data)</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 of total data)</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 of total data)</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 of total data)</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 of total data)</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 of total data)</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 of total data)</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 of total data)</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 of total data)</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 of total data)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 of total data)</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 of total data)</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