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87F" w:rsidRPr="0030387F" w:rsidRDefault="0030387F" w:rsidP="0030387F">
      <w:pPr>
        <w:pStyle w:val="1"/>
        <w:rPr>
          <w:sz w:val="44"/>
          <w:szCs w:val="44"/>
          <w:rtl/>
        </w:rPr>
      </w:pPr>
      <w:proofErr w:type="spellStart"/>
      <w:r w:rsidRPr="0030387F">
        <w:rPr>
          <w:rFonts w:hint="cs"/>
          <w:sz w:val="44"/>
          <w:szCs w:val="44"/>
          <w:rtl/>
        </w:rPr>
        <w:t>פרוייקט</w:t>
      </w:r>
      <w:proofErr w:type="spellEnd"/>
      <w:r w:rsidRPr="0030387F">
        <w:rPr>
          <w:rFonts w:hint="cs"/>
          <w:sz w:val="44"/>
          <w:szCs w:val="44"/>
          <w:rtl/>
        </w:rPr>
        <w:t xml:space="preserve"> פיזה פתוח כמקדם אחריותיות</w:t>
      </w:r>
    </w:p>
    <w:p w:rsidR="0030387F" w:rsidRDefault="0030387F" w:rsidP="0030387F">
      <w:pPr>
        <w:rPr>
          <w:rtl/>
        </w:rPr>
      </w:pPr>
    </w:p>
    <w:p w:rsidR="0030387F" w:rsidRPr="00D423DE" w:rsidRDefault="0030387F" w:rsidP="0030387F">
      <w:pPr>
        <w:rPr>
          <w:sz w:val="32"/>
          <w:szCs w:val="32"/>
          <w:rtl/>
        </w:rPr>
      </w:pPr>
      <w:r w:rsidRPr="00D423DE">
        <w:rPr>
          <w:rFonts w:hint="cs"/>
          <w:sz w:val="32"/>
          <w:szCs w:val="32"/>
          <w:rtl/>
        </w:rPr>
        <w:t>נועה שר, החוג לניהול מידע וידע, אוניברסיטת חיפה</w:t>
      </w:r>
    </w:p>
    <w:p w:rsidR="0030387F" w:rsidRPr="00E13491" w:rsidRDefault="0030387F" w:rsidP="0030387F">
      <w:pPr>
        <w:rPr>
          <w:sz w:val="24"/>
          <w:szCs w:val="24"/>
          <w:rtl/>
        </w:rPr>
      </w:pPr>
      <w:r>
        <w:rPr>
          <w:rFonts w:hint="cs"/>
          <w:sz w:val="24"/>
          <w:szCs w:val="24"/>
          <w:rtl/>
        </w:rPr>
        <w:t>יולי 2018</w:t>
      </w:r>
    </w:p>
    <w:p w:rsidR="0030387F" w:rsidRPr="00E13491" w:rsidRDefault="0030387F" w:rsidP="0030387F">
      <w:pPr>
        <w:rPr>
          <w:b/>
          <w:bCs/>
          <w:sz w:val="24"/>
          <w:szCs w:val="24"/>
          <w:rtl/>
        </w:rPr>
      </w:pPr>
      <w:r w:rsidRPr="00E13491">
        <w:rPr>
          <w:rFonts w:hint="cs"/>
          <w:b/>
          <w:bCs/>
          <w:sz w:val="24"/>
          <w:szCs w:val="24"/>
          <w:rtl/>
        </w:rPr>
        <w:t xml:space="preserve">עבודה זו הוכנה על בסיס נתונים שהופקו מאתר </w:t>
      </w:r>
      <w:proofErr w:type="spellStart"/>
      <w:r w:rsidRPr="00E13491">
        <w:rPr>
          <w:rFonts w:hint="cs"/>
          <w:b/>
          <w:bCs/>
          <w:sz w:val="24"/>
          <w:szCs w:val="24"/>
          <w:rtl/>
        </w:rPr>
        <w:t>פרוייקט</w:t>
      </w:r>
      <w:proofErr w:type="spellEnd"/>
      <w:r w:rsidRPr="00E13491">
        <w:rPr>
          <w:rFonts w:hint="cs"/>
          <w:b/>
          <w:bCs/>
          <w:sz w:val="24"/>
          <w:szCs w:val="24"/>
          <w:rtl/>
        </w:rPr>
        <w:t xml:space="preserve"> פיזה פתוח.</w:t>
      </w:r>
      <w:r>
        <w:rPr>
          <w:rFonts w:hint="cs"/>
          <w:b/>
          <w:bCs/>
          <w:sz w:val="24"/>
          <w:szCs w:val="24"/>
          <w:rtl/>
        </w:rPr>
        <w:t xml:space="preserve"> </w:t>
      </w:r>
      <w:r>
        <w:rPr>
          <w:b/>
          <w:bCs/>
          <w:sz w:val="24"/>
          <w:szCs w:val="24"/>
          <w:rtl/>
        </w:rPr>
        <w:br/>
      </w:r>
      <w:r>
        <w:rPr>
          <w:rFonts w:hint="cs"/>
          <w:b/>
          <w:bCs/>
          <w:sz w:val="24"/>
          <w:szCs w:val="24"/>
          <w:rtl/>
        </w:rPr>
        <w:t xml:space="preserve">היא מוגשת במסגרת התחרות המקומית לעבודות מחקר בנושא מבחן </w:t>
      </w:r>
      <w:r>
        <w:rPr>
          <w:rFonts w:hint="cs"/>
          <w:b/>
          <w:bCs/>
          <w:sz w:val="24"/>
          <w:szCs w:val="24"/>
        </w:rPr>
        <w:t>PISA</w:t>
      </w:r>
    </w:p>
    <w:p w:rsidR="0030387F" w:rsidRPr="00E13491" w:rsidRDefault="0030387F" w:rsidP="0030387F">
      <w:pPr>
        <w:rPr>
          <w:sz w:val="24"/>
          <w:szCs w:val="24"/>
          <w:rtl/>
        </w:rPr>
      </w:pPr>
      <w:hyperlink r:id="rId5" w:anchor="home" w:history="1">
        <w:r w:rsidRPr="00E13491">
          <w:rPr>
            <w:rStyle w:val="Hyperlink"/>
            <w:rFonts w:ascii="Open Sans Hebrew" w:hAnsi="Open Sans Hebrew" w:cs="Open Sans Hebrew"/>
            <w:sz w:val="24"/>
            <w:szCs w:val="24"/>
            <w:shd w:val="clear" w:color="auto" w:fill="FFFFFF"/>
            <w:rtl/>
          </w:rPr>
          <w:t>פיזה פתוח </w:t>
        </w:r>
      </w:hyperlink>
      <w:r w:rsidRPr="00E13491">
        <w:rPr>
          <w:sz w:val="24"/>
          <w:szCs w:val="24"/>
          <w:rtl/>
        </w:rPr>
        <w:t>הוא פרויקט משותף ל</w:t>
      </w:r>
      <w:hyperlink r:id="rId6" w:history="1">
        <w:r w:rsidRPr="00E13491">
          <w:rPr>
            <w:sz w:val="24"/>
            <w:szCs w:val="24"/>
            <w:rtl/>
          </w:rPr>
          <w:t xml:space="preserve">קרן </w:t>
        </w:r>
        <w:proofErr w:type="spellStart"/>
        <w:r w:rsidRPr="00E13491">
          <w:rPr>
            <w:sz w:val="24"/>
            <w:szCs w:val="24"/>
            <w:rtl/>
          </w:rPr>
          <w:t>טראמפ</w:t>
        </w:r>
        <w:proofErr w:type="spellEnd"/>
      </w:hyperlink>
      <w:r w:rsidRPr="00E13491">
        <w:rPr>
          <w:sz w:val="24"/>
          <w:szCs w:val="24"/>
        </w:rPr>
        <w:t> </w:t>
      </w:r>
      <w:r w:rsidRPr="00E13491">
        <w:rPr>
          <w:sz w:val="24"/>
          <w:szCs w:val="24"/>
          <w:rtl/>
        </w:rPr>
        <w:t>ו</w:t>
      </w:r>
      <w:hyperlink r:id="rId7" w:history="1">
        <w:r w:rsidRPr="00E13491">
          <w:rPr>
            <w:sz w:val="24"/>
            <w:szCs w:val="24"/>
            <w:rtl/>
          </w:rPr>
          <w:t>למרכז לחקר האינטרנט באוניברסיטת חיפה</w:t>
        </w:r>
      </w:hyperlink>
      <w:r w:rsidRPr="00E13491">
        <w:rPr>
          <w:sz w:val="24"/>
          <w:szCs w:val="24"/>
        </w:rPr>
        <w:t> </w:t>
      </w:r>
      <w:r w:rsidRPr="00E13491">
        <w:rPr>
          <w:sz w:val="24"/>
          <w:szCs w:val="24"/>
          <w:rtl/>
        </w:rPr>
        <w:t>שמטרתו הנגשה של נתוני מבחן פיזה לציבור ולחוקרים. פיזה פתוח מציג את הנתונים הרב-שנתיים ומאפשר לפלח מגזרים, להשוות מדינות ולנתח השפעת משתנים. זוהי מערכת ראשונה מסוגה בעולם ואנו תקווה שהיא תקדם את השיח והמחקר של מערכת החינוך בארץ ושל חינוך מבוסס ראיות</w:t>
      </w:r>
      <w:r w:rsidRPr="00E13491">
        <w:rPr>
          <w:sz w:val="24"/>
          <w:szCs w:val="24"/>
        </w:rPr>
        <w:t>.</w:t>
      </w:r>
    </w:p>
    <w:p w:rsidR="0030387F" w:rsidRPr="00E01DF6" w:rsidRDefault="003F665E" w:rsidP="0030387F">
      <w:pPr>
        <w:spacing w:line="360" w:lineRule="auto"/>
        <w:jc w:val="both"/>
        <w:rPr>
          <w:rtl/>
        </w:rPr>
      </w:pPr>
      <w:r>
        <w:rPr>
          <w:rFonts w:hint="cs"/>
          <w:rtl/>
        </w:rPr>
        <w:t>________________________________________________________________________</w:t>
      </w:r>
      <w:bookmarkStart w:id="0" w:name="_GoBack"/>
      <w:bookmarkEnd w:id="0"/>
    </w:p>
    <w:p w:rsidR="0030387F" w:rsidRPr="0030387F" w:rsidRDefault="0030387F" w:rsidP="0030387F">
      <w:pPr>
        <w:spacing w:line="360" w:lineRule="auto"/>
        <w:jc w:val="both"/>
        <w:rPr>
          <w:sz w:val="24"/>
          <w:szCs w:val="24"/>
          <w:rtl/>
        </w:rPr>
      </w:pPr>
      <w:r w:rsidRPr="0030387F">
        <w:rPr>
          <w:rFonts w:hint="cs"/>
          <w:sz w:val="24"/>
          <w:szCs w:val="24"/>
          <w:rtl/>
        </w:rPr>
        <w:t>המונח</w:t>
      </w:r>
      <w:r w:rsidRPr="0030387F">
        <w:rPr>
          <w:rFonts w:hint="cs"/>
          <w:i/>
          <w:iCs/>
          <w:sz w:val="24"/>
          <w:szCs w:val="24"/>
          <w:rtl/>
        </w:rPr>
        <w:t xml:space="preserve"> אחריותיות</w:t>
      </w:r>
      <w:r w:rsidRPr="0030387F">
        <w:rPr>
          <w:rFonts w:hint="cs"/>
          <w:sz w:val="24"/>
          <w:szCs w:val="24"/>
          <w:rtl/>
        </w:rPr>
        <w:t xml:space="preserve"> (</w:t>
      </w:r>
      <w:r w:rsidRPr="0030387F">
        <w:rPr>
          <w:sz w:val="24"/>
          <w:szCs w:val="24"/>
        </w:rPr>
        <w:t>accountability</w:t>
      </w:r>
      <w:r w:rsidRPr="0030387F">
        <w:rPr>
          <w:rFonts w:hint="cs"/>
          <w:sz w:val="24"/>
          <w:szCs w:val="24"/>
          <w:rtl/>
          <w:lang w:val="en-GB"/>
        </w:rPr>
        <w:t>)</w:t>
      </w:r>
      <w:r w:rsidRPr="0030387F">
        <w:rPr>
          <w:rFonts w:hint="cs"/>
          <w:sz w:val="24"/>
          <w:szCs w:val="24"/>
          <w:rtl/>
        </w:rPr>
        <w:t xml:space="preserve"> מתייחס לאינטראקציה בתוך מערכת יחסים היררכית בין בעלי הכוח לבין אלו שהסמכות מואצלת להם. אלו שקיבלו את הסמכות חייבים להיות לעמוד מאחורי מה שהם עושים עם אותה סמכות או אחריות כלפי בעלי הכוח מטעמם הם אחראים. לעתים קרובות השימוש במונח אחריותיות מתייחס למערכת שבה יש היבט של איסוף ושיתוף ידע, מתן משוב וקבלת החלטות בהתבסס על ממצאים שהתקבלו. למרות שהרעיון של אחריותיות קיים מזה זמן רב, ההגדרה הרשמית של מונח זה </w:t>
      </w:r>
      <w:r w:rsidRPr="0030387F">
        <w:rPr>
          <w:sz w:val="24"/>
          <w:szCs w:val="24"/>
        </w:rPr>
        <w:fldChar w:fldCharType="begin" w:fldLock="1"/>
      </w:r>
      <w:r w:rsidRPr="0030387F">
        <w:rPr>
          <w:sz w:val="24"/>
          <w:szCs w:val="24"/>
        </w:rPr>
        <w:instrText>ADDIN CSL_CITATION { "citationItems" : [ { "id" : "ITEM-1", "itemData" : { "author" : [ { "dropping-particle" : "", "family" : "Tyler", "given" : "R. W.", "non-dropping-particle" : "", "parse-names" : false, "suffix" : "" } ], "container-title" : "Education Digest: Essential Readings Condensed for Quick Review", "id" : "ITEM-1", "issue" : "7", "issued" : { "date-parts" : [ [ "1971" ] ] }, "page" : "12-14", "title" : "Testing for Accountability", "type" : "article-journal", "volume" : "36" }, "uris" : [ "http://www.mendeley.com/documents/?uuid=6fed0620-d493-4144-a8f6-fe3399136214" ] }, { "id" : "ITEM-2", "itemData" : { "DOI" : "10.1086/443136", "ISBN" : "00366773", "ISSN" : "0036-6773", "abstract" : "\"Accountability\" is bandied about today by educators and noneducators alike. Any examination of the use of the word suggests that there is a variety of meanings implicit in it. Unfortunately, the rapidly burgeoning literature on accountability rarely addresses the underlying concepts which link these diverse uses. Some authors assert that the provision of information on performance of schools constitutes accountability. Others see accountability as a matter of redesigning the structures by which education is governed. In some cases accountability is defined as a specific approach to education such as performance contracting or educational vouchers, while in others accountability is referred to as a part of all educational systems. It is common to hear that statewide testing programs as well as recent state legislation which would enable schools to terminate the appointment of \"poor\" teachers represent a response to the need for accountability.", "author" : [ { "dropping-particle" : "", "family" : "Levin", "given" : "Henry M.", "non-dropping-particle" : "", "parse-names" : false, "suffix" : "" } ], "container-title" : "The School Review", "id" : "ITEM-2", "issue" : "3", "issued" : { "date-parts" : [ [ "1974" ] ] }, "page" : "363-391", "title" : "A Conceptual Framework for Accountability in Education", "type" : "article-journal", "volume" : "82" }, "uris" : [ "http://www.mendeley.com/documents/?uuid=359440e2-522e-416c-8a35-4e97d12c2338" ] } ], "mendeley" : { "formattedCitation" : "(Levin, 1974; Tyler, 1971)", "plainTextFormattedCitation" : "(Levin, 1974; Tyler, 1971)", "previouslyFormattedCitation" : "(Levin, 1974; Tyler, 1971)" }, "properties" : {  }, "schema" : "https://github.com/citation-style-language/schema/raw/master/csl-citation.json" }</w:instrText>
      </w:r>
      <w:r w:rsidRPr="0030387F">
        <w:rPr>
          <w:sz w:val="24"/>
          <w:szCs w:val="24"/>
        </w:rPr>
        <w:fldChar w:fldCharType="separate"/>
      </w:r>
      <w:r w:rsidRPr="0030387F">
        <w:rPr>
          <w:noProof/>
          <w:sz w:val="24"/>
          <w:szCs w:val="24"/>
        </w:rPr>
        <w:t>(Levin, 1974; Tyler, 1971)</w:t>
      </w:r>
      <w:r w:rsidRPr="0030387F">
        <w:rPr>
          <w:sz w:val="24"/>
          <w:szCs w:val="24"/>
        </w:rPr>
        <w:fldChar w:fldCharType="end"/>
      </w:r>
      <w:r w:rsidRPr="0030387F">
        <w:rPr>
          <w:sz w:val="24"/>
          <w:szCs w:val="24"/>
        </w:rPr>
        <w:t xml:space="preserve"> </w:t>
      </w:r>
      <w:r w:rsidRPr="0030387F">
        <w:rPr>
          <w:rFonts w:hint="cs"/>
          <w:sz w:val="24"/>
          <w:szCs w:val="24"/>
          <w:rtl/>
        </w:rPr>
        <w:t xml:space="preserve"> ושילובו בתוך הפרקטיקה של מנהל מערכות חינוך נעשתה רק בתחילת שנות ה-70 של המאה ה-20.</w:t>
      </w:r>
    </w:p>
    <w:p w:rsidR="0030387F" w:rsidRPr="0030387F" w:rsidRDefault="0030387F" w:rsidP="0030387F">
      <w:pPr>
        <w:spacing w:line="360" w:lineRule="auto"/>
        <w:jc w:val="both"/>
        <w:rPr>
          <w:sz w:val="24"/>
          <w:szCs w:val="24"/>
          <w:rtl/>
        </w:rPr>
      </w:pPr>
      <w:r w:rsidRPr="0030387F">
        <w:rPr>
          <w:rFonts w:hint="cs"/>
          <w:sz w:val="24"/>
          <w:szCs w:val="24"/>
          <w:rtl/>
        </w:rPr>
        <w:t xml:space="preserve">אחריותיות מתפקדת כאשר אלו שקיבלו סמכות ואחריות </w:t>
      </w:r>
      <w:proofErr w:type="spellStart"/>
      <w:r w:rsidRPr="0030387F">
        <w:rPr>
          <w:rFonts w:hint="cs"/>
          <w:sz w:val="24"/>
          <w:szCs w:val="24"/>
          <w:rtl/>
        </w:rPr>
        <w:t>מחוייבים</w:t>
      </w:r>
      <w:proofErr w:type="spellEnd"/>
      <w:r w:rsidRPr="0030387F">
        <w:rPr>
          <w:rFonts w:hint="cs"/>
          <w:sz w:val="24"/>
          <w:szCs w:val="24"/>
          <w:rtl/>
        </w:rPr>
        <w:t xml:space="preserve"> לתת דין וחשבון לגבי השימוש שלהם בסמכות והאחריות הזו. בחינוך, אנשי ממשל נבחרים או ממונים אחראים מבחינה חוקית להבטיח כי ילדים ובני נוער יקבלו חינוך באמצעות מערכת החינוך. מנהלי בתי ספר מפגינים אחריותיות כלפי רשויות פוליטיות וכלפי מערכות השכלה גבוהה יותר, אשר מאצילים להם את הסמכות לספק הנחיה </w:t>
      </w:r>
      <w:r w:rsidRPr="0030387F">
        <w:rPr>
          <w:sz w:val="24"/>
          <w:szCs w:val="24"/>
          <w:rtl/>
        </w:rPr>
        <w:fldChar w:fldCharType="begin" w:fldLock="1"/>
      </w:r>
      <w:r w:rsidRPr="0030387F">
        <w:rPr>
          <w:sz w:val="24"/>
          <w:szCs w:val="24"/>
        </w:rPr>
        <w:instrText>ADDIN CSL_CITATION { "citationItems" : [ { "id" : "ITEM-1", "itemData" : { "author" : [ { "dropping-particle" : "", "family" : "OECD", "given" : "", "non-dropping-particle" : "", "parse-names" : false, "suffix" : "" } ], "container-title" : "Education at a Glance", "id" : "ITEM-1", "issued" : { "date-parts" : [ [ "2011" ] ] }, "page" : "430 - 449", "title" : "How are Schools Held Accountable?", "type" : "article-journal" }, "uris" : [ "http://www.mendeley.com/documents/?uuid=b40568a7-b421-4937-84c0-a8734b2e80ad" ] } ], "mendeley" : { "formattedCitation" : "(OECD, 2011)", "plainTextFormattedCitation" : "(OECD, 2011)", "previouslyFormattedCitation" : "(OECD, 2011)" }, "properties" : {  }, "schema" : "https://github.com/citation-style-language/schema/raw/master/csl-citation.json" }</w:instrText>
      </w:r>
      <w:r w:rsidRPr="0030387F">
        <w:rPr>
          <w:sz w:val="24"/>
          <w:szCs w:val="24"/>
          <w:rtl/>
        </w:rPr>
        <w:fldChar w:fldCharType="separate"/>
      </w:r>
      <w:r w:rsidRPr="0030387F">
        <w:rPr>
          <w:noProof/>
          <w:sz w:val="24"/>
          <w:szCs w:val="24"/>
        </w:rPr>
        <w:t>(OECD, 2011)</w:t>
      </w:r>
      <w:r w:rsidRPr="0030387F">
        <w:rPr>
          <w:sz w:val="24"/>
          <w:szCs w:val="24"/>
          <w:rtl/>
        </w:rPr>
        <w:fldChar w:fldCharType="end"/>
      </w:r>
      <w:r w:rsidRPr="0030387F">
        <w:rPr>
          <w:rFonts w:hint="cs"/>
          <w:sz w:val="24"/>
          <w:szCs w:val="24"/>
          <w:rtl/>
        </w:rPr>
        <w:t xml:space="preserve">. </w:t>
      </w:r>
    </w:p>
    <w:p w:rsidR="0030387F" w:rsidRPr="0030387F" w:rsidRDefault="0030387F" w:rsidP="0030387F">
      <w:pPr>
        <w:spacing w:line="360" w:lineRule="auto"/>
        <w:jc w:val="both"/>
        <w:rPr>
          <w:sz w:val="24"/>
          <w:szCs w:val="24"/>
          <w:rtl/>
        </w:rPr>
      </w:pPr>
      <w:r w:rsidRPr="0030387F">
        <w:rPr>
          <w:rFonts w:hint="cs"/>
          <w:sz w:val="24"/>
          <w:szCs w:val="24"/>
          <w:rtl/>
        </w:rPr>
        <w:t xml:space="preserve">המושג של אחריותיות התפתח עם הזמן. </w:t>
      </w:r>
      <w:r w:rsidRPr="0030387F">
        <w:rPr>
          <w:rStyle w:val="a3"/>
          <w:rFonts w:hint="cs"/>
          <w:i w:val="0"/>
          <w:iCs w:val="0"/>
          <w:sz w:val="24"/>
          <w:szCs w:val="24"/>
          <w:rtl/>
        </w:rPr>
        <w:t xml:space="preserve">בעבר ולאורך מרבית המאה ה-20, האחריותיות של מערכות חינוך הייתה באופן כמעט בלעדי רגולטורית. כלומר, גופים מטעם משרדי החינוך עסקו בפיקוח ובהעברת מידע על תהליכים בית </w:t>
      </w:r>
      <w:proofErr w:type="spellStart"/>
      <w:r w:rsidRPr="0030387F">
        <w:rPr>
          <w:rStyle w:val="a3"/>
          <w:rFonts w:hint="cs"/>
          <w:i w:val="0"/>
          <w:iCs w:val="0"/>
          <w:sz w:val="24"/>
          <w:szCs w:val="24"/>
          <w:rtl/>
        </w:rPr>
        <w:t>ספריים</w:t>
      </w:r>
      <w:proofErr w:type="spellEnd"/>
      <w:r w:rsidRPr="0030387F">
        <w:rPr>
          <w:rStyle w:val="a3"/>
          <w:rFonts w:hint="cs"/>
          <w:i w:val="0"/>
          <w:iCs w:val="0"/>
          <w:sz w:val="24"/>
          <w:szCs w:val="24"/>
          <w:rtl/>
        </w:rPr>
        <w:t xml:space="preserve"> לאור סטנדרטים קבועים (למשל איכות ההוראה, עמידה בקוריקולום מסוים) לרשויות הממונות. בגלל טבעו של הדיווח הפנימי, חלק ניכר מהאחריותיות הרגולטורית חבוי מפני עיני הציבור.</w:t>
      </w:r>
    </w:p>
    <w:p w:rsidR="0030387F" w:rsidRPr="0030387F" w:rsidRDefault="0030387F" w:rsidP="0030387F">
      <w:pPr>
        <w:spacing w:line="360" w:lineRule="auto"/>
        <w:jc w:val="both"/>
        <w:rPr>
          <w:rStyle w:val="a3"/>
          <w:i w:val="0"/>
          <w:iCs w:val="0"/>
          <w:sz w:val="24"/>
          <w:szCs w:val="24"/>
          <w:rtl/>
        </w:rPr>
      </w:pPr>
      <w:r w:rsidRPr="0030387F">
        <w:rPr>
          <w:rFonts w:hint="cs"/>
          <w:sz w:val="24"/>
          <w:szCs w:val="24"/>
          <w:rtl/>
        </w:rPr>
        <w:t xml:space="preserve">בשלושת העשורים האחרונים, מאמצים לדה-צנטרליזציה בחינוך ולהגברת האוטונומיה של בתי הספר החלישו את הפרקטיקה הזו. מנגד, במשך אותה תקופה, אחריותיות ביצועית הפכה משמעותית יותר. </w:t>
      </w:r>
      <w:r w:rsidRPr="0030387F">
        <w:rPr>
          <w:rStyle w:val="a3"/>
          <w:rFonts w:hint="cs"/>
          <w:i w:val="0"/>
          <w:iCs w:val="0"/>
          <w:sz w:val="24"/>
          <w:szCs w:val="24"/>
          <w:rtl/>
        </w:rPr>
        <w:lastRenderedPageBreak/>
        <w:t xml:space="preserve">אחריותיות ביצועית מתמקדת בהישגים בית </w:t>
      </w:r>
      <w:proofErr w:type="spellStart"/>
      <w:r w:rsidRPr="0030387F">
        <w:rPr>
          <w:rStyle w:val="a3"/>
          <w:rFonts w:hint="cs"/>
          <w:i w:val="0"/>
          <w:iCs w:val="0"/>
          <w:sz w:val="24"/>
          <w:szCs w:val="24"/>
          <w:rtl/>
        </w:rPr>
        <w:t>ספריים</w:t>
      </w:r>
      <w:proofErr w:type="spellEnd"/>
      <w:r w:rsidRPr="0030387F">
        <w:rPr>
          <w:rStyle w:val="a3"/>
          <w:rFonts w:hint="cs"/>
          <w:i w:val="0"/>
          <w:iCs w:val="0"/>
          <w:sz w:val="24"/>
          <w:szCs w:val="24"/>
          <w:rtl/>
        </w:rPr>
        <w:t>, ולא בתהליכים</w:t>
      </w:r>
      <w:r w:rsidRPr="0030387F">
        <w:rPr>
          <w:rFonts w:hint="cs"/>
          <w:sz w:val="24"/>
          <w:szCs w:val="24"/>
          <w:rtl/>
        </w:rPr>
        <w:t xml:space="preserve"> עצמם. ההתבססות של סוג זה של אחריותיות נבעה מעליית קרנה של מדיניות מכוונת תוצאות, לצד </w:t>
      </w:r>
      <w:r w:rsidRPr="0030387F">
        <w:rPr>
          <w:rStyle w:val="a3"/>
          <w:rFonts w:hint="cs"/>
          <w:i w:val="0"/>
          <w:iCs w:val="0"/>
          <w:sz w:val="24"/>
          <w:szCs w:val="24"/>
          <w:rtl/>
        </w:rPr>
        <w:t xml:space="preserve">ההתפתחויות הטכנולוגיות שהקלו על הבחינה של אוכלוסיות תלמידים גדולות. </w:t>
      </w:r>
    </w:p>
    <w:p w:rsidR="0030387F" w:rsidRPr="0030387F" w:rsidRDefault="0030387F" w:rsidP="0030387F">
      <w:pPr>
        <w:spacing w:line="360" w:lineRule="auto"/>
        <w:jc w:val="both"/>
        <w:rPr>
          <w:rStyle w:val="a3"/>
          <w:i w:val="0"/>
          <w:iCs w:val="0"/>
          <w:sz w:val="24"/>
          <w:szCs w:val="24"/>
          <w:rtl/>
          <w:lang w:val="en-GB"/>
        </w:rPr>
      </w:pPr>
      <w:r w:rsidRPr="0030387F">
        <w:rPr>
          <w:rStyle w:val="a3"/>
          <w:rFonts w:hint="cs"/>
          <w:i w:val="0"/>
          <w:iCs w:val="0"/>
          <w:sz w:val="24"/>
          <w:szCs w:val="24"/>
          <w:rtl/>
        </w:rPr>
        <w:t xml:space="preserve">מבחני </w:t>
      </w:r>
      <w:r w:rsidRPr="0030387F">
        <w:rPr>
          <w:rStyle w:val="a3"/>
          <w:rFonts w:hint="cs"/>
          <w:i w:val="0"/>
          <w:iCs w:val="0"/>
          <w:sz w:val="24"/>
          <w:szCs w:val="24"/>
        </w:rPr>
        <w:t>PISA</w:t>
      </w:r>
      <w:r w:rsidRPr="0030387F">
        <w:rPr>
          <w:rStyle w:val="a3"/>
          <w:rFonts w:hint="cs"/>
          <w:i w:val="0"/>
          <w:iCs w:val="0"/>
          <w:sz w:val="24"/>
          <w:szCs w:val="24"/>
          <w:rtl/>
        </w:rPr>
        <w:t xml:space="preserve"> הם דוגמה לאמצעי ליצירת אחריותיות ביצועית: המבחנים מאפשרים השוואה בין ביצועיהם של תלמידים מעשרות מדינות בתחומי לימוד </w:t>
      </w:r>
      <w:proofErr w:type="spellStart"/>
      <w:r w:rsidRPr="0030387F">
        <w:rPr>
          <w:rStyle w:val="a3"/>
          <w:rFonts w:hint="cs"/>
          <w:i w:val="0"/>
          <w:iCs w:val="0"/>
          <w:sz w:val="24"/>
          <w:szCs w:val="24"/>
          <w:rtl/>
        </w:rPr>
        <w:t>ליבתיים</w:t>
      </w:r>
      <w:proofErr w:type="spellEnd"/>
      <w:r w:rsidRPr="0030387F">
        <w:rPr>
          <w:rStyle w:val="a3"/>
          <w:rFonts w:hint="cs"/>
          <w:i w:val="0"/>
          <w:iCs w:val="0"/>
          <w:sz w:val="24"/>
          <w:szCs w:val="24"/>
          <w:rtl/>
        </w:rPr>
        <w:t xml:space="preserve">. תוצאות המבחנים גלויות לממשלות ולציבור הרחב, ובכך הופכים את מערכות החינוך לאחריותיות הן כלפי גורמי ממשל והן כלפי ציבור ההורים </w:t>
      </w:r>
      <w:proofErr w:type="spellStart"/>
      <w:r w:rsidRPr="0030387F">
        <w:rPr>
          <w:rStyle w:val="a3"/>
          <w:rFonts w:hint="cs"/>
          <w:i w:val="0"/>
          <w:iCs w:val="0"/>
          <w:sz w:val="24"/>
          <w:szCs w:val="24"/>
          <w:rtl/>
        </w:rPr>
        <w:t>ומשלמי</w:t>
      </w:r>
      <w:proofErr w:type="spellEnd"/>
      <w:r w:rsidRPr="0030387F">
        <w:rPr>
          <w:rStyle w:val="a3"/>
          <w:rFonts w:hint="cs"/>
          <w:i w:val="0"/>
          <w:iCs w:val="0"/>
          <w:sz w:val="24"/>
          <w:szCs w:val="24"/>
          <w:rtl/>
        </w:rPr>
        <w:t xml:space="preserve"> המסים בכלל. עם זאת, על מנת שיוכלו להוות כלי המעודד אחריותיות, על התוצאות להיות לא רק גלויות אלא גם נגישות, כולל לבעלי ענין שאינם מומחים ושאין להם משאבים ייעודיים לניתוח החומרים כמו אלו שבידי הממשלה. </w:t>
      </w:r>
      <w:r w:rsidRPr="0030387F">
        <w:rPr>
          <w:rStyle w:val="a3"/>
          <w:rFonts w:hint="cs"/>
          <w:i w:val="0"/>
          <w:iCs w:val="0"/>
          <w:sz w:val="24"/>
          <w:szCs w:val="24"/>
        </w:rPr>
        <w:t>PISA</w:t>
      </w:r>
      <w:r w:rsidRPr="0030387F">
        <w:rPr>
          <w:rStyle w:val="a3"/>
          <w:rFonts w:hint="cs"/>
          <w:i w:val="0"/>
          <w:iCs w:val="0"/>
          <w:sz w:val="24"/>
          <w:szCs w:val="24"/>
          <w:rtl/>
        </w:rPr>
        <w:t xml:space="preserve"> הוא קודם כל מבחן השוואתי, ולכן האופן העיקרי בו ניתן להפיק מידע שימושי מתוך נתוני </w:t>
      </w:r>
      <w:r w:rsidRPr="0030387F">
        <w:rPr>
          <w:rStyle w:val="a3"/>
          <w:rFonts w:hint="cs"/>
          <w:i w:val="0"/>
          <w:iCs w:val="0"/>
          <w:sz w:val="24"/>
          <w:szCs w:val="24"/>
        </w:rPr>
        <w:t>PISA</w:t>
      </w:r>
      <w:r w:rsidRPr="0030387F">
        <w:rPr>
          <w:rStyle w:val="a3"/>
          <w:rFonts w:hint="cs"/>
          <w:i w:val="0"/>
          <w:iCs w:val="0"/>
          <w:sz w:val="24"/>
          <w:szCs w:val="24"/>
          <w:rtl/>
        </w:rPr>
        <w:t xml:space="preserve"> הוא על דרך ההשוואה. לפיכך, יצירת כלים השוואתיים ידידותיים למשתמש בעל רקע בסיסי ומשאבים מוגבלים, כגון אנשים פרטיים, ארגוניים חברתיים וגורמים אופוזיציוניים מתוך הממשל, מחזקת את תרומתה של ההשתתפות במבחנים ליצירת אחריותיות. בכך, </w:t>
      </w:r>
      <w:hyperlink r:id="rId8" w:anchor="expertise" w:history="1">
        <w:proofErr w:type="spellStart"/>
        <w:r w:rsidRPr="0030387F">
          <w:rPr>
            <w:rStyle w:val="Hyperlink"/>
            <w:sz w:val="24"/>
            <w:szCs w:val="24"/>
          </w:rPr>
          <w:t>openPISA</w:t>
        </w:r>
        <w:proofErr w:type="spellEnd"/>
      </w:hyperlink>
      <w:r w:rsidRPr="0030387F">
        <w:rPr>
          <w:rStyle w:val="a3"/>
          <w:rFonts w:hint="cs"/>
          <w:i w:val="0"/>
          <w:iCs w:val="0"/>
          <w:sz w:val="24"/>
          <w:szCs w:val="24"/>
          <w:rtl/>
          <w:lang w:val="en-GB"/>
        </w:rPr>
        <w:t xml:space="preserve"> עשוי לשמש כלי חשוב ברתימת ההשתתפות של תלמידי ישראל במבחני </w:t>
      </w:r>
      <w:r w:rsidRPr="0030387F">
        <w:rPr>
          <w:rStyle w:val="a3"/>
          <w:rFonts w:hint="cs"/>
          <w:i w:val="0"/>
          <w:iCs w:val="0"/>
          <w:sz w:val="24"/>
          <w:szCs w:val="24"/>
          <w:lang w:val="en-GB"/>
        </w:rPr>
        <w:t>PISA</w:t>
      </w:r>
      <w:r w:rsidRPr="0030387F">
        <w:rPr>
          <w:rStyle w:val="a3"/>
          <w:rFonts w:hint="cs"/>
          <w:i w:val="0"/>
          <w:iCs w:val="0"/>
          <w:sz w:val="24"/>
          <w:szCs w:val="24"/>
          <w:rtl/>
          <w:lang w:val="en-GB"/>
        </w:rPr>
        <w:t xml:space="preserve"> לצורך אחריותיות.</w:t>
      </w:r>
    </w:p>
    <w:p w:rsidR="0030387F" w:rsidRPr="0030387F" w:rsidRDefault="0030387F" w:rsidP="0030387F">
      <w:pPr>
        <w:widowControl w:val="0"/>
        <w:autoSpaceDE w:val="0"/>
        <w:autoSpaceDN w:val="0"/>
        <w:bidi w:val="0"/>
        <w:adjustRightInd w:val="0"/>
        <w:spacing w:line="360" w:lineRule="auto"/>
        <w:ind w:left="480" w:hanging="480"/>
        <w:jc w:val="both"/>
        <w:rPr>
          <w:rStyle w:val="a3"/>
          <w:i w:val="0"/>
          <w:iCs w:val="0"/>
          <w:sz w:val="24"/>
          <w:szCs w:val="24"/>
          <w:rtl/>
        </w:rPr>
      </w:pPr>
    </w:p>
    <w:p w:rsidR="0030387F" w:rsidRPr="0030387F" w:rsidRDefault="0030387F" w:rsidP="0030387F">
      <w:pPr>
        <w:pStyle w:val="2"/>
        <w:jc w:val="both"/>
        <w:rPr>
          <w:rStyle w:val="a3"/>
          <w:rFonts w:hint="cs"/>
          <w:i w:val="0"/>
          <w:iCs w:val="0"/>
          <w:sz w:val="24"/>
          <w:szCs w:val="24"/>
          <w:rtl/>
          <w:lang w:val="en-GB"/>
        </w:rPr>
      </w:pPr>
      <w:r w:rsidRPr="0030387F">
        <w:rPr>
          <w:rStyle w:val="a3"/>
          <w:rFonts w:hint="cs"/>
          <w:i w:val="0"/>
          <w:iCs w:val="0"/>
          <w:sz w:val="24"/>
          <w:szCs w:val="24"/>
          <w:rtl/>
          <w:lang w:val="en-GB"/>
        </w:rPr>
        <w:t>מקורות</w:t>
      </w:r>
    </w:p>
    <w:p w:rsidR="0030387F" w:rsidRPr="0030387F" w:rsidRDefault="0030387F" w:rsidP="0030387F">
      <w:pPr>
        <w:bidi w:val="0"/>
        <w:jc w:val="both"/>
        <w:rPr>
          <w:rFonts w:ascii="Calibri" w:hAnsi="Calibri" w:cs="Calibri"/>
          <w:noProof/>
          <w:sz w:val="24"/>
          <w:szCs w:val="24"/>
        </w:rPr>
      </w:pPr>
      <w:r w:rsidRPr="0030387F">
        <w:rPr>
          <w:rStyle w:val="a3"/>
          <w:i w:val="0"/>
          <w:iCs w:val="0"/>
          <w:sz w:val="24"/>
          <w:szCs w:val="24"/>
          <w:rtl/>
        </w:rPr>
        <w:fldChar w:fldCharType="begin" w:fldLock="1"/>
      </w:r>
      <w:r w:rsidRPr="0030387F">
        <w:rPr>
          <w:rStyle w:val="a3"/>
          <w:sz w:val="24"/>
          <w:szCs w:val="24"/>
        </w:rPr>
        <w:instrText>ADDIN Mendeley Bibliography CSL_BIBLIOGRAPHY</w:instrText>
      </w:r>
      <w:r w:rsidRPr="0030387F">
        <w:rPr>
          <w:rStyle w:val="a3"/>
          <w:sz w:val="24"/>
          <w:szCs w:val="24"/>
          <w:rtl/>
        </w:rPr>
        <w:instrText xml:space="preserve"> </w:instrText>
      </w:r>
      <w:r w:rsidRPr="0030387F">
        <w:rPr>
          <w:rStyle w:val="a3"/>
          <w:i w:val="0"/>
          <w:iCs w:val="0"/>
          <w:sz w:val="24"/>
          <w:szCs w:val="24"/>
          <w:rtl/>
        </w:rPr>
        <w:fldChar w:fldCharType="separate"/>
      </w:r>
      <w:r w:rsidRPr="0030387F">
        <w:rPr>
          <w:rFonts w:ascii="Calibri" w:hAnsi="Calibri" w:cs="Calibri"/>
          <w:noProof/>
          <w:sz w:val="24"/>
          <w:szCs w:val="24"/>
        </w:rPr>
        <w:t xml:space="preserve">OECD. (2011). How are Schools Held Accountable? </w:t>
      </w:r>
      <w:r w:rsidRPr="0030387F">
        <w:rPr>
          <w:rFonts w:ascii="Calibri" w:hAnsi="Calibri" w:cs="Calibri"/>
          <w:i/>
          <w:iCs/>
          <w:noProof/>
          <w:sz w:val="24"/>
          <w:szCs w:val="24"/>
        </w:rPr>
        <w:t>Education at a Glance</w:t>
      </w:r>
      <w:r w:rsidRPr="0030387F">
        <w:rPr>
          <w:rFonts w:ascii="Calibri" w:hAnsi="Calibri" w:cs="Calibri"/>
          <w:noProof/>
          <w:sz w:val="24"/>
          <w:szCs w:val="24"/>
        </w:rPr>
        <w:t>, 430–449.</w:t>
      </w:r>
    </w:p>
    <w:p w:rsidR="0030387F" w:rsidRPr="0030387F" w:rsidRDefault="0030387F" w:rsidP="0030387F">
      <w:pPr>
        <w:widowControl w:val="0"/>
        <w:autoSpaceDE w:val="0"/>
        <w:autoSpaceDN w:val="0"/>
        <w:bidi w:val="0"/>
        <w:adjustRightInd w:val="0"/>
        <w:spacing w:line="360" w:lineRule="auto"/>
        <w:ind w:left="480" w:hanging="480"/>
        <w:jc w:val="both"/>
        <w:rPr>
          <w:rFonts w:ascii="Calibri" w:hAnsi="Calibri" w:cs="Calibri"/>
          <w:noProof/>
          <w:sz w:val="24"/>
          <w:szCs w:val="24"/>
        </w:rPr>
      </w:pPr>
      <w:r w:rsidRPr="0030387F">
        <w:rPr>
          <w:rFonts w:ascii="Calibri" w:hAnsi="Calibri" w:cs="Calibri"/>
          <w:noProof/>
          <w:sz w:val="24"/>
          <w:szCs w:val="24"/>
        </w:rPr>
        <w:t xml:space="preserve">Levin, H. M. (1974). A Conceptual Framework for Accountability in Education. </w:t>
      </w:r>
      <w:r w:rsidRPr="0030387F">
        <w:rPr>
          <w:rFonts w:ascii="Calibri" w:hAnsi="Calibri" w:cs="Calibri"/>
          <w:i/>
          <w:iCs/>
          <w:noProof/>
          <w:sz w:val="24"/>
          <w:szCs w:val="24"/>
        </w:rPr>
        <w:t>The School Review</w:t>
      </w:r>
      <w:r w:rsidRPr="0030387F">
        <w:rPr>
          <w:rFonts w:ascii="Calibri" w:hAnsi="Calibri" w:cs="Calibri"/>
          <w:noProof/>
          <w:sz w:val="24"/>
          <w:szCs w:val="24"/>
        </w:rPr>
        <w:t xml:space="preserve">, </w:t>
      </w:r>
      <w:r w:rsidRPr="0030387F">
        <w:rPr>
          <w:rFonts w:ascii="Calibri" w:hAnsi="Calibri" w:cs="Calibri"/>
          <w:i/>
          <w:iCs/>
          <w:noProof/>
          <w:sz w:val="24"/>
          <w:szCs w:val="24"/>
        </w:rPr>
        <w:t>82</w:t>
      </w:r>
      <w:r w:rsidRPr="0030387F">
        <w:rPr>
          <w:rFonts w:ascii="Calibri" w:hAnsi="Calibri" w:cs="Calibri"/>
          <w:noProof/>
          <w:sz w:val="24"/>
          <w:szCs w:val="24"/>
        </w:rPr>
        <w:t>(3), 363–391. https://doi.org/10.1086/443136</w:t>
      </w:r>
    </w:p>
    <w:p w:rsidR="0030387F" w:rsidRPr="0030387F" w:rsidRDefault="0030387F" w:rsidP="0030387F">
      <w:pPr>
        <w:widowControl w:val="0"/>
        <w:autoSpaceDE w:val="0"/>
        <w:autoSpaceDN w:val="0"/>
        <w:bidi w:val="0"/>
        <w:adjustRightInd w:val="0"/>
        <w:spacing w:line="360" w:lineRule="auto"/>
        <w:ind w:left="480" w:hanging="480"/>
        <w:jc w:val="both"/>
        <w:rPr>
          <w:rFonts w:ascii="Calibri" w:hAnsi="Calibri" w:cs="Calibri"/>
          <w:noProof/>
          <w:sz w:val="24"/>
          <w:szCs w:val="24"/>
        </w:rPr>
      </w:pPr>
      <w:r w:rsidRPr="0030387F">
        <w:rPr>
          <w:rFonts w:ascii="Calibri" w:hAnsi="Calibri" w:cs="Calibri"/>
          <w:noProof/>
          <w:sz w:val="24"/>
          <w:szCs w:val="24"/>
        </w:rPr>
        <w:t xml:space="preserve">Tyler, R. W. (1971). Testing for Accountability. </w:t>
      </w:r>
      <w:r w:rsidRPr="0030387F">
        <w:rPr>
          <w:rFonts w:ascii="Calibri" w:hAnsi="Calibri" w:cs="Calibri"/>
          <w:i/>
          <w:iCs/>
          <w:noProof/>
          <w:sz w:val="24"/>
          <w:szCs w:val="24"/>
        </w:rPr>
        <w:t>Education Digest: Essential Readings Condensed for Quick Review</w:t>
      </w:r>
      <w:r w:rsidRPr="0030387F">
        <w:rPr>
          <w:rFonts w:ascii="Calibri" w:hAnsi="Calibri" w:cs="Calibri"/>
          <w:noProof/>
          <w:sz w:val="24"/>
          <w:szCs w:val="24"/>
        </w:rPr>
        <w:t xml:space="preserve">, </w:t>
      </w:r>
      <w:r w:rsidRPr="0030387F">
        <w:rPr>
          <w:rFonts w:ascii="Calibri" w:hAnsi="Calibri" w:cs="Calibri"/>
          <w:i/>
          <w:iCs/>
          <w:noProof/>
          <w:sz w:val="24"/>
          <w:szCs w:val="24"/>
        </w:rPr>
        <w:t>36</w:t>
      </w:r>
      <w:r w:rsidRPr="0030387F">
        <w:rPr>
          <w:rFonts w:ascii="Calibri" w:hAnsi="Calibri" w:cs="Calibri"/>
          <w:noProof/>
          <w:sz w:val="24"/>
          <w:szCs w:val="24"/>
        </w:rPr>
        <w:t>(7), 12–14.</w:t>
      </w:r>
    </w:p>
    <w:p w:rsidR="00851148" w:rsidRPr="0030387F" w:rsidRDefault="0030387F" w:rsidP="0030387F">
      <w:pPr>
        <w:rPr>
          <w:sz w:val="24"/>
          <w:szCs w:val="24"/>
        </w:rPr>
      </w:pPr>
      <w:r w:rsidRPr="0030387F">
        <w:rPr>
          <w:rStyle w:val="a3"/>
          <w:i w:val="0"/>
          <w:iCs w:val="0"/>
          <w:sz w:val="24"/>
          <w:szCs w:val="24"/>
          <w:rtl/>
        </w:rPr>
        <w:fldChar w:fldCharType="end"/>
      </w:r>
    </w:p>
    <w:sectPr w:rsidR="00851148" w:rsidRPr="0030387F" w:rsidSect="005D263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Open Sans Hebrew">
    <w:panose1 w:val="00000500000000000000"/>
    <w:charset w:val="00"/>
    <w:family w:val="auto"/>
    <w:pitch w:val="variable"/>
    <w:sig w:usb0="00000803" w:usb1="4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7F"/>
    <w:rsid w:val="00030C9A"/>
    <w:rsid w:val="0030387F"/>
    <w:rsid w:val="003F665E"/>
    <w:rsid w:val="005D263E"/>
    <w:rsid w:val="00851148"/>
    <w:rsid w:val="00C97B98"/>
    <w:rsid w:val="00F669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F709"/>
  <w15:chartTrackingRefBased/>
  <w15:docId w15:val="{6CBB477C-4226-4F95-8D71-CB1F8FB7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387F"/>
    <w:pPr>
      <w:bidi/>
      <w:spacing w:after="200" w:line="276" w:lineRule="auto"/>
    </w:pPr>
  </w:style>
  <w:style w:type="paragraph" w:styleId="1">
    <w:name w:val="heading 1"/>
    <w:basedOn w:val="a"/>
    <w:next w:val="a"/>
    <w:link w:val="10"/>
    <w:uiPriority w:val="9"/>
    <w:qFormat/>
    <w:rsid w:val="0030387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2">
    <w:name w:val="heading 2"/>
    <w:basedOn w:val="a"/>
    <w:next w:val="a"/>
    <w:link w:val="20"/>
    <w:uiPriority w:val="9"/>
    <w:unhideWhenUsed/>
    <w:qFormat/>
    <w:rsid w:val="0030387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0387F"/>
    <w:rPr>
      <w:rFonts w:asciiTheme="majorHAnsi" w:eastAsiaTheme="majorEastAsia" w:hAnsiTheme="majorHAnsi" w:cstheme="majorBidi"/>
      <w:color w:val="3E762A" w:themeColor="accent1" w:themeShade="BF"/>
      <w:sz w:val="32"/>
      <w:szCs w:val="32"/>
    </w:rPr>
  </w:style>
  <w:style w:type="character" w:customStyle="1" w:styleId="20">
    <w:name w:val="כותרת 2 תו"/>
    <w:basedOn w:val="a0"/>
    <w:link w:val="2"/>
    <w:uiPriority w:val="9"/>
    <w:rsid w:val="0030387F"/>
    <w:rPr>
      <w:rFonts w:asciiTheme="majorHAnsi" w:eastAsiaTheme="majorEastAsia" w:hAnsiTheme="majorHAnsi" w:cstheme="majorBidi"/>
      <w:color w:val="3E762A" w:themeColor="accent1" w:themeShade="BF"/>
      <w:sz w:val="26"/>
      <w:szCs w:val="26"/>
    </w:rPr>
  </w:style>
  <w:style w:type="character" w:styleId="a3">
    <w:name w:val="Emphasis"/>
    <w:basedOn w:val="a0"/>
    <w:uiPriority w:val="20"/>
    <w:qFormat/>
    <w:rsid w:val="0030387F"/>
    <w:rPr>
      <w:i/>
      <w:iCs/>
    </w:rPr>
  </w:style>
  <w:style w:type="character" w:styleId="Hyperlink">
    <w:name w:val="Hyperlink"/>
    <w:basedOn w:val="a0"/>
    <w:uiPriority w:val="99"/>
    <w:unhideWhenUsed/>
    <w:rsid w:val="0030387F"/>
    <w:rPr>
      <w:color w:val="6B9F25" w:themeColor="hyperlink"/>
      <w:u w:val="single"/>
    </w:rPr>
  </w:style>
  <w:style w:type="character" w:styleId="a4">
    <w:name w:val="Strong"/>
    <w:basedOn w:val="a0"/>
    <w:uiPriority w:val="22"/>
    <w:qFormat/>
    <w:rsid w:val="00303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sa.org/" TargetMode="External"/><Relationship Id="rId3" Type="http://schemas.openxmlformats.org/officeDocument/2006/relationships/settings" Target="settings.xml"/><Relationship Id="rId7" Type="http://schemas.openxmlformats.org/officeDocument/2006/relationships/hyperlink" Target="http://infosoc.haifa.ac.il/index.php/h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rump.org.il/" TargetMode="External"/><Relationship Id="rId5" Type="http://schemas.openxmlformats.org/officeDocument/2006/relationships/hyperlink" Target="http://opis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ירוק">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6632D-FAA9-4DC4-BDDE-A4667F90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1170</Words>
  <Characters>5853</Characters>
  <Application>Microsoft Office Word</Application>
  <DocSecurity>0</DocSecurity>
  <Lines>48</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Sher</dc:creator>
  <cp:keywords/>
  <dc:description/>
  <cp:lastModifiedBy>Noa Sher</cp:lastModifiedBy>
  <cp:revision>2</cp:revision>
  <dcterms:created xsi:type="dcterms:W3CDTF">2018-07-04T10:03:00Z</dcterms:created>
  <dcterms:modified xsi:type="dcterms:W3CDTF">2018-07-04T10:05:00Z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