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28D" w:rsidRPr="00DA228D" w:rsidRDefault="00B9380C" w:rsidP="00FD6678">
      <w:pPr>
        <w:pStyle w:val="ae"/>
        <w:tabs>
          <w:tab w:val="left" w:pos="2174"/>
        </w:tabs>
        <w:bidi w:val="0"/>
        <w:spacing w:before="0" w:line="320" w:lineRule="exact"/>
        <w:ind w:left="0"/>
        <w:jc w:val="center"/>
        <w:rPr>
          <w:rFonts w:ascii="Arial" w:hAnsi="Arial" w:cs="Arial"/>
          <w:b/>
          <w:bCs/>
          <w:sz w:val="22"/>
          <w:szCs w:val="22"/>
          <w:rtl/>
        </w:rPr>
      </w:pPr>
      <w:r>
        <w:rPr>
          <w:rFonts w:ascii="Arial" w:hAnsi="Arial" w:cs="Arial"/>
          <w:b/>
          <w:bCs/>
          <w:sz w:val="22"/>
          <w:szCs w:val="22"/>
        </w:rPr>
        <w:t>7 De</w:t>
      </w:r>
      <w:r w:rsidRPr="00DA228D">
        <w:rPr>
          <w:rFonts w:ascii="Arial" w:hAnsi="Arial" w:cs="Arial"/>
          <w:b/>
          <w:bCs/>
          <w:sz w:val="22"/>
          <w:szCs w:val="22"/>
        </w:rPr>
        <w:t>cember 2010</w:t>
      </w:r>
    </w:p>
    <w:p w:rsidR="0006403E" w:rsidRPr="00DA228D" w:rsidRDefault="00E66FC9" w:rsidP="00FD6678">
      <w:pPr>
        <w:pStyle w:val="ae"/>
        <w:tabs>
          <w:tab w:val="left" w:pos="2174"/>
        </w:tabs>
        <w:bidi w:val="0"/>
        <w:spacing w:line="320" w:lineRule="exact"/>
        <w:ind w:left="0"/>
        <w:jc w:val="center"/>
        <w:rPr>
          <w:rFonts w:ascii="Arial" w:hAnsi="Arial" w:cs="Arial"/>
          <w:b/>
          <w:bCs/>
          <w:sz w:val="28"/>
          <w:szCs w:val="28"/>
          <w:rtl/>
        </w:rPr>
      </w:pPr>
      <w:r w:rsidRPr="00DA228D">
        <w:rPr>
          <w:rFonts w:ascii="Arial" w:hAnsi="Arial" w:cs="Arial"/>
          <w:b/>
          <w:bCs/>
          <w:sz w:val="28"/>
          <w:szCs w:val="28"/>
        </w:rPr>
        <w:t>Abstract</w:t>
      </w:r>
    </w:p>
    <w:p w:rsidR="0006403E" w:rsidRPr="00DA228D" w:rsidRDefault="0006403E" w:rsidP="00FD6678">
      <w:pPr>
        <w:pStyle w:val="ae"/>
        <w:tabs>
          <w:tab w:val="left" w:pos="2174"/>
        </w:tabs>
        <w:bidi w:val="0"/>
        <w:spacing w:line="320" w:lineRule="exact"/>
        <w:ind w:left="0"/>
        <w:jc w:val="center"/>
        <w:rPr>
          <w:rFonts w:ascii="Arial" w:hAnsi="Arial" w:cs="Arial"/>
          <w:b/>
          <w:bCs/>
          <w:sz w:val="28"/>
          <w:szCs w:val="28"/>
          <w:rtl/>
        </w:rPr>
      </w:pPr>
    </w:p>
    <w:p w:rsidR="00B84C81" w:rsidRPr="00DA228D" w:rsidRDefault="00B84C81" w:rsidP="009D46DE">
      <w:pPr>
        <w:pStyle w:val="ae"/>
        <w:tabs>
          <w:tab w:val="left" w:pos="2174"/>
        </w:tabs>
        <w:bidi w:val="0"/>
        <w:spacing w:line="320" w:lineRule="exact"/>
        <w:ind w:left="0"/>
        <w:jc w:val="center"/>
        <w:rPr>
          <w:rFonts w:ascii="Arial" w:hAnsi="Arial" w:cs="Arial"/>
          <w:b/>
          <w:bCs/>
          <w:sz w:val="28"/>
          <w:szCs w:val="28"/>
          <w:rtl/>
        </w:rPr>
      </w:pPr>
      <w:r w:rsidRPr="00DA228D">
        <w:rPr>
          <w:rFonts w:ascii="Arial" w:hAnsi="Arial" w:cs="Arial"/>
          <w:b/>
          <w:bCs/>
          <w:sz w:val="28"/>
          <w:szCs w:val="28"/>
        </w:rPr>
        <w:t xml:space="preserve">Initial findings from the PISA </w:t>
      </w:r>
      <w:r w:rsidR="00474D94" w:rsidRPr="00DA228D">
        <w:rPr>
          <w:rFonts w:ascii="Arial" w:hAnsi="Arial" w:cs="Arial"/>
          <w:b/>
          <w:bCs/>
          <w:sz w:val="28"/>
          <w:szCs w:val="28"/>
        </w:rPr>
        <w:t xml:space="preserve">2009 </w:t>
      </w:r>
      <w:r w:rsidRPr="00DA228D">
        <w:rPr>
          <w:rFonts w:ascii="Arial" w:hAnsi="Arial" w:cs="Arial"/>
          <w:b/>
          <w:bCs/>
          <w:sz w:val="28"/>
          <w:szCs w:val="28"/>
        </w:rPr>
        <w:t>study</w:t>
      </w:r>
    </w:p>
    <w:p w:rsidR="006E228D" w:rsidRPr="00DA228D" w:rsidRDefault="00B84C81" w:rsidP="00FD6678">
      <w:pPr>
        <w:pStyle w:val="ae"/>
        <w:tabs>
          <w:tab w:val="left" w:pos="2174"/>
        </w:tabs>
        <w:bidi w:val="0"/>
        <w:spacing w:line="320" w:lineRule="exact"/>
        <w:ind w:left="0"/>
        <w:jc w:val="center"/>
        <w:rPr>
          <w:rFonts w:ascii="Arial" w:hAnsi="Arial" w:cs="Arial"/>
          <w:b/>
          <w:bCs/>
          <w:sz w:val="28"/>
          <w:szCs w:val="28"/>
          <w:rtl/>
        </w:rPr>
      </w:pPr>
      <w:r w:rsidRPr="00DA228D">
        <w:rPr>
          <w:rFonts w:ascii="Arial" w:hAnsi="Arial" w:cs="Arial"/>
          <w:b/>
          <w:bCs/>
          <w:sz w:val="28"/>
          <w:szCs w:val="28"/>
        </w:rPr>
        <w:t>An international study for testing 15 year old students in reading, mathematics, and science literacy</w:t>
      </w:r>
      <w:r w:rsidRPr="00DA228D">
        <w:rPr>
          <w:rFonts w:ascii="Arial" w:hAnsi="Arial" w:cs="Arial"/>
          <w:sz w:val="28"/>
          <w:szCs w:val="28"/>
        </w:rPr>
        <w:t xml:space="preserve"> </w:t>
      </w:r>
    </w:p>
    <w:p w:rsidR="00AD0EF1" w:rsidRPr="00DA228D" w:rsidRDefault="00AD0EF1" w:rsidP="0058385D">
      <w:pPr>
        <w:bidi w:val="0"/>
        <w:spacing w:before="0" w:after="120" w:line="320" w:lineRule="exact"/>
        <w:rPr>
          <w:rFonts w:ascii="Arial" w:hAnsi="Arial" w:cs="Arial"/>
          <w:sz w:val="22"/>
          <w:szCs w:val="22"/>
          <w:rtl/>
        </w:rPr>
      </w:pPr>
      <w:r w:rsidRPr="00DA228D">
        <w:rPr>
          <w:rFonts w:ascii="Arial" w:hAnsi="Arial" w:cs="Arial"/>
          <w:sz w:val="22"/>
          <w:szCs w:val="22"/>
        </w:rPr>
        <w:t xml:space="preserve">The National Authority for Measurement and Evaluation in Education (RAMA) is </w:t>
      </w:r>
      <w:r w:rsidR="0058385D" w:rsidRPr="00DA228D">
        <w:rPr>
          <w:rFonts w:ascii="Arial" w:hAnsi="Arial" w:cs="Arial"/>
          <w:sz w:val="22"/>
          <w:szCs w:val="22"/>
        </w:rPr>
        <w:t xml:space="preserve">pleased </w:t>
      </w:r>
      <w:r w:rsidRPr="00DA228D">
        <w:rPr>
          <w:rFonts w:ascii="Arial" w:hAnsi="Arial" w:cs="Arial"/>
          <w:sz w:val="22"/>
          <w:szCs w:val="22"/>
        </w:rPr>
        <w:t>to present a summary of the</w:t>
      </w:r>
      <w:r w:rsidR="00126AAD" w:rsidRPr="00DA228D">
        <w:rPr>
          <w:rFonts w:ascii="Arial" w:hAnsi="Arial" w:cs="Arial"/>
          <w:sz w:val="22"/>
          <w:szCs w:val="22"/>
        </w:rPr>
        <w:t xml:space="preserve"> findings from the</w:t>
      </w:r>
      <w:r w:rsidRPr="00DA228D">
        <w:rPr>
          <w:rFonts w:ascii="Arial" w:hAnsi="Arial" w:cs="Arial"/>
          <w:sz w:val="22"/>
          <w:szCs w:val="22"/>
        </w:rPr>
        <w:t xml:space="preserve"> PISA </w:t>
      </w:r>
      <w:r w:rsidR="00126AAD" w:rsidRPr="00DA228D">
        <w:rPr>
          <w:rFonts w:ascii="Arial" w:hAnsi="Arial" w:cs="Arial"/>
          <w:sz w:val="22"/>
          <w:szCs w:val="22"/>
        </w:rPr>
        <w:t xml:space="preserve">2009 </w:t>
      </w:r>
      <w:r w:rsidRPr="00DA228D">
        <w:rPr>
          <w:rFonts w:ascii="Arial" w:hAnsi="Arial" w:cs="Arial"/>
          <w:sz w:val="22"/>
          <w:szCs w:val="22"/>
        </w:rPr>
        <w:t xml:space="preserve">study.  </w:t>
      </w:r>
    </w:p>
    <w:p w:rsidR="00AD0EF1" w:rsidRPr="00DA228D" w:rsidRDefault="00811FAB" w:rsidP="00BE14F7">
      <w:pPr>
        <w:bidi w:val="0"/>
        <w:spacing w:before="0" w:after="120" w:line="320" w:lineRule="exact"/>
        <w:rPr>
          <w:rFonts w:ascii="Arial" w:hAnsi="Arial" w:cs="Arial"/>
          <w:sz w:val="22"/>
          <w:szCs w:val="22"/>
        </w:rPr>
      </w:pPr>
      <w:r w:rsidRPr="00DA228D">
        <w:rPr>
          <w:rFonts w:ascii="Arial" w:hAnsi="Arial" w:cs="Arial"/>
          <w:sz w:val="22"/>
          <w:szCs w:val="22"/>
        </w:rPr>
        <w:t xml:space="preserve">The study was </w:t>
      </w:r>
      <w:r w:rsidR="0058385D" w:rsidRPr="00DA228D">
        <w:rPr>
          <w:rFonts w:ascii="Arial" w:hAnsi="Arial" w:cs="Arial"/>
          <w:sz w:val="22"/>
          <w:szCs w:val="22"/>
        </w:rPr>
        <w:t>directed</w:t>
      </w:r>
      <w:r w:rsidR="00674424" w:rsidRPr="00DA228D">
        <w:rPr>
          <w:rFonts w:ascii="Arial" w:hAnsi="Arial" w:cs="Arial"/>
          <w:sz w:val="22"/>
          <w:szCs w:val="22"/>
        </w:rPr>
        <w:t xml:space="preserve"> </w:t>
      </w:r>
      <w:r w:rsidRPr="00DA228D">
        <w:rPr>
          <w:rFonts w:ascii="Arial" w:hAnsi="Arial" w:cs="Arial"/>
          <w:sz w:val="22"/>
          <w:szCs w:val="22"/>
        </w:rPr>
        <w:t xml:space="preserve">and </w:t>
      </w:r>
      <w:r w:rsidR="00674424" w:rsidRPr="00DA228D">
        <w:rPr>
          <w:rFonts w:ascii="Arial" w:hAnsi="Arial" w:cs="Arial"/>
          <w:sz w:val="22"/>
          <w:szCs w:val="22"/>
        </w:rPr>
        <w:t>operated</w:t>
      </w:r>
      <w:r w:rsidR="00126AAD" w:rsidRPr="00DA228D">
        <w:rPr>
          <w:rFonts w:ascii="Arial" w:hAnsi="Arial" w:cs="Arial"/>
          <w:sz w:val="22"/>
          <w:szCs w:val="22"/>
        </w:rPr>
        <w:t xml:space="preserve"> </w:t>
      </w:r>
      <w:r w:rsidRPr="00DA228D">
        <w:rPr>
          <w:rFonts w:ascii="Arial" w:hAnsi="Arial" w:cs="Arial"/>
          <w:sz w:val="22"/>
          <w:szCs w:val="22"/>
        </w:rPr>
        <w:t>by the</w:t>
      </w:r>
      <w:r w:rsidR="0058385D" w:rsidRPr="00DA228D">
        <w:rPr>
          <w:rFonts w:ascii="Arial" w:hAnsi="Arial" w:cs="Arial"/>
          <w:sz w:val="22"/>
          <w:szCs w:val="22"/>
        </w:rPr>
        <w:t xml:space="preserve"> staff of the</w:t>
      </w:r>
      <w:r w:rsidRPr="00DA228D">
        <w:rPr>
          <w:rFonts w:ascii="Arial" w:hAnsi="Arial" w:cs="Arial"/>
          <w:sz w:val="22"/>
          <w:szCs w:val="22"/>
        </w:rPr>
        <w:t xml:space="preserve"> </w:t>
      </w:r>
      <w:r w:rsidRPr="00DA228D">
        <w:rPr>
          <w:rFonts w:ascii="Arial" w:hAnsi="Arial" w:cs="Arial"/>
          <w:b/>
          <w:bCs/>
          <w:sz w:val="22"/>
          <w:szCs w:val="22"/>
        </w:rPr>
        <w:t xml:space="preserve">National Authority for Measurement and Evaluation in Education (RAMA) (Dr. </w:t>
      </w:r>
      <w:proofErr w:type="spellStart"/>
      <w:r w:rsidRPr="00DA228D">
        <w:rPr>
          <w:rFonts w:ascii="Arial" w:hAnsi="Arial" w:cs="Arial"/>
          <w:b/>
          <w:bCs/>
          <w:sz w:val="22"/>
          <w:szCs w:val="22"/>
        </w:rPr>
        <w:t>Inbal</w:t>
      </w:r>
      <w:proofErr w:type="spellEnd"/>
      <w:r w:rsidRPr="00DA228D">
        <w:rPr>
          <w:rFonts w:ascii="Arial" w:hAnsi="Arial" w:cs="Arial"/>
          <w:b/>
          <w:bCs/>
          <w:sz w:val="22"/>
          <w:szCs w:val="22"/>
        </w:rPr>
        <w:t xml:space="preserve"> Ron-Kaplan, Dr. </w:t>
      </w:r>
      <w:r w:rsidR="009D46DE" w:rsidRPr="00DA228D">
        <w:rPr>
          <w:rFonts w:ascii="Arial" w:hAnsi="Arial" w:cs="Arial"/>
          <w:b/>
          <w:bCs/>
          <w:sz w:val="22"/>
          <w:szCs w:val="22"/>
        </w:rPr>
        <w:t>J</w:t>
      </w:r>
      <w:r w:rsidRPr="00DA228D">
        <w:rPr>
          <w:rFonts w:ascii="Arial" w:hAnsi="Arial" w:cs="Arial"/>
          <w:b/>
          <w:bCs/>
          <w:sz w:val="22"/>
          <w:szCs w:val="22"/>
        </w:rPr>
        <w:t xml:space="preserve">oel Rapp, and Ms. </w:t>
      </w:r>
      <w:proofErr w:type="spellStart"/>
      <w:r w:rsidRPr="00DA228D">
        <w:rPr>
          <w:rFonts w:ascii="Arial" w:hAnsi="Arial" w:cs="Arial"/>
          <w:b/>
          <w:bCs/>
          <w:sz w:val="22"/>
          <w:szCs w:val="22"/>
        </w:rPr>
        <w:t>Iman</w:t>
      </w:r>
      <w:proofErr w:type="spellEnd"/>
      <w:r w:rsidRPr="00DA228D">
        <w:rPr>
          <w:rFonts w:ascii="Arial" w:hAnsi="Arial" w:cs="Arial"/>
          <w:b/>
          <w:bCs/>
          <w:sz w:val="22"/>
          <w:szCs w:val="22"/>
        </w:rPr>
        <w:t xml:space="preserve"> </w:t>
      </w:r>
      <w:proofErr w:type="spellStart"/>
      <w:r w:rsidR="00BE14F7">
        <w:rPr>
          <w:rFonts w:ascii="Arial" w:hAnsi="Arial" w:cs="Arial"/>
          <w:b/>
          <w:bCs/>
          <w:sz w:val="22"/>
          <w:szCs w:val="22"/>
        </w:rPr>
        <w:t>Aw</w:t>
      </w:r>
      <w:r w:rsidRPr="00DA228D">
        <w:rPr>
          <w:rFonts w:ascii="Arial" w:hAnsi="Arial" w:cs="Arial"/>
          <w:b/>
          <w:bCs/>
          <w:sz w:val="22"/>
          <w:szCs w:val="22"/>
        </w:rPr>
        <w:t>ad</w:t>
      </w:r>
      <w:r w:rsidR="00BE14F7">
        <w:rPr>
          <w:rFonts w:ascii="Arial" w:hAnsi="Arial" w:cs="Arial"/>
          <w:b/>
          <w:bCs/>
          <w:sz w:val="22"/>
          <w:szCs w:val="22"/>
        </w:rPr>
        <w:t>ie</w:t>
      </w:r>
      <w:proofErr w:type="spellEnd"/>
      <w:r w:rsidRPr="00DA228D">
        <w:rPr>
          <w:rFonts w:ascii="Arial" w:hAnsi="Arial" w:cs="Arial"/>
          <w:b/>
          <w:bCs/>
          <w:sz w:val="22"/>
          <w:szCs w:val="22"/>
        </w:rPr>
        <w:t>).</w:t>
      </w:r>
      <w:r w:rsidRPr="00DA228D">
        <w:rPr>
          <w:rFonts w:ascii="Arial" w:hAnsi="Arial" w:cs="Arial"/>
          <w:sz w:val="22"/>
          <w:szCs w:val="22"/>
        </w:rPr>
        <w:t xml:space="preserve">  The translation of the materials and their adaptation for students in Israel was carried out in consultation with </w:t>
      </w:r>
      <w:r w:rsidR="00126AAD" w:rsidRPr="00DA228D">
        <w:rPr>
          <w:rFonts w:ascii="Arial" w:hAnsi="Arial" w:cs="Arial"/>
          <w:sz w:val="22"/>
          <w:szCs w:val="22"/>
        </w:rPr>
        <w:t xml:space="preserve">academic </w:t>
      </w:r>
      <w:r w:rsidRPr="00DA228D">
        <w:rPr>
          <w:rFonts w:ascii="Arial" w:hAnsi="Arial" w:cs="Arial"/>
          <w:sz w:val="22"/>
          <w:szCs w:val="22"/>
        </w:rPr>
        <w:t xml:space="preserve">language experts, </w:t>
      </w:r>
      <w:r w:rsidRPr="00DA228D">
        <w:rPr>
          <w:rFonts w:ascii="Arial" w:hAnsi="Arial" w:cs="Arial"/>
          <w:b/>
          <w:bCs/>
          <w:sz w:val="22"/>
          <w:szCs w:val="22"/>
        </w:rPr>
        <w:t xml:space="preserve">Prof. </w:t>
      </w:r>
      <w:proofErr w:type="spellStart"/>
      <w:r w:rsidRPr="00DA228D">
        <w:rPr>
          <w:rFonts w:ascii="Arial" w:hAnsi="Arial" w:cs="Arial"/>
          <w:b/>
          <w:bCs/>
          <w:sz w:val="22"/>
          <w:szCs w:val="22"/>
        </w:rPr>
        <w:t>Sulaiman</w:t>
      </w:r>
      <w:proofErr w:type="spellEnd"/>
      <w:r w:rsidRPr="00DA228D">
        <w:rPr>
          <w:rFonts w:ascii="Arial" w:hAnsi="Arial" w:cs="Arial"/>
          <w:b/>
          <w:bCs/>
          <w:sz w:val="22"/>
          <w:szCs w:val="22"/>
        </w:rPr>
        <w:t xml:space="preserve"> </w:t>
      </w:r>
      <w:proofErr w:type="spellStart"/>
      <w:r w:rsidRPr="00DA228D">
        <w:rPr>
          <w:rFonts w:ascii="Arial" w:hAnsi="Arial" w:cs="Arial"/>
          <w:b/>
          <w:bCs/>
          <w:sz w:val="22"/>
          <w:szCs w:val="22"/>
        </w:rPr>
        <w:t>Jubran</w:t>
      </w:r>
      <w:proofErr w:type="spellEnd"/>
      <w:r w:rsidR="0058385D" w:rsidRPr="00DA228D">
        <w:rPr>
          <w:rFonts w:ascii="Arial" w:hAnsi="Arial" w:cs="Arial"/>
          <w:sz w:val="22"/>
          <w:szCs w:val="22"/>
        </w:rPr>
        <w:t>,</w:t>
      </w:r>
      <w:r w:rsidRPr="00DA228D">
        <w:rPr>
          <w:rFonts w:ascii="Arial" w:hAnsi="Arial" w:cs="Arial"/>
          <w:sz w:val="22"/>
          <w:szCs w:val="22"/>
        </w:rPr>
        <w:t xml:space="preserve"> Tel Aviv University, and </w:t>
      </w:r>
      <w:r w:rsidRPr="00DA228D">
        <w:rPr>
          <w:rFonts w:ascii="Arial" w:hAnsi="Arial" w:cs="Arial"/>
          <w:b/>
          <w:bCs/>
          <w:sz w:val="22"/>
          <w:szCs w:val="22"/>
        </w:rPr>
        <w:t xml:space="preserve">Prof. Elite </w:t>
      </w:r>
      <w:proofErr w:type="spellStart"/>
      <w:r w:rsidRPr="00DA228D">
        <w:rPr>
          <w:rFonts w:ascii="Arial" w:hAnsi="Arial" w:cs="Arial"/>
          <w:b/>
          <w:bCs/>
          <w:sz w:val="22"/>
          <w:szCs w:val="22"/>
        </w:rPr>
        <w:t>Olstein</w:t>
      </w:r>
      <w:proofErr w:type="spellEnd"/>
      <w:r w:rsidR="0058385D" w:rsidRPr="00DA228D">
        <w:rPr>
          <w:rFonts w:ascii="Arial" w:hAnsi="Arial" w:cs="Arial"/>
          <w:sz w:val="22"/>
          <w:szCs w:val="22"/>
        </w:rPr>
        <w:t>,</w:t>
      </w:r>
      <w:r w:rsidRPr="00DA228D">
        <w:rPr>
          <w:rFonts w:ascii="Arial" w:hAnsi="Arial" w:cs="Arial"/>
          <w:sz w:val="22"/>
          <w:szCs w:val="22"/>
        </w:rPr>
        <w:t xml:space="preserve"> </w:t>
      </w:r>
      <w:r w:rsidR="0058385D" w:rsidRPr="00DA228D">
        <w:rPr>
          <w:rFonts w:ascii="Arial" w:hAnsi="Arial" w:cs="Arial"/>
          <w:sz w:val="22"/>
          <w:szCs w:val="22"/>
        </w:rPr>
        <w:t xml:space="preserve">the </w:t>
      </w:r>
      <w:r w:rsidRPr="00DA228D">
        <w:rPr>
          <w:rFonts w:ascii="Arial" w:hAnsi="Arial" w:cs="Arial"/>
          <w:sz w:val="22"/>
          <w:szCs w:val="22"/>
        </w:rPr>
        <w:t xml:space="preserve">Hebrew University of Jerusalem. The study was </w:t>
      </w:r>
      <w:r w:rsidR="0058385D" w:rsidRPr="00DA228D">
        <w:rPr>
          <w:rFonts w:ascii="Arial" w:hAnsi="Arial" w:cs="Arial"/>
          <w:sz w:val="22"/>
          <w:szCs w:val="22"/>
        </w:rPr>
        <w:t xml:space="preserve">supervised </w:t>
      </w:r>
      <w:r w:rsidRPr="00DA228D">
        <w:rPr>
          <w:rFonts w:ascii="Arial" w:hAnsi="Arial" w:cs="Arial"/>
          <w:sz w:val="22"/>
          <w:szCs w:val="22"/>
        </w:rPr>
        <w:t xml:space="preserve">by a steering committee led by </w:t>
      </w:r>
      <w:r w:rsidRPr="00DA228D">
        <w:rPr>
          <w:rFonts w:ascii="Arial" w:hAnsi="Arial" w:cs="Arial"/>
          <w:b/>
          <w:bCs/>
          <w:sz w:val="22"/>
          <w:szCs w:val="22"/>
        </w:rPr>
        <w:t xml:space="preserve">Prof. Orit </w:t>
      </w:r>
      <w:proofErr w:type="spellStart"/>
      <w:r w:rsidRPr="00DA228D">
        <w:rPr>
          <w:rFonts w:ascii="Arial" w:hAnsi="Arial" w:cs="Arial"/>
          <w:b/>
          <w:bCs/>
          <w:sz w:val="22"/>
          <w:szCs w:val="22"/>
        </w:rPr>
        <w:t>Zaslavsky</w:t>
      </w:r>
      <w:proofErr w:type="spellEnd"/>
      <w:r w:rsidR="0058385D" w:rsidRPr="00DA228D">
        <w:rPr>
          <w:rFonts w:ascii="Arial" w:hAnsi="Arial" w:cs="Arial"/>
          <w:sz w:val="22"/>
          <w:szCs w:val="22"/>
        </w:rPr>
        <w:t>,</w:t>
      </w:r>
      <w:r w:rsidR="00D37402">
        <w:rPr>
          <w:rFonts w:ascii="Arial" w:hAnsi="Arial" w:cs="Arial"/>
          <w:sz w:val="22"/>
          <w:szCs w:val="22"/>
        </w:rPr>
        <w:t xml:space="preserve"> </w:t>
      </w:r>
      <w:r w:rsidRPr="00DA228D">
        <w:rPr>
          <w:rFonts w:ascii="Arial" w:hAnsi="Arial" w:cs="Arial"/>
          <w:sz w:val="22"/>
          <w:szCs w:val="22"/>
        </w:rPr>
        <w:t xml:space="preserve">the </w:t>
      </w:r>
      <w:proofErr w:type="spellStart"/>
      <w:r w:rsidRPr="00DA228D">
        <w:rPr>
          <w:rFonts w:ascii="Arial" w:hAnsi="Arial" w:cs="Arial"/>
          <w:sz w:val="22"/>
          <w:szCs w:val="22"/>
        </w:rPr>
        <w:t>Technion</w:t>
      </w:r>
      <w:proofErr w:type="spellEnd"/>
      <w:r w:rsidRPr="00DA228D">
        <w:rPr>
          <w:rFonts w:ascii="Arial" w:hAnsi="Arial" w:cs="Arial"/>
          <w:sz w:val="22"/>
          <w:szCs w:val="22"/>
        </w:rPr>
        <w:t xml:space="preserve">. </w:t>
      </w:r>
      <w:r w:rsidR="0058385D" w:rsidRPr="00DA228D">
        <w:rPr>
          <w:rFonts w:ascii="Arial" w:hAnsi="Arial" w:cs="Arial"/>
          <w:sz w:val="22"/>
          <w:szCs w:val="22"/>
        </w:rPr>
        <w:t xml:space="preserve">This </w:t>
      </w:r>
      <w:r w:rsidRPr="00DA228D">
        <w:rPr>
          <w:rFonts w:ascii="Arial" w:hAnsi="Arial" w:cs="Arial"/>
          <w:sz w:val="22"/>
          <w:szCs w:val="22"/>
        </w:rPr>
        <w:t xml:space="preserve">committee included </w:t>
      </w:r>
      <w:r w:rsidR="0058385D" w:rsidRPr="00DA228D">
        <w:rPr>
          <w:rFonts w:ascii="Arial" w:hAnsi="Arial" w:cs="Arial"/>
          <w:sz w:val="22"/>
          <w:szCs w:val="22"/>
        </w:rPr>
        <w:t xml:space="preserve">academic </w:t>
      </w:r>
      <w:r w:rsidRPr="00DA228D">
        <w:rPr>
          <w:rFonts w:ascii="Arial" w:hAnsi="Arial" w:cs="Arial"/>
          <w:sz w:val="22"/>
          <w:szCs w:val="22"/>
        </w:rPr>
        <w:t xml:space="preserve">experts in the fields of language, mathematics, and sciences, experts in measurement and evaluation, and representatives </w:t>
      </w:r>
      <w:r w:rsidR="0058385D" w:rsidRPr="00DA228D">
        <w:rPr>
          <w:rFonts w:ascii="Arial" w:hAnsi="Arial" w:cs="Arial"/>
          <w:sz w:val="22"/>
          <w:szCs w:val="22"/>
        </w:rPr>
        <w:t xml:space="preserve">of </w:t>
      </w:r>
      <w:r w:rsidRPr="00DA228D">
        <w:rPr>
          <w:rFonts w:ascii="Arial" w:hAnsi="Arial" w:cs="Arial"/>
          <w:sz w:val="22"/>
          <w:szCs w:val="22"/>
        </w:rPr>
        <w:t>the Ministry of Education.</w:t>
      </w:r>
      <w:r w:rsidR="0058385D" w:rsidRPr="00DA228D">
        <w:rPr>
          <w:rFonts w:ascii="Arial" w:hAnsi="Arial" w:cs="Arial"/>
          <w:sz w:val="22"/>
          <w:szCs w:val="22"/>
        </w:rPr>
        <w:t xml:space="preserve"> </w:t>
      </w:r>
    </w:p>
    <w:p w:rsidR="00AD0EF1" w:rsidRPr="00DA228D" w:rsidRDefault="00AD0EF1" w:rsidP="00FD6678">
      <w:pPr>
        <w:pStyle w:val="ae"/>
        <w:bidi w:val="0"/>
        <w:spacing w:before="360" w:line="320" w:lineRule="exact"/>
        <w:ind w:left="0"/>
        <w:jc w:val="center"/>
        <w:rPr>
          <w:rFonts w:ascii="Arial" w:hAnsi="Arial" w:cs="Arial"/>
          <w:b/>
          <w:bCs/>
          <w:color w:val="008000"/>
          <w:sz w:val="28"/>
          <w:szCs w:val="28"/>
          <w:rtl/>
        </w:rPr>
      </w:pPr>
      <w:r w:rsidRPr="00DA228D">
        <w:rPr>
          <w:rFonts w:ascii="Arial" w:hAnsi="Arial" w:cs="Arial"/>
          <w:b/>
          <w:bCs/>
          <w:color w:val="008000"/>
          <w:sz w:val="28"/>
          <w:szCs w:val="28"/>
        </w:rPr>
        <w:t>General background</w:t>
      </w:r>
    </w:p>
    <w:p w:rsidR="00A14C99" w:rsidRPr="00DA228D" w:rsidRDefault="00A14C99" w:rsidP="00FD6678">
      <w:pPr>
        <w:pStyle w:val="ae"/>
        <w:bidi w:val="0"/>
        <w:spacing w:before="240" w:line="320" w:lineRule="exact"/>
        <w:ind w:left="0"/>
        <w:jc w:val="both"/>
        <w:rPr>
          <w:rFonts w:ascii="Arial" w:hAnsi="Arial" w:cs="Arial"/>
          <w:b/>
          <w:bCs/>
          <w:color w:val="008000"/>
          <w:sz w:val="28"/>
          <w:szCs w:val="28"/>
          <w:rtl/>
        </w:rPr>
      </w:pPr>
      <w:r w:rsidRPr="00DA228D">
        <w:rPr>
          <w:rFonts w:ascii="Arial" w:hAnsi="Arial" w:cs="Arial"/>
          <w:b/>
          <w:bCs/>
          <w:color w:val="008000"/>
          <w:sz w:val="28"/>
          <w:szCs w:val="28"/>
        </w:rPr>
        <w:t>About the PISA study</w:t>
      </w:r>
    </w:p>
    <w:p w:rsidR="00AD0EF1" w:rsidRPr="00DA228D" w:rsidRDefault="00AD0EF1" w:rsidP="0018127C">
      <w:pPr>
        <w:numPr>
          <w:ilvl w:val="0"/>
          <w:numId w:val="2"/>
        </w:numPr>
        <w:autoSpaceDE w:val="0"/>
        <w:autoSpaceDN w:val="0"/>
        <w:bidi w:val="0"/>
        <w:adjustRightInd w:val="0"/>
        <w:spacing w:before="0" w:after="120" w:line="320" w:lineRule="exact"/>
        <w:ind w:left="538" w:right="0" w:hanging="357"/>
        <w:rPr>
          <w:rFonts w:ascii="Arial" w:hAnsi="Arial" w:cs="Arial"/>
          <w:sz w:val="22"/>
          <w:szCs w:val="22"/>
        </w:rPr>
      </w:pPr>
      <w:r w:rsidRPr="00DA228D">
        <w:rPr>
          <w:rFonts w:ascii="Arial" w:hAnsi="Arial" w:cs="Arial"/>
          <w:b/>
          <w:bCs/>
          <w:sz w:val="22"/>
          <w:szCs w:val="22"/>
        </w:rPr>
        <w:t>PISA</w:t>
      </w:r>
      <w:r w:rsidRPr="00DA228D">
        <w:rPr>
          <w:rFonts w:ascii="Arial" w:hAnsi="Arial" w:cs="Arial"/>
          <w:b/>
          <w:bCs/>
          <w:sz w:val="22"/>
          <w:szCs w:val="22"/>
          <w:rtl/>
        </w:rPr>
        <w:t>‏</w:t>
      </w:r>
      <w:r w:rsidRPr="00DA228D">
        <w:rPr>
          <w:rFonts w:ascii="Arial" w:hAnsi="Arial" w:cs="Arial"/>
          <w:sz w:val="22"/>
          <w:szCs w:val="22"/>
          <w:rtl/>
        </w:rPr>
        <w:t xml:space="preserve"> </w:t>
      </w:r>
      <w:r w:rsidR="00555614" w:rsidRPr="00DA228D">
        <w:rPr>
          <w:rFonts w:ascii="Arial" w:hAnsi="Arial" w:cs="Arial"/>
          <w:b/>
          <w:bCs/>
          <w:sz w:val="22"/>
          <w:szCs w:val="22"/>
          <w:rtl/>
        </w:rPr>
        <w:t>–</w:t>
      </w:r>
      <w:r w:rsidRPr="00DA228D">
        <w:rPr>
          <w:rFonts w:ascii="Arial" w:hAnsi="Arial" w:cs="Arial"/>
          <w:sz w:val="22"/>
          <w:szCs w:val="22"/>
          <w:rtl/>
        </w:rPr>
        <w:t xml:space="preserve"> ‏</w:t>
      </w:r>
      <w:r w:rsidRPr="00DA228D">
        <w:rPr>
          <w:rFonts w:ascii="Arial" w:hAnsi="Arial" w:cs="Arial"/>
          <w:b/>
          <w:bCs/>
          <w:sz w:val="22"/>
          <w:szCs w:val="22"/>
        </w:rPr>
        <w:t>Program for International Student Assessment</w:t>
      </w:r>
      <w:r w:rsidRPr="00DA228D">
        <w:rPr>
          <w:rFonts w:ascii="Arial" w:hAnsi="Arial" w:cs="Arial"/>
          <w:b/>
          <w:bCs/>
          <w:sz w:val="22"/>
          <w:szCs w:val="22"/>
          <w:rtl/>
        </w:rPr>
        <w:t>‏</w:t>
      </w:r>
      <w:r w:rsidRPr="00DA228D">
        <w:rPr>
          <w:rFonts w:ascii="Arial" w:hAnsi="Arial" w:cs="Arial"/>
          <w:b/>
          <w:bCs/>
          <w:sz w:val="22"/>
          <w:szCs w:val="22"/>
        </w:rPr>
        <w:t xml:space="preserve"> </w:t>
      </w:r>
      <w:r w:rsidR="00555614" w:rsidRPr="00DA228D">
        <w:rPr>
          <w:rFonts w:ascii="Arial" w:hAnsi="Arial" w:cs="Arial"/>
          <w:sz w:val="22"/>
          <w:szCs w:val="22"/>
        </w:rPr>
        <w:t>–</w:t>
      </w:r>
      <w:r w:rsidRPr="00DA228D">
        <w:rPr>
          <w:rFonts w:ascii="Arial" w:hAnsi="Arial" w:cs="Arial"/>
          <w:sz w:val="22"/>
          <w:szCs w:val="22"/>
        </w:rPr>
        <w:t xml:space="preserve"> is an international study conducted by the </w:t>
      </w:r>
      <w:proofErr w:type="spellStart"/>
      <w:r w:rsidRPr="00DA228D">
        <w:rPr>
          <w:rFonts w:ascii="Arial" w:hAnsi="Arial" w:cs="Arial"/>
          <w:sz w:val="22"/>
          <w:szCs w:val="22"/>
        </w:rPr>
        <w:t>Organisation</w:t>
      </w:r>
      <w:proofErr w:type="spellEnd"/>
      <w:r w:rsidRPr="00DA228D">
        <w:rPr>
          <w:rFonts w:ascii="Arial" w:hAnsi="Arial" w:cs="Arial"/>
          <w:sz w:val="22"/>
          <w:szCs w:val="22"/>
        </w:rPr>
        <w:t xml:space="preserve"> for Economic Co-operation and Development (OECD) </w:t>
      </w:r>
      <w:r w:rsidR="00C22412" w:rsidRPr="00DA228D">
        <w:rPr>
          <w:rFonts w:ascii="Arial" w:hAnsi="Arial" w:cs="Arial"/>
          <w:sz w:val="22"/>
          <w:szCs w:val="22"/>
        </w:rPr>
        <w:t xml:space="preserve">and </w:t>
      </w:r>
      <w:r w:rsidRPr="00DA228D">
        <w:rPr>
          <w:rFonts w:ascii="Arial" w:hAnsi="Arial" w:cs="Arial"/>
          <w:sz w:val="22"/>
          <w:szCs w:val="22"/>
        </w:rPr>
        <w:t>which Israel</w:t>
      </w:r>
      <w:r w:rsidR="0018127C" w:rsidRPr="00DA228D">
        <w:rPr>
          <w:rFonts w:ascii="Arial" w:hAnsi="Arial" w:cs="Arial"/>
          <w:sz w:val="22"/>
          <w:szCs w:val="22"/>
        </w:rPr>
        <w:t xml:space="preserve"> has</w:t>
      </w:r>
      <w:r w:rsidRPr="00DA228D">
        <w:rPr>
          <w:rFonts w:ascii="Arial" w:hAnsi="Arial" w:cs="Arial"/>
          <w:sz w:val="22"/>
          <w:szCs w:val="22"/>
        </w:rPr>
        <w:t xml:space="preserve"> recently joined. The study is carried out </w:t>
      </w:r>
      <w:r w:rsidRPr="00DA228D">
        <w:rPr>
          <w:rFonts w:ascii="Arial" w:hAnsi="Arial" w:cs="Arial"/>
          <w:b/>
          <w:bCs/>
          <w:color w:val="000000"/>
          <w:sz w:val="22"/>
          <w:szCs w:val="22"/>
        </w:rPr>
        <w:t>in a three-yearly cycle</w:t>
      </w:r>
      <w:r w:rsidRPr="00DA228D">
        <w:rPr>
          <w:rFonts w:ascii="Arial" w:hAnsi="Arial" w:cs="Arial"/>
          <w:sz w:val="22"/>
          <w:szCs w:val="22"/>
        </w:rPr>
        <w:t xml:space="preserve"> </w:t>
      </w:r>
      <w:r w:rsidR="0018127C" w:rsidRPr="00DA228D">
        <w:rPr>
          <w:rFonts w:ascii="Arial" w:hAnsi="Arial" w:cs="Arial"/>
          <w:sz w:val="22"/>
          <w:szCs w:val="22"/>
        </w:rPr>
        <w:t>and</w:t>
      </w:r>
      <w:r w:rsidRPr="00DA228D">
        <w:rPr>
          <w:rFonts w:ascii="Arial" w:hAnsi="Arial" w:cs="Arial"/>
          <w:sz w:val="22"/>
          <w:szCs w:val="22"/>
        </w:rPr>
        <w:t xml:space="preserve"> was first conducted in 2000.</w:t>
      </w:r>
    </w:p>
    <w:p w:rsidR="006023C5" w:rsidRPr="00DA228D" w:rsidRDefault="006023C5" w:rsidP="009D46DE">
      <w:pPr>
        <w:numPr>
          <w:ilvl w:val="0"/>
          <w:numId w:val="2"/>
        </w:numPr>
        <w:autoSpaceDE w:val="0"/>
        <w:autoSpaceDN w:val="0"/>
        <w:bidi w:val="0"/>
        <w:adjustRightInd w:val="0"/>
        <w:spacing w:before="0" w:after="120" w:line="320" w:lineRule="exact"/>
        <w:ind w:left="538" w:right="0" w:hanging="357"/>
        <w:rPr>
          <w:rFonts w:ascii="Arial" w:hAnsi="Arial" w:cs="Arial"/>
          <w:sz w:val="22"/>
          <w:szCs w:val="22"/>
        </w:rPr>
      </w:pPr>
      <w:r w:rsidRPr="00DA228D">
        <w:rPr>
          <w:rFonts w:ascii="Arial" w:hAnsi="Arial" w:cs="Arial"/>
          <w:b/>
          <w:bCs/>
          <w:sz w:val="22"/>
          <w:szCs w:val="22"/>
        </w:rPr>
        <w:t>Research goal</w:t>
      </w:r>
      <w:r w:rsidRPr="00DA228D">
        <w:rPr>
          <w:rFonts w:ascii="Arial" w:hAnsi="Arial" w:cs="Arial"/>
          <w:sz w:val="22"/>
          <w:szCs w:val="22"/>
        </w:rPr>
        <w:t xml:space="preserve"> </w:t>
      </w:r>
      <w:r w:rsidR="00555614" w:rsidRPr="00DA228D">
        <w:rPr>
          <w:rFonts w:ascii="Arial" w:hAnsi="Arial" w:cs="Arial"/>
          <w:sz w:val="22"/>
          <w:szCs w:val="22"/>
        </w:rPr>
        <w:t>–</w:t>
      </w:r>
      <w:r w:rsidRPr="00DA228D">
        <w:rPr>
          <w:rFonts w:ascii="Arial" w:hAnsi="Arial" w:cs="Arial"/>
          <w:sz w:val="22"/>
          <w:szCs w:val="22"/>
        </w:rPr>
        <w:t xml:space="preserve"> to examine </w:t>
      </w:r>
      <w:r w:rsidR="00C22412" w:rsidRPr="00DA228D">
        <w:rPr>
          <w:rFonts w:ascii="Arial" w:hAnsi="Arial" w:cs="Arial"/>
          <w:sz w:val="22"/>
          <w:szCs w:val="22"/>
        </w:rPr>
        <w:t xml:space="preserve">the </w:t>
      </w:r>
      <w:r w:rsidRPr="00DA228D">
        <w:rPr>
          <w:rFonts w:ascii="Arial" w:hAnsi="Arial" w:cs="Arial"/>
          <w:sz w:val="22"/>
          <w:szCs w:val="22"/>
        </w:rPr>
        <w:t>extent</w:t>
      </w:r>
      <w:r w:rsidR="00C22412" w:rsidRPr="00DA228D">
        <w:rPr>
          <w:rFonts w:ascii="Arial" w:hAnsi="Arial" w:cs="Arial"/>
          <w:sz w:val="22"/>
          <w:szCs w:val="22"/>
        </w:rPr>
        <w:t xml:space="preserve"> to which</w:t>
      </w:r>
      <w:r w:rsidRPr="00DA228D">
        <w:rPr>
          <w:rFonts w:ascii="Arial" w:hAnsi="Arial" w:cs="Arial"/>
          <w:sz w:val="22"/>
          <w:szCs w:val="22"/>
        </w:rPr>
        <w:t xml:space="preserve"> 15 year olds</w:t>
      </w:r>
      <w:r w:rsidR="0018127C" w:rsidRPr="00DA228D">
        <w:rPr>
          <w:rFonts w:ascii="Arial" w:hAnsi="Arial" w:cs="Arial"/>
          <w:sz w:val="22"/>
          <w:szCs w:val="22"/>
        </w:rPr>
        <w:t xml:space="preserve"> who are “ready for adult life”</w:t>
      </w:r>
      <w:r w:rsidRPr="00DA228D">
        <w:rPr>
          <w:rFonts w:ascii="Arial" w:hAnsi="Arial" w:cs="Arial"/>
          <w:sz w:val="22"/>
          <w:szCs w:val="22"/>
        </w:rPr>
        <w:t xml:space="preserve"> have acquired general thinking tools and understanding </w:t>
      </w:r>
      <w:r w:rsidR="00C22412" w:rsidRPr="00DA228D">
        <w:rPr>
          <w:rFonts w:ascii="Arial" w:hAnsi="Arial" w:cs="Arial"/>
          <w:sz w:val="22"/>
          <w:szCs w:val="22"/>
        </w:rPr>
        <w:t>that</w:t>
      </w:r>
      <w:r w:rsidRPr="00DA228D">
        <w:rPr>
          <w:rFonts w:ascii="Arial" w:hAnsi="Arial" w:cs="Arial"/>
          <w:sz w:val="22"/>
          <w:szCs w:val="22"/>
        </w:rPr>
        <w:t xml:space="preserve"> enable them to deal satisfactorily and </w:t>
      </w:r>
      <w:r w:rsidR="00C22412" w:rsidRPr="00DA228D">
        <w:rPr>
          <w:rFonts w:ascii="Arial" w:hAnsi="Arial" w:cs="Arial"/>
          <w:sz w:val="22"/>
          <w:szCs w:val="22"/>
        </w:rPr>
        <w:t>effectively</w:t>
      </w:r>
      <w:r w:rsidRPr="00DA228D">
        <w:rPr>
          <w:rFonts w:ascii="Arial" w:hAnsi="Arial" w:cs="Arial"/>
          <w:sz w:val="22"/>
          <w:szCs w:val="22"/>
        </w:rPr>
        <w:t xml:space="preserve"> with their surroundings. </w:t>
      </w:r>
    </w:p>
    <w:p w:rsidR="00010AD2" w:rsidRPr="00DA228D" w:rsidRDefault="00010AD2" w:rsidP="00A7118F">
      <w:pPr>
        <w:numPr>
          <w:ilvl w:val="0"/>
          <w:numId w:val="2"/>
        </w:numPr>
        <w:autoSpaceDE w:val="0"/>
        <w:autoSpaceDN w:val="0"/>
        <w:bidi w:val="0"/>
        <w:adjustRightInd w:val="0"/>
        <w:spacing w:before="0" w:after="120" w:line="320" w:lineRule="exact"/>
        <w:ind w:left="538" w:right="0" w:hanging="357"/>
        <w:rPr>
          <w:rFonts w:ascii="Arial" w:hAnsi="Arial" w:cs="Arial"/>
          <w:sz w:val="22"/>
          <w:szCs w:val="22"/>
        </w:rPr>
      </w:pPr>
      <w:r w:rsidRPr="00DA228D">
        <w:rPr>
          <w:rFonts w:ascii="Arial" w:hAnsi="Arial" w:cs="Arial"/>
          <w:sz w:val="22"/>
          <w:szCs w:val="22"/>
        </w:rPr>
        <w:t xml:space="preserve">The study examines literacy levels in three </w:t>
      </w:r>
      <w:r w:rsidR="00391BC2" w:rsidRPr="00DA228D">
        <w:rPr>
          <w:rFonts w:ascii="Arial" w:hAnsi="Arial" w:cs="Arial"/>
          <w:sz w:val="22"/>
          <w:szCs w:val="22"/>
        </w:rPr>
        <w:t>key subjects</w:t>
      </w:r>
      <w:r w:rsidRPr="00DA228D">
        <w:rPr>
          <w:rFonts w:ascii="Arial" w:hAnsi="Arial" w:cs="Arial"/>
          <w:sz w:val="22"/>
          <w:szCs w:val="22"/>
        </w:rPr>
        <w:t xml:space="preserve"> </w:t>
      </w:r>
      <w:r w:rsidR="00555614" w:rsidRPr="00DA228D">
        <w:rPr>
          <w:rFonts w:ascii="Arial" w:hAnsi="Arial" w:cs="Arial"/>
          <w:sz w:val="22"/>
          <w:szCs w:val="22"/>
        </w:rPr>
        <w:t>–</w:t>
      </w:r>
      <w:r w:rsidRPr="00DA228D">
        <w:rPr>
          <w:rFonts w:ascii="Arial" w:hAnsi="Arial" w:cs="Arial"/>
          <w:sz w:val="22"/>
          <w:szCs w:val="22"/>
        </w:rPr>
        <w:t xml:space="preserve"> reading, mathematics, and science. Each study focuses on one </w:t>
      </w:r>
      <w:r w:rsidR="00A7118F" w:rsidRPr="00DA228D">
        <w:rPr>
          <w:rFonts w:ascii="Arial" w:hAnsi="Arial" w:cs="Arial"/>
          <w:sz w:val="22"/>
          <w:szCs w:val="22"/>
        </w:rPr>
        <w:t>subject</w:t>
      </w:r>
      <w:r w:rsidRPr="00DA228D">
        <w:rPr>
          <w:rFonts w:ascii="Arial" w:hAnsi="Arial" w:cs="Arial"/>
          <w:sz w:val="22"/>
          <w:szCs w:val="22"/>
        </w:rPr>
        <w:t xml:space="preserve"> (but the other two</w:t>
      </w:r>
      <w:r w:rsidR="00A7118F" w:rsidRPr="00DA228D">
        <w:rPr>
          <w:rFonts w:ascii="Arial" w:hAnsi="Arial" w:cs="Arial"/>
          <w:sz w:val="22"/>
          <w:szCs w:val="22"/>
        </w:rPr>
        <w:t xml:space="preserve"> subjects</w:t>
      </w:r>
      <w:r w:rsidRPr="00DA228D">
        <w:rPr>
          <w:rFonts w:ascii="Arial" w:hAnsi="Arial" w:cs="Arial"/>
          <w:sz w:val="22"/>
          <w:szCs w:val="22"/>
        </w:rPr>
        <w:t xml:space="preserve"> are also tested). In the </w:t>
      </w:r>
      <w:r w:rsidRPr="00DA228D">
        <w:rPr>
          <w:rFonts w:ascii="Arial" w:hAnsi="Arial" w:cs="Arial"/>
          <w:b/>
          <w:bCs/>
          <w:sz w:val="22"/>
          <w:szCs w:val="22"/>
        </w:rPr>
        <w:t>2009 PISA</w:t>
      </w:r>
      <w:r w:rsidRPr="00DA228D">
        <w:rPr>
          <w:rFonts w:ascii="Arial" w:hAnsi="Arial" w:cs="Arial"/>
          <w:sz w:val="22"/>
          <w:szCs w:val="22"/>
        </w:rPr>
        <w:t xml:space="preserve"> study, emphasis was placed on </w:t>
      </w:r>
      <w:r w:rsidRPr="00DA228D">
        <w:rPr>
          <w:rFonts w:ascii="Arial" w:hAnsi="Arial" w:cs="Arial"/>
          <w:b/>
          <w:bCs/>
          <w:sz w:val="22"/>
          <w:szCs w:val="22"/>
        </w:rPr>
        <w:t>reading literacy</w:t>
      </w:r>
      <w:r w:rsidRPr="00DA228D">
        <w:rPr>
          <w:rFonts w:ascii="Arial" w:hAnsi="Arial" w:cs="Arial"/>
          <w:sz w:val="22"/>
          <w:szCs w:val="22"/>
        </w:rPr>
        <w:t>.</w:t>
      </w:r>
    </w:p>
    <w:p w:rsidR="006B5462" w:rsidRPr="00DA228D" w:rsidRDefault="00010AD2" w:rsidP="00FD6678">
      <w:pPr>
        <w:numPr>
          <w:ilvl w:val="0"/>
          <w:numId w:val="2"/>
        </w:numPr>
        <w:autoSpaceDE w:val="0"/>
        <w:autoSpaceDN w:val="0"/>
        <w:bidi w:val="0"/>
        <w:adjustRightInd w:val="0"/>
        <w:spacing w:before="0" w:after="120" w:line="320" w:lineRule="exact"/>
        <w:ind w:left="538" w:right="0" w:hanging="357"/>
        <w:rPr>
          <w:rFonts w:ascii="Arial" w:hAnsi="Arial" w:cs="Arial"/>
          <w:sz w:val="22"/>
          <w:szCs w:val="22"/>
        </w:rPr>
      </w:pPr>
      <w:r w:rsidRPr="00DA228D">
        <w:rPr>
          <w:rFonts w:ascii="Arial" w:hAnsi="Arial" w:cs="Arial"/>
          <w:sz w:val="22"/>
          <w:szCs w:val="22"/>
        </w:rPr>
        <w:t>The PISA study defines literacy as follows: “The students’ ability to apply knowledge and skills which they acquired in primary fields, as well as to effectively analyze, draw conclusions, and explain the ways they approach problems, understand them, and solve them, in a variety of situations.”</w:t>
      </w:r>
    </w:p>
    <w:p w:rsidR="004C240F" w:rsidRPr="00DA228D" w:rsidRDefault="004C240F" w:rsidP="00FD6678">
      <w:pPr>
        <w:numPr>
          <w:ilvl w:val="2"/>
          <w:numId w:val="2"/>
        </w:numPr>
        <w:autoSpaceDE w:val="0"/>
        <w:autoSpaceDN w:val="0"/>
        <w:bidi w:val="0"/>
        <w:adjustRightInd w:val="0"/>
        <w:spacing w:before="0" w:after="120" w:line="320" w:lineRule="exact"/>
        <w:ind w:right="0"/>
        <w:rPr>
          <w:rFonts w:ascii="Arial" w:hAnsi="Arial" w:cs="Arial"/>
          <w:sz w:val="22"/>
          <w:szCs w:val="22"/>
          <w:rtl/>
        </w:rPr>
      </w:pPr>
      <w:r w:rsidRPr="00DA228D">
        <w:rPr>
          <w:rFonts w:ascii="Arial" w:hAnsi="Arial" w:cs="Arial"/>
          <w:b/>
          <w:bCs/>
          <w:sz w:val="22"/>
          <w:szCs w:val="22"/>
        </w:rPr>
        <w:t xml:space="preserve">Reading literacy </w:t>
      </w:r>
      <w:r w:rsidR="00555614" w:rsidRPr="00DA228D">
        <w:rPr>
          <w:rFonts w:ascii="Arial" w:hAnsi="Arial" w:cs="Arial"/>
          <w:sz w:val="22"/>
          <w:szCs w:val="22"/>
        </w:rPr>
        <w:t>–</w:t>
      </w:r>
      <w:r w:rsidRPr="00DA228D">
        <w:rPr>
          <w:rFonts w:ascii="Arial" w:hAnsi="Arial" w:cs="Arial"/>
          <w:sz w:val="22"/>
          <w:szCs w:val="22"/>
        </w:rPr>
        <w:t xml:space="preserve"> is the individual’s ability to understand, use, and critically evaluate a written text, so as to achieve the individual’s goals, develop his knowledge and potential, and contribute to society.</w:t>
      </w:r>
    </w:p>
    <w:p w:rsidR="004C240F" w:rsidRPr="00DA228D" w:rsidRDefault="004C240F" w:rsidP="00DA228D">
      <w:pPr>
        <w:numPr>
          <w:ilvl w:val="2"/>
          <w:numId w:val="2"/>
        </w:numPr>
        <w:autoSpaceDE w:val="0"/>
        <w:autoSpaceDN w:val="0"/>
        <w:bidi w:val="0"/>
        <w:adjustRightInd w:val="0"/>
        <w:spacing w:before="0" w:after="120" w:line="320" w:lineRule="exact"/>
        <w:ind w:right="0"/>
        <w:rPr>
          <w:rFonts w:ascii="Arial" w:hAnsi="Arial" w:cs="Arial"/>
          <w:sz w:val="22"/>
          <w:szCs w:val="22"/>
          <w:rtl/>
        </w:rPr>
      </w:pPr>
      <w:r w:rsidRPr="00DA228D">
        <w:rPr>
          <w:rFonts w:ascii="Arial" w:hAnsi="Arial" w:cs="Arial"/>
          <w:b/>
          <w:bCs/>
          <w:sz w:val="22"/>
          <w:szCs w:val="22"/>
        </w:rPr>
        <w:lastRenderedPageBreak/>
        <w:t>Mathematic</w:t>
      </w:r>
      <w:r w:rsidR="00DA228D">
        <w:rPr>
          <w:rFonts w:ascii="Arial" w:hAnsi="Arial" w:cs="Arial"/>
          <w:b/>
          <w:bCs/>
          <w:sz w:val="22"/>
          <w:szCs w:val="22"/>
        </w:rPr>
        <w:t>s</w:t>
      </w:r>
      <w:r w:rsidRPr="00DA228D">
        <w:rPr>
          <w:rFonts w:ascii="Arial" w:hAnsi="Arial" w:cs="Arial"/>
          <w:b/>
          <w:bCs/>
          <w:sz w:val="22"/>
          <w:szCs w:val="22"/>
        </w:rPr>
        <w:t xml:space="preserve"> literacy</w:t>
      </w:r>
      <w:r w:rsidRPr="00DA228D">
        <w:rPr>
          <w:rFonts w:ascii="Arial" w:hAnsi="Arial" w:cs="Arial"/>
          <w:sz w:val="22"/>
          <w:szCs w:val="22"/>
        </w:rPr>
        <w:t xml:space="preserve"> </w:t>
      </w:r>
      <w:r w:rsidR="00555614" w:rsidRPr="00DA228D">
        <w:rPr>
          <w:rFonts w:ascii="Arial" w:hAnsi="Arial" w:cs="Arial"/>
          <w:sz w:val="22"/>
          <w:szCs w:val="22"/>
        </w:rPr>
        <w:t>–</w:t>
      </w:r>
      <w:r w:rsidRPr="00DA228D">
        <w:rPr>
          <w:rFonts w:ascii="Arial" w:hAnsi="Arial" w:cs="Arial"/>
          <w:sz w:val="22"/>
          <w:szCs w:val="22"/>
        </w:rPr>
        <w:t xml:space="preserve"> is the ability to identify and understand the role of mathematics in the world, make well-based judgments, use mathematics, and </w:t>
      </w:r>
      <w:proofErr w:type="gramStart"/>
      <w:r w:rsidRPr="00DA228D">
        <w:rPr>
          <w:rFonts w:ascii="Arial" w:hAnsi="Arial" w:cs="Arial"/>
          <w:sz w:val="22"/>
          <w:szCs w:val="22"/>
        </w:rPr>
        <w:t>utilize</w:t>
      </w:r>
      <w:proofErr w:type="gramEnd"/>
      <w:r w:rsidRPr="00DA228D">
        <w:rPr>
          <w:rFonts w:ascii="Arial" w:hAnsi="Arial" w:cs="Arial"/>
          <w:sz w:val="22"/>
          <w:szCs w:val="22"/>
        </w:rPr>
        <w:t xml:space="preserve"> it in a manner which will meet the needs of the individual as a useful, interested, and critical citizen.</w:t>
      </w:r>
    </w:p>
    <w:p w:rsidR="004C240F" w:rsidRPr="00DA228D" w:rsidRDefault="004C240F" w:rsidP="00DA228D">
      <w:pPr>
        <w:numPr>
          <w:ilvl w:val="2"/>
          <w:numId w:val="2"/>
        </w:numPr>
        <w:autoSpaceDE w:val="0"/>
        <w:autoSpaceDN w:val="0"/>
        <w:bidi w:val="0"/>
        <w:adjustRightInd w:val="0"/>
        <w:spacing w:before="0" w:after="120" w:line="320" w:lineRule="exact"/>
        <w:ind w:right="0"/>
        <w:rPr>
          <w:rFonts w:ascii="Arial" w:hAnsi="Arial" w:cs="Arial"/>
          <w:sz w:val="22"/>
          <w:szCs w:val="22"/>
          <w:rtl/>
        </w:rPr>
      </w:pPr>
      <w:r w:rsidRPr="00DA228D">
        <w:rPr>
          <w:rFonts w:ascii="Arial" w:hAnsi="Arial" w:cs="Arial"/>
          <w:b/>
          <w:bCs/>
          <w:sz w:val="22"/>
          <w:szCs w:val="22"/>
        </w:rPr>
        <w:t>S</w:t>
      </w:r>
      <w:r w:rsidR="00DA228D">
        <w:rPr>
          <w:rFonts w:ascii="Arial" w:hAnsi="Arial" w:cs="Arial"/>
          <w:b/>
          <w:bCs/>
          <w:sz w:val="22"/>
          <w:szCs w:val="22"/>
        </w:rPr>
        <w:t>cience</w:t>
      </w:r>
      <w:r w:rsidRPr="00DA228D">
        <w:rPr>
          <w:rFonts w:ascii="Arial" w:hAnsi="Arial" w:cs="Arial"/>
          <w:b/>
          <w:bCs/>
          <w:sz w:val="22"/>
          <w:szCs w:val="22"/>
        </w:rPr>
        <w:t xml:space="preserve"> literacy</w:t>
      </w:r>
      <w:r w:rsidRPr="00DA228D">
        <w:rPr>
          <w:rFonts w:ascii="Arial" w:hAnsi="Arial" w:cs="Arial"/>
          <w:sz w:val="22"/>
          <w:szCs w:val="22"/>
        </w:rPr>
        <w:t xml:space="preserve"> </w:t>
      </w:r>
      <w:r w:rsidR="00555614" w:rsidRPr="00DA228D">
        <w:rPr>
          <w:rFonts w:ascii="Arial" w:hAnsi="Arial" w:cs="Arial"/>
          <w:sz w:val="22"/>
          <w:szCs w:val="22"/>
        </w:rPr>
        <w:t>–</w:t>
      </w:r>
      <w:r w:rsidRPr="00DA228D">
        <w:rPr>
          <w:rFonts w:ascii="Arial" w:hAnsi="Arial" w:cs="Arial"/>
          <w:sz w:val="22"/>
          <w:szCs w:val="22"/>
        </w:rPr>
        <w:t xml:space="preserve"> is the ability to identify questions, acquire new knowledge, explain </w:t>
      </w:r>
      <w:r w:rsidR="00DA228D">
        <w:rPr>
          <w:rFonts w:ascii="Arial" w:hAnsi="Arial" w:cs="Arial"/>
          <w:sz w:val="22"/>
          <w:szCs w:val="22"/>
        </w:rPr>
        <w:t>science</w:t>
      </w:r>
      <w:r w:rsidRPr="00DA228D">
        <w:rPr>
          <w:rFonts w:ascii="Arial" w:hAnsi="Arial" w:cs="Arial"/>
          <w:sz w:val="22"/>
          <w:szCs w:val="22"/>
        </w:rPr>
        <w:t xml:space="preserve"> phenomena, and draw evidence-based conclusions regarding topics connected with science; to understand what makes science unique, be aware of the manner in which science and technology shape our environment; and aspire to be involved with scien</w:t>
      </w:r>
      <w:r w:rsidR="00DA228D">
        <w:rPr>
          <w:rFonts w:ascii="Arial" w:hAnsi="Arial" w:cs="Arial"/>
          <w:sz w:val="22"/>
          <w:szCs w:val="22"/>
        </w:rPr>
        <w:t>ce</w:t>
      </w:r>
      <w:r w:rsidRPr="00DA228D">
        <w:rPr>
          <w:rFonts w:ascii="Arial" w:hAnsi="Arial" w:cs="Arial"/>
          <w:sz w:val="22"/>
          <w:szCs w:val="22"/>
        </w:rPr>
        <w:t xml:space="preserve"> topics in a critical manner.</w:t>
      </w:r>
    </w:p>
    <w:p w:rsidR="00EF74DA" w:rsidRPr="00DA228D" w:rsidRDefault="009D46DE" w:rsidP="006C2BEC">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In the PISA </w:t>
      </w:r>
      <w:r w:rsidR="006C2BEC" w:rsidRPr="00DA228D">
        <w:rPr>
          <w:rFonts w:ascii="Arial" w:hAnsi="Arial" w:cs="Arial"/>
          <w:sz w:val="22"/>
          <w:szCs w:val="22"/>
        </w:rPr>
        <w:t xml:space="preserve">2009 </w:t>
      </w:r>
      <w:r w:rsidRPr="00DA228D">
        <w:rPr>
          <w:rFonts w:ascii="Arial" w:hAnsi="Arial" w:cs="Arial"/>
          <w:sz w:val="22"/>
          <w:szCs w:val="22"/>
        </w:rPr>
        <w:t>study, a</w:t>
      </w:r>
      <w:r w:rsidR="00010AD2" w:rsidRPr="00DA228D">
        <w:rPr>
          <w:rFonts w:ascii="Arial" w:hAnsi="Arial" w:cs="Arial"/>
          <w:sz w:val="22"/>
          <w:szCs w:val="22"/>
        </w:rPr>
        <w:t>round 470,000 fifteen year old students, from 64 countries around the world and from one city (Shanghai, China), participated in the study.</w:t>
      </w:r>
    </w:p>
    <w:p w:rsidR="007F44A0" w:rsidRPr="00DA228D" w:rsidRDefault="007F44A0" w:rsidP="0075523F">
      <w:pPr>
        <w:pStyle w:val="ae"/>
        <w:bidi w:val="0"/>
        <w:spacing w:before="240" w:line="320" w:lineRule="exact"/>
        <w:ind w:left="0"/>
        <w:jc w:val="both"/>
        <w:rPr>
          <w:rFonts w:ascii="Arial" w:hAnsi="Arial" w:cs="Arial"/>
          <w:b/>
          <w:bCs/>
          <w:color w:val="008000"/>
          <w:sz w:val="28"/>
          <w:szCs w:val="28"/>
        </w:rPr>
      </w:pPr>
      <w:r w:rsidRPr="00DA228D">
        <w:rPr>
          <w:rFonts w:ascii="Arial" w:hAnsi="Arial" w:cs="Arial"/>
          <w:b/>
          <w:bCs/>
          <w:color w:val="008000"/>
          <w:sz w:val="28"/>
          <w:szCs w:val="28"/>
        </w:rPr>
        <w:t xml:space="preserve">The PISA </w:t>
      </w:r>
      <w:r w:rsidR="0075523F" w:rsidRPr="00DA228D">
        <w:rPr>
          <w:rFonts w:ascii="Arial" w:hAnsi="Arial" w:cs="Arial"/>
          <w:b/>
          <w:bCs/>
          <w:color w:val="008000"/>
          <w:sz w:val="28"/>
          <w:szCs w:val="28"/>
        </w:rPr>
        <w:t xml:space="preserve">2009 </w:t>
      </w:r>
      <w:r w:rsidRPr="00DA228D">
        <w:rPr>
          <w:rFonts w:ascii="Arial" w:hAnsi="Arial" w:cs="Arial"/>
          <w:b/>
          <w:bCs/>
          <w:color w:val="008000"/>
          <w:sz w:val="28"/>
          <w:szCs w:val="28"/>
        </w:rPr>
        <w:t>study in Israel</w:t>
      </w:r>
    </w:p>
    <w:p w:rsidR="00FC0D11" w:rsidRPr="00DA228D" w:rsidRDefault="00827FA3" w:rsidP="00827FA3">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The </w:t>
      </w:r>
      <w:r w:rsidR="007D4E94" w:rsidRPr="00DA228D">
        <w:rPr>
          <w:rFonts w:ascii="Arial" w:hAnsi="Arial" w:cs="Arial"/>
          <w:sz w:val="22"/>
          <w:szCs w:val="22"/>
        </w:rPr>
        <w:t xml:space="preserve">study was carried out during March 2009. </w:t>
      </w:r>
    </w:p>
    <w:p w:rsidR="00B708E3" w:rsidRPr="00DA228D" w:rsidRDefault="00B708E3" w:rsidP="00D534C5">
      <w:pPr>
        <w:numPr>
          <w:ilvl w:val="0"/>
          <w:numId w:val="2"/>
        </w:numPr>
        <w:autoSpaceDE w:val="0"/>
        <w:autoSpaceDN w:val="0"/>
        <w:bidi w:val="0"/>
        <w:adjustRightInd w:val="0"/>
        <w:spacing w:before="0" w:after="120" w:line="320" w:lineRule="exact"/>
        <w:rPr>
          <w:rFonts w:ascii="Arial" w:hAnsi="Arial" w:cs="Arial"/>
          <w:sz w:val="22"/>
          <w:szCs w:val="22"/>
        </w:rPr>
      </w:pPr>
      <w:r w:rsidRPr="00DA228D">
        <w:rPr>
          <w:rFonts w:ascii="Arial" w:hAnsi="Arial" w:cs="Arial"/>
          <w:sz w:val="22"/>
          <w:szCs w:val="22"/>
        </w:rPr>
        <w:t xml:space="preserve">The students and schools were sampled in a manner </w:t>
      </w:r>
      <w:r w:rsidR="00D534C5" w:rsidRPr="00DA228D">
        <w:rPr>
          <w:rFonts w:ascii="Arial" w:hAnsi="Arial" w:cs="Arial"/>
          <w:sz w:val="22"/>
          <w:szCs w:val="22"/>
        </w:rPr>
        <w:t>which was</w:t>
      </w:r>
      <w:r w:rsidR="00827FA3" w:rsidRPr="00DA228D">
        <w:rPr>
          <w:rFonts w:ascii="Arial" w:hAnsi="Arial" w:cs="Arial"/>
          <w:sz w:val="22"/>
          <w:szCs w:val="22"/>
        </w:rPr>
        <w:t xml:space="preserve"> representative of the </w:t>
      </w:r>
      <w:r w:rsidR="00D534C5" w:rsidRPr="00DA228D">
        <w:rPr>
          <w:rFonts w:ascii="Arial" w:hAnsi="Arial" w:cs="Arial"/>
          <w:sz w:val="22"/>
          <w:szCs w:val="22"/>
        </w:rPr>
        <w:t>student population and a range of</w:t>
      </w:r>
      <w:r w:rsidRPr="00DA228D">
        <w:rPr>
          <w:rFonts w:ascii="Arial" w:hAnsi="Arial" w:cs="Arial"/>
          <w:sz w:val="22"/>
          <w:szCs w:val="22"/>
        </w:rPr>
        <w:t xml:space="preserve"> school </w:t>
      </w:r>
      <w:r w:rsidR="007E2C75" w:rsidRPr="00DA228D">
        <w:rPr>
          <w:rFonts w:ascii="Arial" w:hAnsi="Arial" w:cs="Arial"/>
          <w:sz w:val="22"/>
          <w:szCs w:val="22"/>
        </w:rPr>
        <w:t xml:space="preserve">types </w:t>
      </w:r>
      <w:r w:rsidRPr="00DA228D">
        <w:rPr>
          <w:rFonts w:ascii="Arial" w:hAnsi="Arial" w:cs="Arial"/>
          <w:sz w:val="22"/>
          <w:szCs w:val="22"/>
        </w:rPr>
        <w:t xml:space="preserve">(including three- and six-year schools, schools which are part of various networks, </w:t>
      </w:r>
      <w:r w:rsidR="00D534C5" w:rsidRPr="00DA228D">
        <w:rPr>
          <w:rFonts w:ascii="Arial" w:hAnsi="Arial" w:cs="Arial"/>
          <w:sz w:val="22"/>
          <w:szCs w:val="22"/>
        </w:rPr>
        <w:t>apprenticeship schools</w:t>
      </w:r>
      <w:r w:rsidRPr="00DA228D">
        <w:rPr>
          <w:rFonts w:ascii="Arial" w:hAnsi="Arial" w:cs="Arial"/>
          <w:sz w:val="22"/>
          <w:szCs w:val="22"/>
        </w:rPr>
        <w:t>, etc.).</w:t>
      </w:r>
    </w:p>
    <w:p w:rsidR="00010AD2" w:rsidRPr="00DA228D" w:rsidRDefault="00257344" w:rsidP="00D534C5">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A sample of </w:t>
      </w:r>
      <w:r w:rsidR="00FC0D11" w:rsidRPr="00DA228D">
        <w:rPr>
          <w:rFonts w:ascii="Arial" w:hAnsi="Arial" w:cs="Arial"/>
          <w:sz w:val="22"/>
          <w:szCs w:val="22"/>
        </w:rPr>
        <w:t>5,761</w:t>
      </w:r>
      <w:r w:rsidR="00FC0D11" w:rsidRPr="00DA228D">
        <w:rPr>
          <w:rFonts w:ascii="Arial" w:hAnsi="Arial" w:cs="Arial"/>
          <w:sz w:val="22"/>
          <w:szCs w:val="22"/>
          <w:rtl/>
        </w:rPr>
        <w:t>‏</w:t>
      </w:r>
      <w:r w:rsidR="00FC0D11" w:rsidRPr="00DA228D">
        <w:rPr>
          <w:rFonts w:ascii="Arial" w:hAnsi="Arial" w:cs="Arial"/>
          <w:sz w:val="22"/>
          <w:szCs w:val="22"/>
        </w:rPr>
        <w:t xml:space="preserve"> students aged 15 (</w:t>
      </w:r>
      <w:r w:rsidR="00FC0D11" w:rsidRPr="00DA228D">
        <w:rPr>
          <w:rFonts w:ascii="Arial" w:hAnsi="Arial" w:cs="Arial"/>
          <w:b/>
          <w:bCs/>
          <w:sz w:val="22"/>
          <w:szCs w:val="22"/>
        </w:rPr>
        <w:t>born in 1993</w:t>
      </w:r>
      <w:r w:rsidR="00FC0D11" w:rsidRPr="00DA228D">
        <w:rPr>
          <w:rFonts w:ascii="Arial" w:hAnsi="Arial" w:cs="Arial"/>
          <w:sz w:val="22"/>
          <w:szCs w:val="22"/>
        </w:rPr>
        <w:t xml:space="preserve">) from 176 schools participated in the study (approximately 40 students from each school). </w:t>
      </w:r>
      <w:r w:rsidRPr="00DA228D">
        <w:rPr>
          <w:rFonts w:ascii="Arial" w:hAnsi="Arial" w:cs="Arial"/>
          <w:sz w:val="22"/>
          <w:szCs w:val="22"/>
        </w:rPr>
        <w:t xml:space="preserve">This sample </w:t>
      </w:r>
      <w:r w:rsidR="00D534C5" w:rsidRPr="00DA228D">
        <w:rPr>
          <w:rFonts w:ascii="Arial" w:hAnsi="Arial" w:cs="Arial"/>
          <w:sz w:val="22"/>
          <w:szCs w:val="22"/>
        </w:rPr>
        <w:t xml:space="preserve">consisted primarily </w:t>
      </w:r>
      <w:r w:rsidR="006C2BEC" w:rsidRPr="00DA228D">
        <w:rPr>
          <w:rFonts w:ascii="Arial" w:hAnsi="Arial" w:cs="Arial"/>
          <w:sz w:val="22"/>
          <w:szCs w:val="22"/>
        </w:rPr>
        <w:t xml:space="preserve">of </w:t>
      </w:r>
      <w:r w:rsidR="00FC0D11" w:rsidRPr="00DA228D">
        <w:rPr>
          <w:rFonts w:ascii="Arial" w:hAnsi="Arial" w:cs="Arial"/>
          <w:sz w:val="22"/>
          <w:szCs w:val="22"/>
        </w:rPr>
        <w:t>tenth grade students</w:t>
      </w:r>
      <w:r w:rsidR="007E2C75" w:rsidRPr="00DA228D">
        <w:rPr>
          <w:rFonts w:ascii="Arial" w:hAnsi="Arial" w:cs="Arial"/>
          <w:sz w:val="22"/>
          <w:szCs w:val="22"/>
        </w:rPr>
        <w:t xml:space="preserve"> (81%)</w:t>
      </w:r>
      <w:r w:rsidR="00FC0D11" w:rsidRPr="00DA228D">
        <w:rPr>
          <w:rFonts w:ascii="Arial" w:hAnsi="Arial" w:cs="Arial"/>
          <w:sz w:val="22"/>
          <w:szCs w:val="22"/>
        </w:rPr>
        <w:t xml:space="preserve">, partially </w:t>
      </w:r>
      <w:r w:rsidR="006C2BEC" w:rsidRPr="00DA228D">
        <w:rPr>
          <w:rFonts w:ascii="Arial" w:hAnsi="Arial" w:cs="Arial"/>
          <w:sz w:val="22"/>
          <w:szCs w:val="22"/>
        </w:rPr>
        <w:t xml:space="preserve">of </w:t>
      </w:r>
      <w:r w:rsidR="00FC0D11" w:rsidRPr="00DA228D">
        <w:rPr>
          <w:rFonts w:ascii="Arial" w:hAnsi="Arial" w:cs="Arial"/>
          <w:sz w:val="22"/>
          <w:szCs w:val="22"/>
        </w:rPr>
        <w:t>ninth grade students</w:t>
      </w:r>
      <w:r w:rsidR="007E2C75" w:rsidRPr="00DA228D">
        <w:rPr>
          <w:rFonts w:ascii="Arial" w:hAnsi="Arial" w:cs="Arial"/>
          <w:sz w:val="22"/>
          <w:szCs w:val="22"/>
        </w:rPr>
        <w:t xml:space="preserve"> (18%)</w:t>
      </w:r>
      <w:r w:rsidR="00FC0D11" w:rsidRPr="00DA228D">
        <w:rPr>
          <w:rFonts w:ascii="Arial" w:hAnsi="Arial" w:cs="Arial"/>
          <w:sz w:val="22"/>
          <w:szCs w:val="22"/>
        </w:rPr>
        <w:t xml:space="preserve">, and a minority </w:t>
      </w:r>
      <w:r w:rsidR="007E2C75" w:rsidRPr="00DA228D">
        <w:rPr>
          <w:rFonts w:ascii="Arial" w:hAnsi="Arial" w:cs="Arial"/>
          <w:sz w:val="22"/>
          <w:szCs w:val="22"/>
        </w:rPr>
        <w:t xml:space="preserve">of </w:t>
      </w:r>
      <w:r w:rsidR="00FC0D11" w:rsidRPr="00DA228D">
        <w:rPr>
          <w:rFonts w:ascii="Arial" w:hAnsi="Arial" w:cs="Arial"/>
          <w:sz w:val="22"/>
          <w:szCs w:val="22"/>
        </w:rPr>
        <w:t xml:space="preserve">students </w:t>
      </w:r>
      <w:r w:rsidR="007E2C75" w:rsidRPr="00DA228D">
        <w:rPr>
          <w:rFonts w:ascii="Arial" w:hAnsi="Arial" w:cs="Arial"/>
          <w:sz w:val="22"/>
          <w:szCs w:val="22"/>
        </w:rPr>
        <w:t xml:space="preserve">from </w:t>
      </w:r>
      <w:r w:rsidR="00FC0D11" w:rsidRPr="00DA228D">
        <w:rPr>
          <w:rFonts w:ascii="Arial" w:hAnsi="Arial" w:cs="Arial"/>
          <w:sz w:val="22"/>
          <w:szCs w:val="22"/>
        </w:rPr>
        <w:t>other grades</w:t>
      </w:r>
      <w:r w:rsidR="007E2C75" w:rsidRPr="00DA228D">
        <w:rPr>
          <w:rFonts w:ascii="Arial" w:hAnsi="Arial" w:cs="Arial"/>
          <w:sz w:val="22"/>
          <w:szCs w:val="22"/>
        </w:rPr>
        <w:t xml:space="preserve"> (1%)</w:t>
      </w:r>
      <w:r w:rsidR="00FC0D11" w:rsidRPr="00DA228D">
        <w:rPr>
          <w:rFonts w:ascii="Arial" w:hAnsi="Arial" w:cs="Arial"/>
          <w:sz w:val="22"/>
          <w:szCs w:val="22"/>
        </w:rPr>
        <w:t>.</w:t>
      </w:r>
    </w:p>
    <w:p w:rsidR="006514FD" w:rsidRPr="00DA228D" w:rsidRDefault="00561085" w:rsidP="00561085">
      <w:pPr>
        <w:numPr>
          <w:ilvl w:val="0"/>
          <w:numId w:val="2"/>
        </w:numPr>
        <w:autoSpaceDE w:val="0"/>
        <w:autoSpaceDN w:val="0"/>
        <w:bidi w:val="0"/>
        <w:adjustRightInd w:val="0"/>
        <w:spacing w:before="0" w:after="120" w:line="320" w:lineRule="exact"/>
        <w:ind w:right="0"/>
        <w:rPr>
          <w:rFonts w:ascii="Arial" w:hAnsi="Arial" w:cs="Arial"/>
          <w:sz w:val="22"/>
          <w:szCs w:val="22"/>
          <w:rtl/>
        </w:rPr>
      </w:pPr>
      <w:r w:rsidRPr="00DA228D">
        <w:rPr>
          <w:rFonts w:ascii="Arial" w:hAnsi="Arial" w:cs="Arial"/>
          <w:b/>
          <w:bCs/>
          <w:sz w:val="22"/>
          <w:szCs w:val="22"/>
        </w:rPr>
        <w:t xml:space="preserve">From the total sample, </w:t>
      </w:r>
      <w:r w:rsidR="003449E0" w:rsidRPr="00DA228D">
        <w:rPr>
          <w:rFonts w:ascii="Arial" w:hAnsi="Arial" w:cs="Arial"/>
          <w:b/>
          <w:bCs/>
          <w:sz w:val="22"/>
          <w:szCs w:val="22"/>
        </w:rPr>
        <w:t>95% of schools and 89% of students participated,</w:t>
      </w:r>
      <w:r w:rsidR="003449E0" w:rsidRPr="00DA228D">
        <w:rPr>
          <w:rFonts w:ascii="Arial" w:hAnsi="Arial" w:cs="Arial"/>
          <w:sz w:val="22"/>
          <w:szCs w:val="22"/>
        </w:rPr>
        <w:t xml:space="preserve"> (with the exception of boys’ schools </w:t>
      </w:r>
      <w:r w:rsidRPr="00DA228D">
        <w:rPr>
          <w:rFonts w:ascii="Arial" w:hAnsi="Arial" w:cs="Arial"/>
          <w:sz w:val="22"/>
          <w:szCs w:val="22"/>
        </w:rPr>
        <w:t>in</w:t>
      </w:r>
      <w:r w:rsidR="0018127C" w:rsidRPr="00DA228D">
        <w:rPr>
          <w:rFonts w:ascii="Arial" w:hAnsi="Arial" w:cs="Arial"/>
          <w:sz w:val="22"/>
          <w:szCs w:val="22"/>
        </w:rPr>
        <w:t xml:space="preserve"> </w:t>
      </w:r>
      <w:r w:rsidRPr="00DA228D">
        <w:rPr>
          <w:rFonts w:ascii="Arial" w:hAnsi="Arial" w:cs="Arial"/>
          <w:sz w:val="22"/>
          <w:szCs w:val="22"/>
        </w:rPr>
        <w:t>Ultra</w:t>
      </w:r>
      <w:r w:rsidR="0018127C" w:rsidRPr="00DA228D">
        <w:rPr>
          <w:rFonts w:ascii="Arial" w:hAnsi="Arial" w:cs="Arial"/>
          <w:sz w:val="22"/>
          <w:szCs w:val="22"/>
        </w:rPr>
        <w:t xml:space="preserve">-Orthodox </w:t>
      </w:r>
      <w:r w:rsidRPr="00DA228D">
        <w:rPr>
          <w:rFonts w:ascii="Arial" w:hAnsi="Arial" w:cs="Arial"/>
          <w:sz w:val="22"/>
          <w:szCs w:val="22"/>
        </w:rPr>
        <w:t>sector</w:t>
      </w:r>
      <w:r w:rsidR="0018127C" w:rsidRPr="00DA228D">
        <w:rPr>
          <w:rFonts w:ascii="Arial" w:hAnsi="Arial" w:cs="Arial"/>
          <w:sz w:val="22"/>
          <w:szCs w:val="22"/>
        </w:rPr>
        <w:t>; t</w:t>
      </w:r>
      <w:r w:rsidR="003449E0" w:rsidRPr="00DA228D">
        <w:rPr>
          <w:rFonts w:ascii="Arial" w:hAnsi="Arial" w:cs="Arial"/>
          <w:sz w:val="22"/>
          <w:szCs w:val="22"/>
        </w:rPr>
        <w:t>hese schools generally refused to participate in the study).</w:t>
      </w:r>
    </w:p>
    <w:p w:rsidR="005E6175" w:rsidRPr="00DA228D" w:rsidRDefault="005E6175" w:rsidP="00341A27">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The study used </w:t>
      </w:r>
      <w:r w:rsidRPr="00DA228D">
        <w:rPr>
          <w:rFonts w:ascii="Arial" w:hAnsi="Arial" w:cs="Arial"/>
          <w:b/>
          <w:bCs/>
          <w:sz w:val="22"/>
          <w:szCs w:val="22"/>
        </w:rPr>
        <w:t>achievement tests</w:t>
      </w:r>
      <w:r w:rsidRPr="00DA228D">
        <w:rPr>
          <w:rFonts w:ascii="Arial" w:hAnsi="Arial" w:cs="Arial"/>
          <w:sz w:val="22"/>
          <w:szCs w:val="22"/>
        </w:rPr>
        <w:t xml:space="preserve"> in the three </w:t>
      </w:r>
      <w:r w:rsidR="00B42A4E" w:rsidRPr="00DA228D">
        <w:rPr>
          <w:rFonts w:ascii="Arial" w:hAnsi="Arial" w:cs="Arial"/>
          <w:sz w:val="22"/>
          <w:szCs w:val="22"/>
        </w:rPr>
        <w:t>subjects</w:t>
      </w:r>
      <w:r w:rsidRPr="00DA228D">
        <w:rPr>
          <w:rFonts w:ascii="Arial" w:hAnsi="Arial" w:cs="Arial"/>
          <w:sz w:val="22"/>
          <w:szCs w:val="22"/>
        </w:rPr>
        <w:t xml:space="preserve">, and </w:t>
      </w:r>
      <w:r w:rsidRPr="00DA228D">
        <w:rPr>
          <w:rFonts w:ascii="Arial" w:hAnsi="Arial" w:cs="Arial"/>
          <w:b/>
          <w:bCs/>
          <w:sz w:val="22"/>
          <w:szCs w:val="22"/>
        </w:rPr>
        <w:t>questionnaires</w:t>
      </w:r>
      <w:r w:rsidRPr="00DA228D">
        <w:rPr>
          <w:rFonts w:ascii="Arial" w:hAnsi="Arial" w:cs="Arial"/>
          <w:sz w:val="22"/>
          <w:szCs w:val="22"/>
        </w:rPr>
        <w:t xml:space="preserve"> about the </w:t>
      </w:r>
      <w:r w:rsidRPr="00DA228D">
        <w:rPr>
          <w:rFonts w:ascii="Arial" w:hAnsi="Arial" w:cs="Arial"/>
          <w:b/>
          <w:bCs/>
          <w:sz w:val="22"/>
          <w:szCs w:val="22"/>
        </w:rPr>
        <w:t>learning environment</w:t>
      </w:r>
      <w:r w:rsidRPr="00DA228D">
        <w:rPr>
          <w:rFonts w:ascii="Arial" w:hAnsi="Arial" w:cs="Arial"/>
          <w:sz w:val="22"/>
          <w:szCs w:val="22"/>
        </w:rPr>
        <w:t xml:space="preserve">. The students </w:t>
      </w:r>
      <w:r w:rsidR="00341A27" w:rsidRPr="00DA228D">
        <w:rPr>
          <w:rFonts w:ascii="Arial" w:hAnsi="Arial" w:cs="Arial"/>
          <w:sz w:val="22"/>
          <w:szCs w:val="22"/>
        </w:rPr>
        <w:t xml:space="preserve">took the </w:t>
      </w:r>
      <w:r w:rsidRPr="00DA228D">
        <w:rPr>
          <w:rFonts w:ascii="Arial" w:hAnsi="Arial" w:cs="Arial"/>
          <w:sz w:val="22"/>
          <w:szCs w:val="22"/>
        </w:rPr>
        <w:t xml:space="preserve">tests (120 minutes) and </w:t>
      </w:r>
      <w:r w:rsidR="00341A27" w:rsidRPr="00DA228D">
        <w:rPr>
          <w:rFonts w:ascii="Arial" w:hAnsi="Arial" w:cs="Arial"/>
          <w:sz w:val="22"/>
          <w:szCs w:val="22"/>
        </w:rPr>
        <w:t xml:space="preserve">responded to </w:t>
      </w:r>
      <w:r w:rsidRPr="00DA228D">
        <w:rPr>
          <w:rFonts w:ascii="Arial" w:hAnsi="Arial" w:cs="Arial"/>
          <w:sz w:val="22"/>
          <w:szCs w:val="22"/>
        </w:rPr>
        <w:t>the questionnaire (30 minutes). The principals in the same schools completed the questionnaire which examined various topics related to organizational and pedagogic aspects of their schools.</w:t>
      </w:r>
    </w:p>
    <w:p w:rsidR="005E6175" w:rsidRPr="00DA228D" w:rsidRDefault="005E6175" w:rsidP="00FD6678">
      <w:pPr>
        <w:pStyle w:val="ae"/>
        <w:bidi w:val="0"/>
        <w:spacing w:before="240" w:line="320" w:lineRule="exact"/>
        <w:ind w:left="180"/>
        <w:jc w:val="both"/>
        <w:rPr>
          <w:rFonts w:ascii="Arial" w:hAnsi="Arial" w:cs="Arial"/>
          <w:sz w:val="28"/>
          <w:szCs w:val="28"/>
        </w:rPr>
      </w:pPr>
      <w:r w:rsidRPr="00DA228D">
        <w:rPr>
          <w:rFonts w:ascii="Arial" w:hAnsi="Arial" w:cs="Arial"/>
          <w:b/>
          <w:bCs/>
          <w:color w:val="008000"/>
          <w:sz w:val="28"/>
          <w:szCs w:val="28"/>
        </w:rPr>
        <w:t>How the findings are reported</w:t>
      </w:r>
    </w:p>
    <w:p w:rsidR="005E6175" w:rsidRPr="00DA228D" w:rsidRDefault="005E6175" w:rsidP="00FD6678">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The </w:t>
      </w:r>
      <w:r w:rsidRPr="00DA228D">
        <w:rPr>
          <w:rFonts w:ascii="Arial" w:hAnsi="Arial" w:cs="Arial"/>
          <w:b/>
          <w:bCs/>
          <w:sz w:val="22"/>
          <w:szCs w:val="22"/>
        </w:rPr>
        <w:t>PISA scale</w:t>
      </w:r>
      <w:r w:rsidRPr="00DA228D">
        <w:rPr>
          <w:rFonts w:ascii="Arial" w:hAnsi="Arial" w:cs="Arial"/>
          <w:sz w:val="22"/>
          <w:szCs w:val="22"/>
        </w:rPr>
        <w:t xml:space="preserve"> was determined in 2000, so that the </w:t>
      </w:r>
      <w:r w:rsidRPr="00DA228D">
        <w:rPr>
          <w:rFonts w:ascii="Arial" w:hAnsi="Arial" w:cs="Arial"/>
          <w:b/>
          <w:bCs/>
          <w:sz w:val="22"/>
          <w:szCs w:val="22"/>
        </w:rPr>
        <w:t>mean</w:t>
      </w:r>
      <w:r w:rsidRPr="00DA228D">
        <w:rPr>
          <w:rFonts w:ascii="Arial" w:hAnsi="Arial" w:cs="Arial"/>
          <w:sz w:val="22"/>
          <w:szCs w:val="22"/>
        </w:rPr>
        <w:t xml:space="preserve"> for the OECD countries would be </w:t>
      </w:r>
      <w:r w:rsidRPr="00DA228D">
        <w:rPr>
          <w:rFonts w:ascii="Arial" w:hAnsi="Arial" w:cs="Arial"/>
          <w:b/>
          <w:bCs/>
          <w:sz w:val="22"/>
          <w:szCs w:val="22"/>
        </w:rPr>
        <w:t>500</w:t>
      </w:r>
      <w:r w:rsidRPr="00DA228D">
        <w:rPr>
          <w:rFonts w:ascii="Arial" w:hAnsi="Arial" w:cs="Arial"/>
          <w:sz w:val="22"/>
          <w:szCs w:val="22"/>
        </w:rPr>
        <w:t xml:space="preserve">, and the </w:t>
      </w:r>
      <w:r w:rsidRPr="00DA228D">
        <w:rPr>
          <w:rFonts w:ascii="Arial" w:hAnsi="Arial" w:cs="Arial"/>
          <w:b/>
          <w:bCs/>
          <w:sz w:val="22"/>
          <w:szCs w:val="22"/>
        </w:rPr>
        <w:t>standard deviation</w:t>
      </w:r>
      <w:r w:rsidRPr="00DA228D">
        <w:rPr>
          <w:rFonts w:ascii="Arial" w:hAnsi="Arial" w:cs="Arial"/>
          <w:sz w:val="22"/>
          <w:szCs w:val="22"/>
        </w:rPr>
        <w:t xml:space="preserve"> would be </w:t>
      </w:r>
      <w:r w:rsidRPr="00DA228D">
        <w:rPr>
          <w:rFonts w:ascii="Arial" w:hAnsi="Arial" w:cs="Arial"/>
          <w:b/>
          <w:bCs/>
          <w:sz w:val="22"/>
          <w:szCs w:val="22"/>
        </w:rPr>
        <w:t>100</w:t>
      </w:r>
      <w:r w:rsidRPr="00DA228D">
        <w:rPr>
          <w:rFonts w:ascii="Arial" w:hAnsi="Arial" w:cs="Arial"/>
          <w:sz w:val="22"/>
          <w:szCs w:val="22"/>
        </w:rPr>
        <w:t>. The scores usually range between 200 and 800.</w:t>
      </w:r>
    </w:p>
    <w:p w:rsidR="005E6175" w:rsidRPr="00DA228D" w:rsidRDefault="005E6175" w:rsidP="00DA228D">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The scores in reading l</w:t>
      </w:r>
      <w:r w:rsidR="003D46F3" w:rsidRPr="00DA228D">
        <w:rPr>
          <w:rFonts w:ascii="Arial" w:hAnsi="Arial" w:cs="Arial"/>
          <w:sz w:val="22"/>
          <w:szCs w:val="22"/>
        </w:rPr>
        <w:t>i</w:t>
      </w:r>
      <w:r w:rsidRPr="00DA228D">
        <w:rPr>
          <w:rFonts w:ascii="Arial" w:hAnsi="Arial" w:cs="Arial"/>
          <w:sz w:val="22"/>
          <w:szCs w:val="22"/>
        </w:rPr>
        <w:t>teracy, mathematic</w:t>
      </w:r>
      <w:r w:rsidR="00DA228D">
        <w:rPr>
          <w:rFonts w:ascii="Arial" w:hAnsi="Arial" w:cs="Arial"/>
          <w:sz w:val="22"/>
          <w:szCs w:val="22"/>
        </w:rPr>
        <w:t>s</w:t>
      </w:r>
      <w:r w:rsidRPr="00DA228D">
        <w:rPr>
          <w:rFonts w:ascii="Arial" w:hAnsi="Arial" w:cs="Arial"/>
          <w:sz w:val="22"/>
          <w:szCs w:val="22"/>
        </w:rPr>
        <w:t xml:space="preserve"> literacy, and </w:t>
      </w:r>
      <w:r w:rsidR="00DA228D">
        <w:rPr>
          <w:rFonts w:ascii="Arial" w:hAnsi="Arial" w:cs="Arial"/>
          <w:sz w:val="22"/>
          <w:szCs w:val="22"/>
        </w:rPr>
        <w:t>science</w:t>
      </w:r>
      <w:r w:rsidRPr="00DA228D">
        <w:rPr>
          <w:rFonts w:ascii="Arial" w:hAnsi="Arial" w:cs="Arial"/>
          <w:sz w:val="22"/>
          <w:szCs w:val="22"/>
        </w:rPr>
        <w:t xml:space="preserve"> literacy are each reported separately on such a scale.</w:t>
      </w:r>
    </w:p>
    <w:p w:rsidR="005E6175" w:rsidRPr="00DA228D" w:rsidRDefault="005E6175" w:rsidP="00351983">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The scores in each three-year cycle of PISA are calibrated and translated into this scale. In this way, it is possible to examine long-term trends.</w:t>
      </w:r>
    </w:p>
    <w:p w:rsidR="005E6175" w:rsidRPr="00DA228D" w:rsidRDefault="005E6175" w:rsidP="004141EB">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The scores for reading literacy in 2009 are reported as a general score, and also according to secondary </w:t>
      </w:r>
      <w:r w:rsidR="004141EB" w:rsidRPr="00DA228D">
        <w:rPr>
          <w:rFonts w:ascii="Arial" w:hAnsi="Arial" w:cs="Arial"/>
          <w:sz w:val="22"/>
          <w:szCs w:val="22"/>
        </w:rPr>
        <w:t>subscales</w:t>
      </w:r>
      <w:r w:rsidRPr="00DA228D">
        <w:rPr>
          <w:rFonts w:ascii="Arial" w:hAnsi="Arial" w:cs="Arial"/>
          <w:sz w:val="22"/>
          <w:szCs w:val="22"/>
        </w:rPr>
        <w:t xml:space="preserve">: according to reading processes (information </w:t>
      </w:r>
      <w:r w:rsidRPr="00DA228D">
        <w:rPr>
          <w:rFonts w:ascii="Arial" w:hAnsi="Arial" w:cs="Arial"/>
          <w:sz w:val="22"/>
          <w:szCs w:val="22"/>
        </w:rPr>
        <w:lastRenderedPageBreak/>
        <w:t>retrieval, providing interpretation, and evaluation and criticism) and according to types of text (continuous or non-continuous).</w:t>
      </w:r>
    </w:p>
    <w:p w:rsidR="005E6175" w:rsidRPr="00DA228D" w:rsidRDefault="005E6175" w:rsidP="00DA228D">
      <w:pPr>
        <w:numPr>
          <w:ilvl w:val="0"/>
          <w:numId w:val="2"/>
        </w:numPr>
        <w:autoSpaceDE w:val="0"/>
        <w:autoSpaceDN w:val="0"/>
        <w:bidi w:val="0"/>
        <w:adjustRightInd w:val="0"/>
        <w:spacing w:before="0" w:after="120" w:line="320" w:lineRule="exact"/>
        <w:ind w:right="0"/>
        <w:rPr>
          <w:rFonts w:ascii="Arial" w:hAnsi="Arial" w:cs="Arial"/>
          <w:sz w:val="22"/>
          <w:szCs w:val="22"/>
          <w:rtl/>
        </w:rPr>
      </w:pPr>
      <w:r w:rsidRPr="00DA228D">
        <w:rPr>
          <w:rFonts w:ascii="Arial" w:hAnsi="Arial" w:cs="Arial"/>
          <w:sz w:val="22"/>
          <w:szCs w:val="22"/>
        </w:rPr>
        <w:t xml:space="preserve">The test scores are also reported according to </w:t>
      </w:r>
      <w:r w:rsidRPr="00DA228D">
        <w:rPr>
          <w:rFonts w:ascii="Arial" w:hAnsi="Arial" w:cs="Arial"/>
          <w:b/>
          <w:bCs/>
          <w:sz w:val="22"/>
          <w:szCs w:val="22"/>
        </w:rPr>
        <w:t>proficiency levels</w:t>
      </w:r>
      <w:r w:rsidRPr="00DA228D">
        <w:rPr>
          <w:rFonts w:ascii="Arial" w:hAnsi="Arial" w:cs="Arial"/>
          <w:sz w:val="22"/>
          <w:szCs w:val="22"/>
        </w:rPr>
        <w:t>, as defined by PISA. There are 7</w:t>
      </w:r>
      <w:r w:rsidRPr="00DA228D">
        <w:rPr>
          <w:rFonts w:ascii="Arial" w:hAnsi="Arial" w:cs="Arial"/>
          <w:sz w:val="22"/>
          <w:szCs w:val="22"/>
          <w:rtl/>
        </w:rPr>
        <w:t>‏</w:t>
      </w:r>
      <w:r w:rsidRPr="00DA228D">
        <w:rPr>
          <w:rFonts w:ascii="Arial" w:hAnsi="Arial" w:cs="Arial"/>
          <w:sz w:val="22"/>
          <w:szCs w:val="22"/>
        </w:rPr>
        <w:t xml:space="preserve"> proficiency levels for reading </w:t>
      </w:r>
      <w:r w:rsidR="00DA228D" w:rsidRPr="00DA228D">
        <w:rPr>
          <w:rFonts w:ascii="Arial" w:hAnsi="Arial" w:cs="Arial"/>
          <w:sz w:val="22"/>
          <w:szCs w:val="22"/>
        </w:rPr>
        <w:t>literacy</w:t>
      </w:r>
      <w:r w:rsidRPr="00DA228D">
        <w:rPr>
          <w:rFonts w:ascii="Arial" w:hAnsi="Arial" w:cs="Arial"/>
          <w:sz w:val="22"/>
          <w:szCs w:val="22"/>
        </w:rPr>
        <w:t xml:space="preserve"> and 6</w:t>
      </w:r>
      <w:r w:rsidRPr="00DA228D">
        <w:rPr>
          <w:rFonts w:ascii="Arial" w:hAnsi="Arial" w:cs="Arial"/>
          <w:sz w:val="22"/>
          <w:szCs w:val="22"/>
          <w:rtl/>
        </w:rPr>
        <w:t>‏</w:t>
      </w:r>
      <w:r w:rsidRPr="00DA228D">
        <w:rPr>
          <w:rFonts w:ascii="Arial" w:hAnsi="Arial" w:cs="Arial"/>
          <w:sz w:val="22"/>
          <w:szCs w:val="22"/>
        </w:rPr>
        <w:t xml:space="preserve"> proficiency levels for mathematic</w:t>
      </w:r>
      <w:r w:rsidR="00DA228D">
        <w:rPr>
          <w:rFonts w:ascii="Arial" w:hAnsi="Arial" w:cs="Arial"/>
          <w:sz w:val="22"/>
          <w:szCs w:val="22"/>
        </w:rPr>
        <w:t>s</w:t>
      </w:r>
      <w:r w:rsidRPr="00DA228D">
        <w:rPr>
          <w:rFonts w:ascii="Arial" w:hAnsi="Arial" w:cs="Arial"/>
          <w:sz w:val="22"/>
          <w:szCs w:val="22"/>
        </w:rPr>
        <w:t xml:space="preserve"> and </w:t>
      </w:r>
      <w:r w:rsidR="00DA228D">
        <w:rPr>
          <w:rFonts w:ascii="Arial" w:hAnsi="Arial" w:cs="Arial"/>
          <w:sz w:val="22"/>
          <w:szCs w:val="22"/>
        </w:rPr>
        <w:t>science</w:t>
      </w:r>
      <w:r w:rsidRPr="00DA228D">
        <w:rPr>
          <w:rFonts w:ascii="Arial" w:hAnsi="Arial" w:cs="Arial"/>
          <w:sz w:val="22"/>
          <w:szCs w:val="22"/>
        </w:rPr>
        <w:t xml:space="preserve"> literacy. Students who correctly answered questions </w:t>
      </w:r>
      <w:r w:rsidR="00120202" w:rsidRPr="00DA228D">
        <w:rPr>
          <w:rFonts w:ascii="Arial" w:hAnsi="Arial" w:cs="Arial"/>
          <w:sz w:val="22"/>
          <w:szCs w:val="22"/>
        </w:rPr>
        <w:t xml:space="preserve">of </w:t>
      </w:r>
      <w:r w:rsidRPr="00DA228D">
        <w:rPr>
          <w:rFonts w:ascii="Arial" w:hAnsi="Arial" w:cs="Arial"/>
          <w:sz w:val="22"/>
          <w:szCs w:val="22"/>
        </w:rPr>
        <w:t xml:space="preserve">a high level of difficulty were categorized as outstanding (proficiency levels 5-6), whereas those students who only succeeded in answering questions </w:t>
      </w:r>
      <w:r w:rsidR="00120202" w:rsidRPr="00DA228D">
        <w:rPr>
          <w:rFonts w:ascii="Arial" w:hAnsi="Arial" w:cs="Arial"/>
          <w:sz w:val="22"/>
          <w:szCs w:val="22"/>
        </w:rPr>
        <w:t xml:space="preserve">of </w:t>
      </w:r>
      <w:r w:rsidRPr="00DA228D">
        <w:rPr>
          <w:rFonts w:ascii="Arial" w:hAnsi="Arial" w:cs="Arial"/>
          <w:sz w:val="22"/>
          <w:szCs w:val="22"/>
        </w:rPr>
        <w:t xml:space="preserve">a low level of difficulty were categorized as </w:t>
      </w:r>
      <w:r w:rsidR="004141EB" w:rsidRPr="00DA228D">
        <w:rPr>
          <w:rFonts w:ascii="Arial" w:hAnsi="Arial" w:cs="Arial"/>
          <w:sz w:val="22"/>
          <w:szCs w:val="22"/>
        </w:rPr>
        <w:t>not demonstrating the scienc</w:t>
      </w:r>
      <w:r w:rsidR="00DA228D">
        <w:rPr>
          <w:rFonts w:ascii="Arial" w:hAnsi="Arial" w:cs="Arial"/>
          <w:sz w:val="22"/>
          <w:szCs w:val="22"/>
        </w:rPr>
        <w:t>e</w:t>
      </w:r>
      <w:r w:rsidR="004141EB" w:rsidRPr="00DA228D">
        <w:rPr>
          <w:rFonts w:ascii="Arial" w:hAnsi="Arial" w:cs="Arial"/>
          <w:sz w:val="22"/>
          <w:szCs w:val="22"/>
        </w:rPr>
        <w:t xml:space="preserve"> knowledge and skills that </w:t>
      </w:r>
      <w:r w:rsidR="006C2BEC" w:rsidRPr="00DA228D">
        <w:rPr>
          <w:rFonts w:ascii="Arial" w:hAnsi="Arial" w:cs="Arial"/>
          <w:sz w:val="22"/>
          <w:szCs w:val="22"/>
        </w:rPr>
        <w:t xml:space="preserve">would </w:t>
      </w:r>
      <w:r w:rsidR="004141EB" w:rsidRPr="00DA228D">
        <w:rPr>
          <w:rFonts w:ascii="Arial" w:hAnsi="Arial" w:cs="Arial"/>
          <w:sz w:val="22"/>
          <w:szCs w:val="22"/>
        </w:rPr>
        <w:t>enable them to participate actively in life situations related to science and technology</w:t>
      </w:r>
      <w:r w:rsidRPr="00DA228D">
        <w:rPr>
          <w:rFonts w:ascii="Arial" w:hAnsi="Arial" w:cs="Arial"/>
          <w:sz w:val="22"/>
          <w:szCs w:val="22"/>
        </w:rPr>
        <w:t xml:space="preserve"> (below proficiency level 2).</w:t>
      </w:r>
    </w:p>
    <w:p w:rsidR="002F3592" w:rsidRPr="00DA228D" w:rsidRDefault="00AB59D4" w:rsidP="00FD6678">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Israel’s achievements in the 2009 PISA study are presented below:</w:t>
      </w:r>
    </w:p>
    <w:p w:rsidR="00C32ABF" w:rsidRPr="00DA228D" w:rsidRDefault="00AB59D4" w:rsidP="00FD6678">
      <w:pPr>
        <w:numPr>
          <w:ilvl w:val="2"/>
          <w:numId w:val="2"/>
        </w:numPr>
        <w:autoSpaceDE w:val="0"/>
        <w:autoSpaceDN w:val="0"/>
        <w:bidi w:val="0"/>
        <w:adjustRightInd w:val="0"/>
        <w:spacing w:before="0" w:after="120" w:line="240" w:lineRule="auto"/>
        <w:rPr>
          <w:rFonts w:ascii="Arial" w:hAnsi="Arial" w:cs="Arial"/>
          <w:sz w:val="22"/>
          <w:szCs w:val="22"/>
        </w:rPr>
      </w:pPr>
      <w:r w:rsidRPr="00DA228D">
        <w:rPr>
          <w:rFonts w:ascii="Arial" w:hAnsi="Arial" w:cs="Arial"/>
          <w:sz w:val="22"/>
          <w:szCs w:val="22"/>
        </w:rPr>
        <w:t xml:space="preserve">From an international </w:t>
      </w:r>
      <w:r w:rsidR="00785EE2" w:rsidRPr="00DA228D">
        <w:rPr>
          <w:rFonts w:ascii="Arial" w:hAnsi="Arial" w:cs="Arial"/>
          <w:sz w:val="22"/>
          <w:szCs w:val="22"/>
        </w:rPr>
        <w:t>perspective</w:t>
      </w:r>
      <w:r w:rsidRPr="00DA228D">
        <w:rPr>
          <w:rFonts w:ascii="Arial" w:hAnsi="Arial" w:cs="Arial"/>
          <w:sz w:val="22"/>
          <w:szCs w:val="22"/>
        </w:rPr>
        <w:t xml:space="preserve"> </w:t>
      </w:r>
      <w:r w:rsidR="00555614" w:rsidRPr="00DA228D">
        <w:rPr>
          <w:rFonts w:ascii="Arial" w:hAnsi="Arial" w:cs="Arial"/>
          <w:sz w:val="22"/>
          <w:szCs w:val="22"/>
        </w:rPr>
        <w:t>–</w:t>
      </w:r>
      <w:r w:rsidRPr="00DA228D">
        <w:rPr>
          <w:rFonts w:ascii="Arial" w:hAnsi="Arial" w:cs="Arial"/>
          <w:sz w:val="22"/>
          <w:szCs w:val="22"/>
        </w:rPr>
        <w:t xml:space="preserve"> </w:t>
      </w:r>
      <w:r w:rsidRPr="00DA228D">
        <w:rPr>
          <w:rFonts w:ascii="Arial" w:hAnsi="Arial" w:cs="Arial"/>
          <w:b/>
          <w:bCs/>
          <w:sz w:val="22"/>
          <w:szCs w:val="22"/>
        </w:rPr>
        <w:t>in comparison with the OECD average</w:t>
      </w:r>
      <w:r w:rsidRPr="00DA228D">
        <w:rPr>
          <w:rStyle w:val="ac"/>
          <w:rFonts w:ascii="Arial" w:hAnsi="Arial" w:cs="Arial"/>
          <w:sz w:val="22"/>
          <w:szCs w:val="22"/>
        </w:rPr>
        <w:footnoteReference w:id="1"/>
      </w:r>
      <w:r w:rsidRPr="00DA228D">
        <w:rPr>
          <w:rFonts w:ascii="Arial" w:hAnsi="Arial" w:cs="Arial"/>
          <w:sz w:val="22"/>
          <w:szCs w:val="22"/>
        </w:rPr>
        <w:t xml:space="preserve"> and several countries: </w:t>
      </w:r>
      <w:r w:rsidRPr="00DA228D">
        <w:rPr>
          <w:rFonts w:ascii="Arial" w:hAnsi="Arial" w:cs="Arial"/>
          <w:b/>
          <w:bCs/>
          <w:sz w:val="22"/>
          <w:szCs w:val="22"/>
        </w:rPr>
        <w:t>Finland, Canada, New Zealand, Spain, and Mexico</w:t>
      </w:r>
      <w:r w:rsidRPr="00DA228D">
        <w:rPr>
          <w:rStyle w:val="ac"/>
          <w:rFonts w:ascii="Arial" w:hAnsi="Arial" w:cs="Arial"/>
          <w:sz w:val="22"/>
          <w:szCs w:val="22"/>
        </w:rPr>
        <w:footnoteReference w:id="2"/>
      </w:r>
    </w:p>
    <w:p w:rsidR="002F3592" w:rsidRPr="00DA228D" w:rsidRDefault="002F3592" w:rsidP="00415C22">
      <w:pPr>
        <w:numPr>
          <w:ilvl w:val="2"/>
          <w:numId w:val="2"/>
        </w:numPr>
        <w:autoSpaceDE w:val="0"/>
        <w:autoSpaceDN w:val="0"/>
        <w:bidi w:val="0"/>
        <w:adjustRightInd w:val="0"/>
        <w:spacing w:before="0" w:after="120" w:line="240" w:lineRule="auto"/>
        <w:rPr>
          <w:rFonts w:ascii="Arial" w:hAnsi="Arial" w:cs="Arial"/>
          <w:sz w:val="22"/>
          <w:szCs w:val="22"/>
        </w:rPr>
      </w:pPr>
      <w:r w:rsidRPr="00DA228D">
        <w:rPr>
          <w:rFonts w:ascii="Arial" w:hAnsi="Arial" w:cs="Arial"/>
          <w:sz w:val="22"/>
          <w:szCs w:val="22"/>
        </w:rPr>
        <w:t xml:space="preserve">Regarding the aspect of within Israel </w:t>
      </w:r>
      <w:r w:rsidR="00555614" w:rsidRPr="00DA228D">
        <w:rPr>
          <w:rFonts w:ascii="Arial" w:hAnsi="Arial" w:cs="Arial"/>
          <w:sz w:val="22"/>
          <w:szCs w:val="22"/>
        </w:rPr>
        <w:t>–</w:t>
      </w:r>
      <w:r w:rsidRPr="00DA228D">
        <w:rPr>
          <w:rFonts w:ascii="Arial" w:hAnsi="Arial" w:cs="Arial"/>
          <w:sz w:val="22"/>
          <w:szCs w:val="22"/>
        </w:rPr>
        <w:t xml:space="preserve"> </w:t>
      </w:r>
      <w:r w:rsidRPr="00DA228D">
        <w:rPr>
          <w:rFonts w:ascii="Arial" w:hAnsi="Arial" w:cs="Arial"/>
          <w:b/>
          <w:bCs/>
          <w:sz w:val="22"/>
          <w:szCs w:val="22"/>
        </w:rPr>
        <w:t xml:space="preserve">according to </w:t>
      </w:r>
      <w:r w:rsidR="00415C22" w:rsidRPr="00DA228D">
        <w:rPr>
          <w:rFonts w:ascii="Arial" w:hAnsi="Arial" w:cs="Arial"/>
          <w:b/>
          <w:bCs/>
          <w:sz w:val="22"/>
          <w:szCs w:val="22"/>
        </w:rPr>
        <w:t xml:space="preserve">language </w:t>
      </w:r>
      <w:r w:rsidRPr="00DA228D">
        <w:rPr>
          <w:rFonts w:ascii="Arial" w:hAnsi="Arial" w:cs="Arial"/>
          <w:b/>
          <w:bCs/>
          <w:sz w:val="22"/>
          <w:szCs w:val="22"/>
        </w:rPr>
        <w:t>sectors, gender, and socioeconomic background</w:t>
      </w:r>
      <w:r w:rsidRPr="00DA228D">
        <w:rPr>
          <w:rFonts w:ascii="Arial" w:hAnsi="Arial" w:cs="Arial"/>
          <w:sz w:val="22"/>
          <w:szCs w:val="22"/>
        </w:rPr>
        <w:t xml:space="preserve"> </w:t>
      </w:r>
    </w:p>
    <w:p w:rsidR="00AB59D4" w:rsidRPr="00DA228D" w:rsidRDefault="002F3592" w:rsidP="00415C22">
      <w:pPr>
        <w:numPr>
          <w:ilvl w:val="2"/>
          <w:numId w:val="2"/>
        </w:numPr>
        <w:autoSpaceDE w:val="0"/>
        <w:autoSpaceDN w:val="0"/>
        <w:bidi w:val="0"/>
        <w:adjustRightInd w:val="0"/>
        <w:spacing w:before="0" w:after="120" w:line="240" w:lineRule="auto"/>
        <w:rPr>
          <w:rFonts w:ascii="Arial" w:hAnsi="Arial" w:cs="Arial"/>
          <w:sz w:val="22"/>
          <w:szCs w:val="22"/>
        </w:rPr>
      </w:pPr>
      <w:r w:rsidRPr="00DA228D">
        <w:rPr>
          <w:rFonts w:ascii="Arial" w:hAnsi="Arial" w:cs="Arial"/>
          <w:sz w:val="22"/>
          <w:szCs w:val="22"/>
        </w:rPr>
        <w:t xml:space="preserve">Regarding the long-term aspect </w:t>
      </w:r>
      <w:r w:rsidR="00555614" w:rsidRPr="00DA228D">
        <w:rPr>
          <w:rFonts w:ascii="Arial" w:hAnsi="Arial" w:cs="Arial"/>
          <w:sz w:val="22"/>
          <w:szCs w:val="22"/>
        </w:rPr>
        <w:t>–</w:t>
      </w:r>
      <w:r w:rsidRPr="00DA228D">
        <w:rPr>
          <w:rFonts w:ascii="Arial" w:hAnsi="Arial" w:cs="Arial"/>
          <w:sz w:val="22"/>
          <w:szCs w:val="22"/>
        </w:rPr>
        <w:t xml:space="preserve"> </w:t>
      </w:r>
      <w:r w:rsidRPr="00DA228D">
        <w:rPr>
          <w:rFonts w:ascii="Arial" w:hAnsi="Arial" w:cs="Arial"/>
          <w:b/>
          <w:bCs/>
          <w:sz w:val="22"/>
          <w:szCs w:val="22"/>
        </w:rPr>
        <w:t xml:space="preserve">comparing Israel’s achievements </w:t>
      </w:r>
      <w:r w:rsidR="00415C22" w:rsidRPr="00DA228D">
        <w:rPr>
          <w:rFonts w:ascii="Arial" w:hAnsi="Arial" w:cs="Arial"/>
          <w:b/>
          <w:bCs/>
          <w:sz w:val="22"/>
          <w:szCs w:val="22"/>
        </w:rPr>
        <w:t xml:space="preserve">across </w:t>
      </w:r>
      <w:r w:rsidRPr="00DA228D">
        <w:rPr>
          <w:rFonts w:ascii="Arial" w:hAnsi="Arial" w:cs="Arial"/>
          <w:b/>
          <w:bCs/>
          <w:sz w:val="22"/>
          <w:szCs w:val="22"/>
        </w:rPr>
        <w:t>all the PISA cycles</w:t>
      </w:r>
    </w:p>
    <w:p w:rsidR="0043671B" w:rsidRPr="00DA228D" w:rsidRDefault="0006403E" w:rsidP="00415C22">
      <w:pPr>
        <w:pStyle w:val="ae"/>
        <w:bidi w:val="0"/>
        <w:spacing w:before="360" w:line="320" w:lineRule="exact"/>
        <w:ind w:left="0"/>
        <w:jc w:val="center"/>
        <w:rPr>
          <w:rFonts w:ascii="Arial" w:hAnsi="Arial" w:cs="Arial"/>
          <w:b/>
          <w:bCs/>
          <w:color w:val="008000"/>
          <w:sz w:val="28"/>
          <w:szCs w:val="28"/>
          <w:rtl/>
        </w:rPr>
      </w:pPr>
      <w:r w:rsidRPr="00DA228D">
        <w:rPr>
          <w:rFonts w:ascii="Arial" w:hAnsi="Arial" w:cs="Arial"/>
          <w:color w:val="008000"/>
          <w:sz w:val="28"/>
          <w:szCs w:val="28"/>
        </w:rPr>
        <w:br w:type="page"/>
      </w:r>
      <w:r w:rsidRPr="00DA228D">
        <w:rPr>
          <w:rFonts w:ascii="Arial" w:hAnsi="Arial" w:cs="Arial"/>
          <w:b/>
          <w:bCs/>
          <w:color w:val="008000"/>
          <w:sz w:val="28"/>
          <w:szCs w:val="28"/>
        </w:rPr>
        <w:lastRenderedPageBreak/>
        <w:t xml:space="preserve">Main Findings </w:t>
      </w:r>
      <w:r w:rsidR="00555614" w:rsidRPr="00DA228D">
        <w:rPr>
          <w:rFonts w:ascii="Arial" w:hAnsi="Arial" w:cs="Arial"/>
          <w:b/>
          <w:bCs/>
          <w:color w:val="008000"/>
          <w:sz w:val="28"/>
          <w:szCs w:val="28"/>
        </w:rPr>
        <w:t>–</w:t>
      </w:r>
      <w:r w:rsidRPr="00DA228D">
        <w:rPr>
          <w:rFonts w:ascii="Arial" w:hAnsi="Arial" w:cs="Arial"/>
          <w:b/>
          <w:bCs/>
          <w:color w:val="008000"/>
          <w:sz w:val="28"/>
          <w:szCs w:val="28"/>
        </w:rPr>
        <w:t xml:space="preserve"> The PISA </w:t>
      </w:r>
      <w:r w:rsidR="00415C22" w:rsidRPr="00DA228D">
        <w:rPr>
          <w:rFonts w:ascii="Arial" w:hAnsi="Arial" w:cs="Arial"/>
          <w:b/>
          <w:bCs/>
          <w:color w:val="008000"/>
          <w:sz w:val="28"/>
          <w:szCs w:val="28"/>
        </w:rPr>
        <w:t xml:space="preserve">2009 </w:t>
      </w:r>
      <w:r w:rsidRPr="00DA228D">
        <w:rPr>
          <w:rFonts w:ascii="Arial" w:hAnsi="Arial" w:cs="Arial"/>
          <w:b/>
          <w:bCs/>
          <w:color w:val="008000"/>
          <w:sz w:val="28"/>
          <w:szCs w:val="28"/>
        </w:rPr>
        <w:t>Study and Long-</w:t>
      </w:r>
      <w:r w:rsidR="00415C22" w:rsidRPr="00DA228D">
        <w:rPr>
          <w:rFonts w:ascii="Arial" w:hAnsi="Arial" w:cs="Arial"/>
          <w:b/>
          <w:bCs/>
          <w:color w:val="008000"/>
          <w:sz w:val="28"/>
          <w:szCs w:val="28"/>
        </w:rPr>
        <w:t xml:space="preserve">Term </w:t>
      </w:r>
      <w:r w:rsidRPr="00DA228D">
        <w:rPr>
          <w:rFonts w:ascii="Arial" w:hAnsi="Arial" w:cs="Arial"/>
          <w:b/>
          <w:bCs/>
          <w:color w:val="008000"/>
          <w:sz w:val="28"/>
          <w:szCs w:val="28"/>
        </w:rPr>
        <w:t>Trends</w:t>
      </w:r>
    </w:p>
    <w:p w:rsidR="00DA228D" w:rsidRPr="00DA228D" w:rsidRDefault="00DA228D" w:rsidP="00DA228D">
      <w:pPr>
        <w:pStyle w:val="ae"/>
        <w:bidi w:val="0"/>
        <w:spacing w:before="240" w:line="320" w:lineRule="exact"/>
        <w:ind w:left="0"/>
        <w:jc w:val="both"/>
        <w:rPr>
          <w:rFonts w:ascii="Arial" w:hAnsi="Arial" w:cs="Arial"/>
          <w:b/>
          <w:bCs/>
          <w:color w:val="008000"/>
          <w:sz w:val="28"/>
          <w:szCs w:val="28"/>
          <w:rtl/>
        </w:rPr>
      </w:pPr>
      <w:r w:rsidRPr="00DA228D">
        <w:rPr>
          <w:rFonts w:ascii="Arial" w:hAnsi="Arial" w:cs="Arial"/>
          <w:b/>
          <w:bCs/>
          <w:color w:val="008000"/>
          <w:sz w:val="28"/>
          <w:szCs w:val="28"/>
        </w:rPr>
        <w:t xml:space="preserve">Achievements in </w:t>
      </w:r>
      <w:r>
        <w:rPr>
          <w:rFonts w:ascii="Arial" w:hAnsi="Arial" w:cs="Arial"/>
          <w:b/>
          <w:bCs/>
          <w:color w:val="008000"/>
          <w:sz w:val="28"/>
          <w:szCs w:val="28"/>
        </w:rPr>
        <w:t>Reading</w:t>
      </w:r>
      <w:r w:rsidRPr="00DA228D">
        <w:rPr>
          <w:rFonts w:ascii="Arial" w:hAnsi="Arial" w:cs="Arial"/>
          <w:b/>
          <w:bCs/>
          <w:color w:val="008000"/>
          <w:sz w:val="28"/>
          <w:szCs w:val="28"/>
        </w:rPr>
        <w:t xml:space="preserve"> literacy</w:t>
      </w:r>
    </w:p>
    <w:p w:rsidR="007B54F8" w:rsidRPr="00DA228D" w:rsidRDefault="007D6E6A" w:rsidP="00415C22">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The </w:t>
      </w:r>
      <w:r w:rsidRPr="00DA228D">
        <w:rPr>
          <w:rFonts w:ascii="Arial" w:hAnsi="Arial" w:cs="Arial"/>
          <w:b/>
          <w:bCs/>
          <w:sz w:val="22"/>
          <w:szCs w:val="22"/>
        </w:rPr>
        <w:t>average score</w:t>
      </w:r>
      <w:r w:rsidRPr="00DA228D">
        <w:rPr>
          <w:rFonts w:ascii="Arial" w:hAnsi="Arial" w:cs="Arial"/>
          <w:sz w:val="22"/>
          <w:szCs w:val="22"/>
        </w:rPr>
        <w:t xml:space="preserve"> for reading literacy in Israel </w:t>
      </w:r>
      <w:r w:rsidR="00415C22" w:rsidRPr="00DA228D">
        <w:rPr>
          <w:rFonts w:ascii="Arial" w:hAnsi="Arial" w:cs="Arial"/>
          <w:sz w:val="22"/>
          <w:szCs w:val="22"/>
        </w:rPr>
        <w:t xml:space="preserve">was </w:t>
      </w:r>
      <w:r w:rsidRPr="00DA228D">
        <w:rPr>
          <w:rFonts w:ascii="Arial" w:hAnsi="Arial" w:cs="Arial"/>
          <w:b/>
          <w:bCs/>
          <w:sz w:val="22"/>
          <w:szCs w:val="22"/>
        </w:rPr>
        <w:t xml:space="preserve">474 </w:t>
      </w:r>
      <w:r w:rsidRPr="00DA228D">
        <w:rPr>
          <w:rFonts w:ascii="Arial" w:hAnsi="Arial" w:cs="Arial"/>
          <w:sz w:val="22"/>
          <w:szCs w:val="22"/>
        </w:rPr>
        <w:t>(</w:t>
      </w:r>
      <w:r w:rsidRPr="00DA228D">
        <w:rPr>
          <w:rFonts w:ascii="Arial" w:hAnsi="Arial" w:cs="Arial"/>
          <w:b/>
          <w:bCs/>
          <w:sz w:val="22"/>
          <w:szCs w:val="22"/>
        </w:rPr>
        <w:t>OECD</w:t>
      </w:r>
      <w:r w:rsidRPr="00DA228D">
        <w:rPr>
          <w:rFonts w:ascii="Arial" w:hAnsi="Arial" w:cs="Arial"/>
          <w:sz w:val="22"/>
          <w:szCs w:val="22"/>
        </w:rPr>
        <w:t xml:space="preserve"> average </w:t>
      </w:r>
      <w:r w:rsidR="00415C22" w:rsidRPr="00DA228D">
        <w:rPr>
          <w:rFonts w:ascii="Arial" w:hAnsi="Arial" w:cs="Arial"/>
          <w:sz w:val="22"/>
          <w:szCs w:val="22"/>
        </w:rPr>
        <w:t xml:space="preserve">was </w:t>
      </w:r>
      <w:r w:rsidRPr="00DA228D">
        <w:rPr>
          <w:rFonts w:ascii="Arial" w:hAnsi="Arial" w:cs="Arial"/>
          <w:b/>
          <w:bCs/>
          <w:sz w:val="22"/>
          <w:szCs w:val="22"/>
        </w:rPr>
        <w:t>493</w:t>
      </w:r>
      <w:r w:rsidRPr="00DA228D">
        <w:rPr>
          <w:rFonts w:ascii="Arial" w:hAnsi="Arial" w:cs="Arial"/>
          <w:sz w:val="22"/>
          <w:szCs w:val="22"/>
        </w:rPr>
        <w:t xml:space="preserve">). </w:t>
      </w:r>
      <w:r w:rsidR="00415C22" w:rsidRPr="00DA228D">
        <w:rPr>
          <w:rFonts w:ascii="Arial" w:hAnsi="Arial" w:cs="Arial"/>
          <w:sz w:val="22"/>
          <w:szCs w:val="22"/>
        </w:rPr>
        <w:t>Israel ranked</w:t>
      </w:r>
      <w:r w:rsidRPr="00DA228D">
        <w:rPr>
          <w:rFonts w:ascii="Arial" w:hAnsi="Arial" w:cs="Arial"/>
          <w:sz w:val="22"/>
          <w:szCs w:val="22"/>
        </w:rPr>
        <w:t xml:space="preserve"> </w:t>
      </w:r>
      <w:r w:rsidRPr="00DA228D">
        <w:rPr>
          <w:rFonts w:ascii="Arial" w:hAnsi="Arial" w:cs="Arial"/>
          <w:b/>
          <w:bCs/>
          <w:sz w:val="22"/>
          <w:szCs w:val="22"/>
        </w:rPr>
        <w:t xml:space="preserve">36 </w:t>
      </w:r>
      <w:r w:rsidRPr="00DA228D">
        <w:rPr>
          <w:rFonts w:ascii="Arial" w:hAnsi="Arial" w:cs="Arial"/>
          <w:sz w:val="22"/>
          <w:szCs w:val="22"/>
        </w:rPr>
        <w:t xml:space="preserve">out of the 64 </w:t>
      </w:r>
      <w:r w:rsidR="00415C22" w:rsidRPr="00DA228D">
        <w:rPr>
          <w:rFonts w:ascii="Arial" w:hAnsi="Arial" w:cs="Arial"/>
          <w:sz w:val="22"/>
          <w:szCs w:val="22"/>
        </w:rPr>
        <w:t xml:space="preserve">participating </w:t>
      </w:r>
      <w:r w:rsidRPr="00DA228D">
        <w:rPr>
          <w:rFonts w:ascii="Arial" w:hAnsi="Arial" w:cs="Arial"/>
          <w:sz w:val="22"/>
          <w:szCs w:val="22"/>
        </w:rPr>
        <w:t xml:space="preserve">countries. </w:t>
      </w:r>
    </w:p>
    <w:p w:rsidR="00016F9A" w:rsidRPr="00DA228D" w:rsidRDefault="00016F9A" w:rsidP="00FD6678">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Average reading literacy scores in countries for comparison</w:t>
      </w:r>
      <w:r w:rsidRPr="00DA228D">
        <w:rPr>
          <w:rFonts w:ascii="Arial" w:hAnsi="Arial" w:cs="Arial"/>
          <w:sz w:val="22"/>
          <w:szCs w:val="22"/>
        </w:rPr>
        <w:t xml:space="preserve">: Finland </w:t>
      </w:r>
      <w:r w:rsidR="00555614" w:rsidRPr="00DA228D">
        <w:rPr>
          <w:rFonts w:ascii="Arial" w:hAnsi="Arial" w:cs="Arial"/>
          <w:sz w:val="22"/>
          <w:szCs w:val="22"/>
        </w:rPr>
        <w:t>–</w:t>
      </w:r>
      <w:r w:rsidR="00C642A4" w:rsidRPr="00DA228D">
        <w:rPr>
          <w:rFonts w:ascii="Arial" w:hAnsi="Arial" w:cs="Arial"/>
          <w:sz w:val="22"/>
          <w:szCs w:val="22"/>
        </w:rPr>
        <w:t xml:space="preserve"> </w:t>
      </w:r>
      <w:r w:rsidRPr="00DA228D">
        <w:rPr>
          <w:rFonts w:ascii="Arial" w:hAnsi="Arial" w:cs="Arial"/>
          <w:sz w:val="22"/>
          <w:szCs w:val="22"/>
        </w:rPr>
        <w:t xml:space="preserve">536, Canada </w:t>
      </w:r>
      <w:r w:rsidR="00555614" w:rsidRPr="00DA228D">
        <w:rPr>
          <w:rFonts w:ascii="Arial" w:hAnsi="Arial" w:cs="Arial"/>
          <w:sz w:val="22"/>
          <w:szCs w:val="22"/>
        </w:rPr>
        <w:t>–</w:t>
      </w:r>
      <w:r w:rsidRPr="00DA228D">
        <w:rPr>
          <w:rFonts w:ascii="Arial" w:hAnsi="Arial" w:cs="Arial"/>
          <w:sz w:val="22"/>
          <w:szCs w:val="22"/>
        </w:rPr>
        <w:t xml:space="preserve"> 524, New Zealand </w:t>
      </w:r>
      <w:r w:rsidR="00555614" w:rsidRPr="00DA228D">
        <w:rPr>
          <w:rFonts w:ascii="Arial" w:hAnsi="Arial" w:cs="Arial"/>
          <w:sz w:val="22"/>
          <w:szCs w:val="22"/>
        </w:rPr>
        <w:t>–</w:t>
      </w:r>
      <w:r w:rsidRPr="00DA228D">
        <w:rPr>
          <w:rFonts w:ascii="Arial" w:hAnsi="Arial" w:cs="Arial"/>
          <w:sz w:val="22"/>
          <w:szCs w:val="22"/>
        </w:rPr>
        <w:t xml:space="preserve"> 521, Spain </w:t>
      </w:r>
      <w:r w:rsidR="00555614" w:rsidRPr="00DA228D">
        <w:rPr>
          <w:rFonts w:ascii="Arial" w:hAnsi="Arial" w:cs="Arial"/>
          <w:sz w:val="22"/>
          <w:szCs w:val="22"/>
        </w:rPr>
        <w:t>–</w:t>
      </w:r>
      <w:r w:rsidRPr="00DA228D">
        <w:rPr>
          <w:rFonts w:ascii="Arial" w:hAnsi="Arial" w:cs="Arial"/>
          <w:sz w:val="22"/>
          <w:szCs w:val="22"/>
        </w:rPr>
        <w:t xml:space="preserve"> 481, Mexico </w:t>
      </w:r>
      <w:r w:rsidR="00555614" w:rsidRPr="00DA228D">
        <w:rPr>
          <w:rFonts w:ascii="Arial" w:hAnsi="Arial" w:cs="Arial"/>
          <w:sz w:val="22"/>
          <w:szCs w:val="22"/>
        </w:rPr>
        <w:t>–</w:t>
      </w:r>
      <w:r w:rsidRPr="00DA228D">
        <w:rPr>
          <w:rFonts w:ascii="Arial" w:hAnsi="Arial" w:cs="Arial"/>
          <w:sz w:val="22"/>
          <w:szCs w:val="22"/>
        </w:rPr>
        <w:t xml:space="preserve"> 425.</w:t>
      </w:r>
    </w:p>
    <w:p w:rsidR="00DB6E9F" w:rsidRPr="00DA228D" w:rsidRDefault="00DB6E9F" w:rsidP="007F2A35">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 xml:space="preserve">The distribution in student achievements in Israel is one of the </w:t>
      </w:r>
      <w:r w:rsidR="00415C22" w:rsidRPr="00DA228D">
        <w:rPr>
          <w:rFonts w:ascii="Arial" w:hAnsi="Arial" w:cs="Arial"/>
          <w:b/>
          <w:bCs/>
          <w:sz w:val="22"/>
          <w:szCs w:val="22"/>
        </w:rPr>
        <w:t xml:space="preserve">largest </w:t>
      </w:r>
      <w:r w:rsidRPr="00DA228D">
        <w:rPr>
          <w:rFonts w:ascii="Arial" w:hAnsi="Arial" w:cs="Arial"/>
          <w:sz w:val="22"/>
          <w:szCs w:val="22"/>
        </w:rPr>
        <w:t xml:space="preserve">among the </w:t>
      </w:r>
      <w:r w:rsidR="00415C22" w:rsidRPr="00DA228D">
        <w:rPr>
          <w:rFonts w:ascii="Arial" w:hAnsi="Arial" w:cs="Arial"/>
          <w:sz w:val="22"/>
          <w:szCs w:val="22"/>
        </w:rPr>
        <w:t xml:space="preserve">participating </w:t>
      </w:r>
      <w:r w:rsidRPr="00DA228D">
        <w:rPr>
          <w:rFonts w:ascii="Arial" w:hAnsi="Arial" w:cs="Arial"/>
          <w:sz w:val="22"/>
          <w:szCs w:val="22"/>
        </w:rPr>
        <w:t>countries (</w:t>
      </w:r>
      <w:r w:rsidR="0080631B" w:rsidRPr="00DA228D">
        <w:rPr>
          <w:rFonts w:ascii="Arial" w:hAnsi="Arial" w:cs="Arial"/>
          <w:sz w:val="22"/>
          <w:szCs w:val="22"/>
        </w:rPr>
        <w:t xml:space="preserve">distribution being larger in only </w:t>
      </w:r>
      <w:r w:rsidRPr="00DA228D">
        <w:rPr>
          <w:rFonts w:ascii="Arial" w:hAnsi="Arial" w:cs="Arial"/>
          <w:sz w:val="22"/>
          <w:szCs w:val="22"/>
        </w:rPr>
        <w:t>Qatar, Bulgaria, and Trinidad and Tobago.)</w:t>
      </w:r>
    </w:p>
    <w:p w:rsidR="007B54F8" w:rsidRPr="00DA228D" w:rsidRDefault="00FC0D11" w:rsidP="00FD6678">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Distribution according to proficiency levels</w:t>
      </w:r>
      <w:r w:rsidRPr="00DA228D">
        <w:rPr>
          <w:rFonts w:ascii="Arial" w:hAnsi="Arial" w:cs="Arial"/>
          <w:sz w:val="22"/>
          <w:szCs w:val="22"/>
        </w:rPr>
        <w:t xml:space="preserve">: the rate of students in Israel with </w:t>
      </w:r>
      <w:r w:rsidRPr="00DA228D">
        <w:rPr>
          <w:rFonts w:ascii="Arial" w:hAnsi="Arial" w:cs="Arial"/>
          <w:b/>
          <w:bCs/>
          <w:sz w:val="22"/>
          <w:szCs w:val="22"/>
        </w:rPr>
        <w:t>high proficiency levels</w:t>
      </w:r>
      <w:r w:rsidRPr="00DA228D">
        <w:rPr>
          <w:rFonts w:ascii="Arial" w:hAnsi="Arial" w:cs="Arial"/>
          <w:sz w:val="22"/>
          <w:szCs w:val="22"/>
        </w:rPr>
        <w:t xml:space="preserve"> (levels 5 and 6) is </w:t>
      </w:r>
      <w:r w:rsidRPr="00DA228D">
        <w:rPr>
          <w:rFonts w:ascii="Arial" w:hAnsi="Arial" w:cs="Arial"/>
          <w:b/>
          <w:bCs/>
          <w:sz w:val="22"/>
          <w:szCs w:val="22"/>
        </w:rPr>
        <w:t>7%</w:t>
      </w:r>
      <w:r w:rsidRPr="00DA228D">
        <w:rPr>
          <w:rFonts w:ascii="Arial" w:hAnsi="Arial" w:cs="Arial"/>
          <w:sz w:val="22"/>
          <w:szCs w:val="22"/>
        </w:rPr>
        <w:t xml:space="preserve">, which is similar to their average rate in OECD countries (8%). </w:t>
      </w:r>
      <w:r w:rsidRPr="00DA228D">
        <w:rPr>
          <w:rFonts w:ascii="Arial" w:hAnsi="Arial" w:cs="Arial"/>
          <w:b/>
          <w:bCs/>
          <w:sz w:val="22"/>
          <w:szCs w:val="22"/>
        </w:rPr>
        <w:t xml:space="preserve">Israel is one of the only countries which has an average score lower than the OECD average, but has students with a proficiency level of 6 (1%) </w:t>
      </w:r>
      <w:r w:rsidR="00555614" w:rsidRPr="00DA228D">
        <w:rPr>
          <w:rFonts w:ascii="Arial" w:hAnsi="Arial" w:cs="Arial"/>
          <w:sz w:val="22"/>
          <w:szCs w:val="22"/>
        </w:rPr>
        <w:t>–</w:t>
      </w:r>
      <w:r w:rsidRPr="00DA228D">
        <w:rPr>
          <w:rFonts w:ascii="Arial" w:hAnsi="Arial" w:cs="Arial"/>
          <w:sz w:val="22"/>
          <w:szCs w:val="22"/>
        </w:rPr>
        <w:t xml:space="preserve"> the highest. The rate of students in Israel with the </w:t>
      </w:r>
      <w:r w:rsidRPr="00DA228D">
        <w:rPr>
          <w:rFonts w:ascii="Arial" w:hAnsi="Arial" w:cs="Arial"/>
          <w:b/>
          <w:bCs/>
          <w:sz w:val="22"/>
          <w:szCs w:val="22"/>
        </w:rPr>
        <w:t>lowest proficiency levels</w:t>
      </w:r>
      <w:r w:rsidRPr="00DA228D">
        <w:rPr>
          <w:rFonts w:ascii="Arial" w:hAnsi="Arial" w:cs="Arial"/>
          <w:sz w:val="22"/>
          <w:szCs w:val="22"/>
        </w:rPr>
        <w:t xml:space="preserve"> (under level 2) is </w:t>
      </w:r>
      <w:r w:rsidRPr="00DA228D">
        <w:rPr>
          <w:rFonts w:ascii="Arial" w:hAnsi="Arial" w:cs="Arial"/>
          <w:b/>
          <w:bCs/>
          <w:sz w:val="22"/>
          <w:szCs w:val="22"/>
        </w:rPr>
        <w:t xml:space="preserve">relatively high </w:t>
      </w:r>
      <w:r w:rsidR="00555614" w:rsidRPr="00DA228D">
        <w:rPr>
          <w:rFonts w:ascii="Arial" w:hAnsi="Arial" w:cs="Arial"/>
          <w:b/>
          <w:bCs/>
          <w:sz w:val="22"/>
          <w:szCs w:val="22"/>
        </w:rPr>
        <w:t>–</w:t>
      </w:r>
      <w:r w:rsidRPr="00DA228D">
        <w:rPr>
          <w:rFonts w:ascii="Arial" w:hAnsi="Arial" w:cs="Arial"/>
          <w:b/>
          <w:bCs/>
          <w:sz w:val="22"/>
          <w:szCs w:val="22"/>
        </w:rPr>
        <w:t xml:space="preserve"> 27%</w:t>
      </w:r>
      <w:r w:rsidRPr="00DA228D">
        <w:rPr>
          <w:rFonts w:ascii="Arial" w:hAnsi="Arial" w:cs="Arial"/>
          <w:sz w:val="22"/>
          <w:szCs w:val="22"/>
        </w:rPr>
        <w:t xml:space="preserve"> (as compared with a 19% average in the OECD countries), including 12% with the lowest proficiency level and below.</w:t>
      </w:r>
    </w:p>
    <w:p w:rsidR="006A218A" w:rsidRPr="00DA228D" w:rsidRDefault="00530E8B" w:rsidP="00FD6678">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The scores of the best students:</w:t>
      </w:r>
      <w:r w:rsidRPr="00DA228D">
        <w:rPr>
          <w:rFonts w:ascii="Arial" w:hAnsi="Arial" w:cs="Arial"/>
          <w:sz w:val="22"/>
          <w:szCs w:val="22"/>
        </w:rPr>
        <w:t xml:space="preserve"> the (lowest) threshold of the </w:t>
      </w:r>
      <w:r w:rsidRPr="00DA228D">
        <w:rPr>
          <w:rFonts w:ascii="Arial" w:hAnsi="Arial" w:cs="Arial"/>
          <w:b/>
          <w:bCs/>
          <w:sz w:val="22"/>
          <w:szCs w:val="22"/>
        </w:rPr>
        <w:t>best 5% of students in Israel is higher</w:t>
      </w:r>
      <w:r w:rsidRPr="00DA228D">
        <w:rPr>
          <w:rFonts w:ascii="Arial" w:hAnsi="Arial" w:cs="Arial"/>
          <w:sz w:val="22"/>
          <w:szCs w:val="22"/>
        </w:rPr>
        <w:t xml:space="preserve"> than the threshold for scores of the </w:t>
      </w:r>
      <w:r w:rsidRPr="00DA228D">
        <w:rPr>
          <w:rFonts w:ascii="Arial" w:hAnsi="Arial" w:cs="Arial"/>
          <w:b/>
          <w:bCs/>
          <w:sz w:val="22"/>
          <w:szCs w:val="22"/>
        </w:rPr>
        <w:t>best 5% of students in the OECD average</w:t>
      </w:r>
      <w:r w:rsidRPr="00DA228D">
        <w:rPr>
          <w:rFonts w:ascii="Arial" w:hAnsi="Arial" w:cs="Arial"/>
          <w:sz w:val="22"/>
          <w:szCs w:val="22"/>
        </w:rPr>
        <w:t xml:space="preserve"> (643 as against 637, respectively). </w:t>
      </w:r>
    </w:p>
    <w:p w:rsidR="00530E8B" w:rsidRPr="00DA228D" w:rsidRDefault="00F75E53" w:rsidP="00FD6678">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The scores of the weakest students:</w:t>
      </w:r>
      <w:r w:rsidRPr="00DA228D">
        <w:rPr>
          <w:rFonts w:ascii="Arial" w:hAnsi="Arial" w:cs="Arial"/>
          <w:sz w:val="22"/>
          <w:szCs w:val="22"/>
        </w:rPr>
        <w:t xml:space="preserve"> the (highest) threshold of the </w:t>
      </w:r>
      <w:r w:rsidRPr="00DA228D">
        <w:rPr>
          <w:rFonts w:ascii="Arial" w:hAnsi="Arial" w:cs="Arial"/>
          <w:b/>
          <w:bCs/>
          <w:sz w:val="22"/>
          <w:szCs w:val="22"/>
        </w:rPr>
        <w:t>weakest 5% of students in Israel is lower</w:t>
      </w:r>
      <w:r w:rsidRPr="00DA228D">
        <w:rPr>
          <w:rFonts w:ascii="Arial" w:hAnsi="Arial" w:cs="Arial"/>
          <w:sz w:val="22"/>
          <w:szCs w:val="22"/>
        </w:rPr>
        <w:t xml:space="preserve"> than the threshold for scores of the </w:t>
      </w:r>
      <w:r w:rsidRPr="00DA228D">
        <w:rPr>
          <w:rFonts w:ascii="Arial" w:hAnsi="Arial" w:cs="Arial"/>
          <w:b/>
          <w:bCs/>
          <w:sz w:val="22"/>
          <w:szCs w:val="22"/>
        </w:rPr>
        <w:t>weakest 5% of students in the OECD average</w:t>
      </w:r>
      <w:r w:rsidRPr="00DA228D">
        <w:rPr>
          <w:rFonts w:ascii="Arial" w:hAnsi="Arial" w:cs="Arial"/>
          <w:sz w:val="22"/>
          <w:szCs w:val="22"/>
        </w:rPr>
        <w:t xml:space="preserve"> (227 as against 332, respectively).</w:t>
      </w:r>
    </w:p>
    <w:p w:rsidR="00E9489B" w:rsidRPr="00DA228D" w:rsidRDefault="00885F19" w:rsidP="007F2A35">
      <w:pPr>
        <w:numPr>
          <w:ilvl w:val="0"/>
          <w:numId w:val="2"/>
        </w:numPr>
        <w:autoSpaceDE w:val="0"/>
        <w:autoSpaceDN w:val="0"/>
        <w:bidi w:val="0"/>
        <w:adjustRightInd w:val="0"/>
        <w:spacing w:before="0" w:after="120" w:line="320" w:lineRule="exact"/>
        <w:rPr>
          <w:rFonts w:ascii="Arial" w:hAnsi="Arial" w:cs="Arial"/>
          <w:sz w:val="22"/>
          <w:szCs w:val="22"/>
        </w:rPr>
      </w:pPr>
      <w:r w:rsidRPr="00DA228D">
        <w:rPr>
          <w:rFonts w:ascii="Arial" w:hAnsi="Arial" w:cs="Arial"/>
          <w:b/>
          <w:bCs/>
          <w:sz w:val="22"/>
          <w:szCs w:val="22"/>
        </w:rPr>
        <w:t xml:space="preserve">Scores in the </w:t>
      </w:r>
      <w:r w:rsidR="007F2A35" w:rsidRPr="00DA228D">
        <w:rPr>
          <w:rFonts w:ascii="Arial" w:hAnsi="Arial" w:cs="Arial"/>
          <w:b/>
          <w:bCs/>
          <w:sz w:val="22"/>
          <w:szCs w:val="22"/>
        </w:rPr>
        <w:t>subscales</w:t>
      </w:r>
      <w:r w:rsidRPr="00DA228D">
        <w:rPr>
          <w:rFonts w:ascii="Arial" w:hAnsi="Arial" w:cs="Arial"/>
          <w:b/>
          <w:bCs/>
          <w:sz w:val="22"/>
          <w:szCs w:val="22"/>
        </w:rPr>
        <w:t xml:space="preserve"> of reading literacy in Israel</w:t>
      </w:r>
      <w:r w:rsidRPr="00DA228D">
        <w:rPr>
          <w:rFonts w:ascii="Arial" w:hAnsi="Arial" w:cs="Arial"/>
          <w:sz w:val="22"/>
          <w:szCs w:val="22"/>
        </w:rPr>
        <w:t xml:space="preserve">: </w:t>
      </w:r>
      <w:r w:rsidR="007F2A35" w:rsidRPr="00DA228D">
        <w:rPr>
          <w:rFonts w:ascii="Arial" w:hAnsi="Arial" w:cs="Arial"/>
          <w:sz w:val="22"/>
          <w:szCs w:val="22"/>
        </w:rPr>
        <w:t xml:space="preserve">Students have higher achievement in the aspect of </w:t>
      </w:r>
      <w:r w:rsidRPr="00DA228D">
        <w:rPr>
          <w:rFonts w:ascii="Arial" w:hAnsi="Arial" w:cs="Arial"/>
          <w:sz w:val="22"/>
          <w:szCs w:val="22"/>
        </w:rPr>
        <w:t xml:space="preserve">“evaluation and criticism” (average 483), as against “providing interpretation” (average 473), and “information retrieval” (average 463). </w:t>
      </w:r>
      <w:bookmarkStart w:id="0" w:name="_Ref258321898"/>
      <w:bookmarkStart w:id="1" w:name="_Toc268692661"/>
      <w:r w:rsidRPr="00DA228D">
        <w:rPr>
          <w:rFonts w:ascii="Arial" w:hAnsi="Arial" w:cs="Arial"/>
          <w:sz w:val="22"/>
          <w:szCs w:val="22"/>
        </w:rPr>
        <w:t xml:space="preserve">In Israel students cope somewhat better with “continuous texts”, such as paragraphs and passages of speech (average 477), than with “non-continuous texts” such as tables, graphs, maps, and illustrations (average 467). </w:t>
      </w:r>
    </w:p>
    <w:bookmarkEnd w:id="0"/>
    <w:bookmarkEnd w:id="1"/>
    <w:p w:rsidR="00DB6E9F" w:rsidRPr="00DA228D" w:rsidRDefault="00885F19" w:rsidP="00FD6678">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Trends in achievements over the years</w:t>
      </w:r>
      <w:r w:rsidRPr="00DA228D">
        <w:rPr>
          <w:rFonts w:ascii="Arial" w:hAnsi="Arial" w:cs="Arial"/>
          <w:sz w:val="22"/>
          <w:szCs w:val="22"/>
        </w:rPr>
        <w:t>: from 2006 to 2009, Israeli students’ scores in reading literacy</w:t>
      </w:r>
      <w:r w:rsidRPr="00DA228D">
        <w:rPr>
          <w:rFonts w:ascii="Arial" w:hAnsi="Arial" w:cs="Arial"/>
          <w:b/>
          <w:bCs/>
          <w:sz w:val="22"/>
          <w:szCs w:val="22"/>
        </w:rPr>
        <w:t xml:space="preserve"> rose by 35 score points</w:t>
      </w:r>
      <w:r w:rsidRPr="00DA228D">
        <w:rPr>
          <w:rFonts w:ascii="Arial" w:hAnsi="Arial" w:cs="Arial"/>
          <w:sz w:val="22"/>
          <w:szCs w:val="22"/>
        </w:rPr>
        <w:t xml:space="preserve"> (and, in total, by 22 score points since 2002). </w:t>
      </w:r>
      <w:r w:rsidRPr="00DA228D">
        <w:rPr>
          <w:rFonts w:ascii="Arial" w:hAnsi="Arial" w:cs="Arial"/>
          <w:b/>
          <w:bCs/>
          <w:sz w:val="22"/>
          <w:szCs w:val="22"/>
        </w:rPr>
        <w:t>Israel is in third place for improving achievements</w:t>
      </w:r>
      <w:r w:rsidRPr="00DA228D">
        <w:rPr>
          <w:rFonts w:ascii="Arial" w:hAnsi="Arial" w:cs="Arial"/>
          <w:sz w:val="22"/>
          <w:szCs w:val="22"/>
        </w:rPr>
        <w:t>, from among all participating countries. The improvement between 2006 and 2009 is also expressed in the distribution of the students over proficiency levels: the rate of students with high proficiency levels rose by 2% (in addition to a 1% increase from 2002), and the rate of students with low proficiency levels fell by 12% (after a 6% rise between 2002 and 2006).</w:t>
      </w:r>
    </w:p>
    <w:p w:rsidR="004E7B19" w:rsidRPr="00DA228D" w:rsidRDefault="00885F19" w:rsidP="00FD6678">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Achievements according to language sector and gender in Israel:</w:t>
      </w:r>
      <w:r w:rsidRPr="00DA228D">
        <w:rPr>
          <w:rFonts w:ascii="Arial" w:hAnsi="Arial" w:cs="Arial"/>
          <w:sz w:val="22"/>
          <w:szCs w:val="22"/>
        </w:rPr>
        <w:t xml:space="preserve"> </w:t>
      </w:r>
    </w:p>
    <w:p w:rsidR="004E7B19" w:rsidRPr="00DA228D" w:rsidRDefault="0020323E" w:rsidP="00FD6678">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The achievements of </w:t>
      </w:r>
      <w:r w:rsidRPr="00DA228D">
        <w:rPr>
          <w:rFonts w:ascii="Arial" w:hAnsi="Arial" w:cs="Arial"/>
          <w:b/>
          <w:bCs/>
          <w:sz w:val="22"/>
          <w:szCs w:val="22"/>
        </w:rPr>
        <w:t>Hebrew speaking students are clearly higher</w:t>
      </w:r>
      <w:r w:rsidRPr="00DA228D">
        <w:rPr>
          <w:rFonts w:ascii="Arial" w:hAnsi="Arial" w:cs="Arial"/>
          <w:sz w:val="22"/>
          <w:szCs w:val="22"/>
        </w:rPr>
        <w:t xml:space="preserve"> (approximately 100 score points, which are one standard deviation) than those of </w:t>
      </w:r>
      <w:r w:rsidRPr="00DA228D">
        <w:rPr>
          <w:rFonts w:ascii="Arial" w:hAnsi="Arial" w:cs="Arial"/>
          <w:sz w:val="22"/>
          <w:szCs w:val="22"/>
        </w:rPr>
        <w:lastRenderedPageBreak/>
        <w:t xml:space="preserve">the </w:t>
      </w:r>
      <w:r w:rsidR="00B505EE" w:rsidRPr="00DA228D">
        <w:rPr>
          <w:rFonts w:ascii="Arial" w:hAnsi="Arial" w:cs="Arial"/>
          <w:b/>
          <w:bCs/>
          <w:sz w:val="22"/>
          <w:szCs w:val="22"/>
        </w:rPr>
        <w:t>Arabic</w:t>
      </w:r>
      <w:r w:rsidRPr="00DA228D">
        <w:rPr>
          <w:rFonts w:ascii="Arial" w:hAnsi="Arial" w:cs="Arial"/>
          <w:b/>
          <w:bCs/>
          <w:sz w:val="22"/>
          <w:szCs w:val="22"/>
        </w:rPr>
        <w:t xml:space="preserve"> speaking</w:t>
      </w:r>
      <w:r w:rsidRPr="00DA228D">
        <w:rPr>
          <w:rFonts w:ascii="Arial" w:hAnsi="Arial" w:cs="Arial"/>
          <w:sz w:val="22"/>
          <w:szCs w:val="22"/>
        </w:rPr>
        <w:t xml:space="preserve"> students’ achievements (498 as against 392, respectively). These achievements theoretically place the Hebrew speakers, in position 17a in the ranking of countries, and the Arabic speakers, theoretically, in position 57a. The achievements of the </w:t>
      </w:r>
      <w:r w:rsidRPr="00DA228D">
        <w:rPr>
          <w:rFonts w:ascii="Arial" w:hAnsi="Arial" w:cs="Arial"/>
          <w:b/>
          <w:bCs/>
          <w:sz w:val="22"/>
          <w:szCs w:val="22"/>
        </w:rPr>
        <w:t>Hebrew speakers</w:t>
      </w:r>
      <w:r w:rsidRPr="00DA228D">
        <w:rPr>
          <w:rFonts w:ascii="Arial" w:hAnsi="Arial" w:cs="Arial"/>
          <w:sz w:val="22"/>
          <w:szCs w:val="22"/>
        </w:rPr>
        <w:t xml:space="preserve"> (498) </w:t>
      </w:r>
      <w:r w:rsidRPr="00DA228D">
        <w:rPr>
          <w:rFonts w:ascii="Arial" w:hAnsi="Arial" w:cs="Arial"/>
          <w:b/>
          <w:bCs/>
          <w:sz w:val="22"/>
          <w:szCs w:val="22"/>
        </w:rPr>
        <w:t xml:space="preserve">surpass the OECD average </w:t>
      </w:r>
      <w:r w:rsidRPr="00DA228D">
        <w:rPr>
          <w:rFonts w:ascii="Arial" w:hAnsi="Arial" w:cs="Arial"/>
          <w:sz w:val="22"/>
          <w:szCs w:val="22"/>
        </w:rPr>
        <w:t>(493).</w:t>
      </w:r>
    </w:p>
    <w:p w:rsidR="00B01C7A" w:rsidRPr="00DA228D" w:rsidRDefault="00B01C7A" w:rsidP="00FD6678">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9% of the Hebrew speakers</w:t>
      </w:r>
      <w:r w:rsidRPr="00DA228D">
        <w:rPr>
          <w:rFonts w:ascii="Arial" w:hAnsi="Arial" w:cs="Arial"/>
          <w:sz w:val="22"/>
          <w:szCs w:val="22"/>
        </w:rPr>
        <w:t xml:space="preserve"> are at the </w:t>
      </w:r>
      <w:r w:rsidRPr="00DA228D">
        <w:rPr>
          <w:rFonts w:ascii="Arial" w:hAnsi="Arial" w:cs="Arial"/>
          <w:b/>
          <w:bCs/>
          <w:sz w:val="22"/>
          <w:szCs w:val="22"/>
        </w:rPr>
        <w:t>high proficiency levels</w:t>
      </w:r>
      <w:r w:rsidRPr="00DA228D">
        <w:rPr>
          <w:rFonts w:ascii="Arial" w:hAnsi="Arial" w:cs="Arial"/>
          <w:sz w:val="22"/>
          <w:szCs w:val="22"/>
        </w:rPr>
        <w:t xml:space="preserve"> (5-6), but only </w:t>
      </w:r>
      <w:r w:rsidRPr="00DA228D">
        <w:rPr>
          <w:rFonts w:ascii="Arial" w:hAnsi="Arial" w:cs="Arial"/>
          <w:b/>
          <w:bCs/>
          <w:sz w:val="22"/>
          <w:szCs w:val="22"/>
        </w:rPr>
        <w:t>1% of the Arabic speakers</w:t>
      </w:r>
      <w:r w:rsidRPr="00DA228D">
        <w:rPr>
          <w:rFonts w:ascii="Arial" w:hAnsi="Arial" w:cs="Arial"/>
          <w:sz w:val="22"/>
          <w:szCs w:val="22"/>
        </w:rPr>
        <w:t xml:space="preserve">. </w:t>
      </w:r>
      <w:r w:rsidRPr="00DA228D">
        <w:rPr>
          <w:rFonts w:ascii="Arial" w:hAnsi="Arial" w:cs="Arial"/>
          <w:b/>
          <w:bCs/>
          <w:sz w:val="22"/>
          <w:szCs w:val="22"/>
        </w:rPr>
        <w:t>18% of the Hebrew speakers</w:t>
      </w:r>
      <w:r w:rsidRPr="00DA228D">
        <w:rPr>
          <w:rFonts w:ascii="Arial" w:hAnsi="Arial" w:cs="Arial"/>
          <w:sz w:val="22"/>
          <w:szCs w:val="22"/>
        </w:rPr>
        <w:t xml:space="preserve"> are at the </w:t>
      </w:r>
      <w:r w:rsidRPr="00DA228D">
        <w:rPr>
          <w:rFonts w:ascii="Arial" w:hAnsi="Arial" w:cs="Arial"/>
          <w:b/>
          <w:bCs/>
          <w:sz w:val="22"/>
          <w:szCs w:val="22"/>
        </w:rPr>
        <w:t>low proficiency levels</w:t>
      </w:r>
      <w:r w:rsidRPr="00DA228D">
        <w:rPr>
          <w:rFonts w:ascii="Arial" w:hAnsi="Arial" w:cs="Arial"/>
          <w:sz w:val="22"/>
          <w:szCs w:val="22"/>
        </w:rPr>
        <w:t xml:space="preserve"> (below level 2), as opposed to </w:t>
      </w:r>
      <w:r w:rsidRPr="00DA228D">
        <w:rPr>
          <w:rFonts w:ascii="Arial" w:hAnsi="Arial" w:cs="Arial"/>
          <w:b/>
          <w:bCs/>
          <w:sz w:val="22"/>
          <w:szCs w:val="22"/>
        </w:rPr>
        <w:t>55% of the Arabic speakers</w:t>
      </w:r>
      <w:r w:rsidRPr="00DA228D">
        <w:rPr>
          <w:rFonts w:ascii="Arial" w:hAnsi="Arial" w:cs="Arial"/>
          <w:sz w:val="22"/>
          <w:szCs w:val="22"/>
        </w:rPr>
        <w:t>.</w:t>
      </w:r>
    </w:p>
    <w:p w:rsidR="004E7B19" w:rsidRPr="00DA228D" w:rsidRDefault="002970D1" w:rsidP="00FD6678">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The girls’ achievements are higher than those of the boys in both sectors</w:t>
      </w:r>
      <w:r w:rsidRPr="00DA228D">
        <w:rPr>
          <w:rFonts w:ascii="Arial" w:hAnsi="Arial" w:cs="Arial"/>
          <w:sz w:val="22"/>
          <w:szCs w:val="22"/>
        </w:rPr>
        <w:t xml:space="preserve">, and particularly among </w:t>
      </w:r>
      <w:r w:rsidR="00B505EE" w:rsidRPr="00DA228D">
        <w:rPr>
          <w:rFonts w:ascii="Arial" w:hAnsi="Arial" w:cs="Arial"/>
          <w:sz w:val="22"/>
          <w:szCs w:val="22"/>
        </w:rPr>
        <w:t>Arabic</w:t>
      </w:r>
      <w:r w:rsidRPr="00DA228D">
        <w:rPr>
          <w:rFonts w:ascii="Arial" w:hAnsi="Arial" w:cs="Arial"/>
          <w:sz w:val="22"/>
          <w:szCs w:val="22"/>
        </w:rPr>
        <w:t xml:space="preserve"> speakers: 515 as against 480 among the Hebrew speakers, and 424 as against 359 among the </w:t>
      </w:r>
      <w:r w:rsidR="00B505EE" w:rsidRPr="00DA228D">
        <w:rPr>
          <w:rFonts w:ascii="Arial" w:hAnsi="Arial" w:cs="Arial"/>
          <w:sz w:val="22"/>
          <w:szCs w:val="22"/>
        </w:rPr>
        <w:t>Arabic</w:t>
      </w:r>
      <w:r w:rsidRPr="00DA228D">
        <w:rPr>
          <w:rFonts w:ascii="Arial" w:hAnsi="Arial" w:cs="Arial"/>
          <w:sz w:val="22"/>
          <w:szCs w:val="22"/>
        </w:rPr>
        <w:t xml:space="preserve"> speakers. </w:t>
      </w:r>
    </w:p>
    <w:p w:rsidR="00897576" w:rsidRPr="00DA228D" w:rsidRDefault="00EB039B" w:rsidP="00FD6678">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Between 2006 and 2009, there was </w:t>
      </w:r>
      <w:r w:rsidRPr="00DA228D">
        <w:rPr>
          <w:rFonts w:ascii="Arial" w:hAnsi="Arial" w:cs="Arial"/>
          <w:b/>
          <w:bCs/>
          <w:sz w:val="22"/>
          <w:szCs w:val="22"/>
        </w:rPr>
        <w:t>a rise of approximately 42 score points among the Hebrew speakers</w:t>
      </w:r>
      <w:r w:rsidRPr="00DA228D">
        <w:rPr>
          <w:rFonts w:ascii="Arial" w:hAnsi="Arial" w:cs="Arial"/>
          <w:sz w:val="22"/>
          <w:szCs w:val="22"/>
        </w:rPr>
        <w:t xml:space="preserve"> (and a total rise of 33 points since 2002), and </w:t>
      </w:r>
      <w:r w:rsidRPr="00DA228D">
        <w:rPr>
          <w:rFonts w:ascii="Arial" w:hAnsi="Arial" w:cs="Arial"/>
          <w:b/>
          <w:bCs/>
          <w:sz w:val="22"/>
          <w:szCs w:val="22"/>
        </w:rPr>
        <w:t>a rise of 20 score points among the Arabic speakers</w:t>
      </w:r>
      <w:r w:rsidRPr="00DA228D">
        <w:rPr>
          <w:rFonts w:ascii="Arial" w:hAnsi="Arial" w:cs="Arial"/>
          <w:sz w:val="22"/>
          <w:szCs w:val="22"/>
        </w:rPr>
        <w:t xml:space="preserve"> (and a total rise of 14 points since 2002).</w:t>
      </w:r>
    </w:p>
    <w:p w:rsidR="00456BF5" w:rsidRPr="00DA228D" w:rsidRDefault="00885F19" w:rsidP="00E10E31">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 xml:space="preserve">Achievements according to socioeconomic </w:t>
      </w:r>
      <w:r w:rsidR="00E10E31" w:rsidRPr="00DA228D">
        <w:rPr>
          <w:rFonts w:ascii="Arial" w:hAnsi="Arial" w:cs="Arial"/>
          <w:b/>
          <w:bCs/>
          <w:sz w:val="22"/>
          <w:szCs w:val="22"/>
        </w:rPr>
        <w:t xml:space="preserve">status </w:t>
      </w:r>
      <w:r w:rsidRPr="00DA228D">
        <w:rPr>
          <w:rFonts w:ascii="Arial" w:hAnsi="Arial" w:cs="Arial"/>
          <w:b/>
          <w:bCs/>
          <w:sz w:val="22"/>
          <w:szCs w:val="22"/>
        </w:rPr>
        <w:t>in Israel:</w:t>
      </w:r>
      <w:r w:rsidRPr="00DA228D">
        <w:rPr>
          <w:rFonts w:ascii="Arial" w:hAnsi="Arial" w:cs="Arial"/>
          <w:sz w:val="22"/>
          <w:szCs w:val="22"/>
        </w:rPr>
        <w:t xml:space="preserve"> </w:t>
      </w:r>
    </w:p>
    <w:p w:rsidR="004A3F2A" w:rsidRPr="00DA228D" w:rsidRDefault="00CE4444" w:rsidP="00E10E31">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Students from a </w:t>
      </w:r>
      <w:r w:rsidR="00E10E31" w:rsidRPr="00DA228D">
        <w:rPr>
          <w:rFonts w:ascii="Arial" w:hAnsi="Arial" w:cs="Arial"/>
          <w:sz w:val="22"/>
          <w:szCs w:val="22"/>
        </w:rPr>
        <w:t xml:space="preserve">high socioeconomic status </w:t>
      </w:r>
      <w:r w:rsidRPr="00DA228D">
        <w:rPr>
          <w:rFonts w:ascii="Arial" w:hAnsi="Arial" w:cs="Arial"/>
          <w:b/>
          <w:bCs/>
          <w:sz w:val="22"/>
          <w:szCs w:val="22"/>
        </w:rPr>
        <w:t xml:space="preserve">had </w:t>
      </w:r>
      <w:r w:rsidR="00E10E31" w:rsidRPr="00DA228D">
        <w:rPr>
          <w:rFonts w:ascii="Arial" w:hAnsi="Arial" w:cs="Arial"/>
          <w:b/>
          <w:bCs/>
          <w:sz w:val="22"/>
          <w:szCs w:val="22"/>
        </w:rPr>
        <w:t xml:space="preserve">higher </w:t>
      </w:r>
      <w:r w:rsidRPr="00DA228D">
        <w:rPr>
          <w:rFonts w:ascii="Arial" w:hAnsi="Arial" w:cs="Arial"/>
          <w:b/>
          <w:bCs/>
          <w:sz w:val="22"/>
          <w:szCs w:val="22"/>
        </w:rPr>
        <w:t>achievements than</w:t>
      </w:r>
      <w:r w:rsidRPr="00DA228D">
        <w:rPr>
          <w:rFonts w:ascii="Arial" w:hAnsi="Arial" w:cs="Arial"/>
          <w:sz w:val="22"/>
          <w:szCs w:val="22"/>
        </w:rPr>
        <w:t xml:space="preserve"> students from </w:t>
      </w:r>
      <w:r w:rsidR="007F2A35" w:rsidRPr="00DA228D">
        <w:rPr>
          <w:rFonts w:ascii="Arial" w:hAnsi="Arial" w:cs="Arial"/>
          <w:sz w:val="22"/>
          <w:szCs w:val="22"/>
        </w:rPr>
        <w:t>a middle</w:t>
      </w:r>
      <w:r w:rsidR="00E10E31" w:rsidRPr="00DA228D">
        <w:rPr>
          <w:rFonts w:ascii="Arial" w:hAnsi="Arial" w:cs="Arial"/>
          <w:sz w:val="22"/>
          <w:szCs w:val="22"/>
        </w:rPr>
        <w:t xml:space="preserve"> or low socioeconomic status</w:t>
      </w:r>
      <w:r w:rsidRPr="00DA228D">
        <w:rPr>
          <w:rFonts w:ascii="Arial" w:hAnsi="Arial" w:cs="Arial"/>
          <w:sz w:val="22"/>
          <w:szCs w:val="22"/>
        </w:rPr>
        <w:t xml:space="preserve">. </w:t>
      </w:r>
    </w:p>
    <w:p w:rsidR="00456BF5" w:rsidRPr="00DA228D" w:rsidRDefault="00CE4444" w:rsidP="005C55B1">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The average score for Hebrew speaking students </w:t>
      </w:r>
      <w:r w:rsidR="005C55B1" w:rsidRPr="00DA228D">
        <w:rPr>
          <w:rFonts w:ascii="Arial" w:hAnsi="Arial" w:cs="Arial"/>
          <w:sz w:val="22"/>
          <w:szCs w:val="22"/>
        </w:rPr>
        <w:t xml:space="preserve">from </w:t>
      </w:r>
      <w:r w:rsidR="004F378A" w:rsidRPr="00DA228D">
        <w:rPr>
          <w:rFonts w:ascii="Arial" w:hAnsi="Arial" w:cs="Arial"/>
          <w:sz w:val="22"/>
          <w:szCs w:val="22"/>
        </w:rPr>
        <w:t xml:space="preserve">a </w:t>
      </w:r>
      <w:r w:rsidR="005C55B1" w:rsidRPr="00DA228D">
        <w:rPr>
          <w:rFonts w:ascii="Arial" w:hAnsi="Arial" w:cs="Arial"/>
          <w:sz w:val="22"/>
          <w:szCs w:val="22"/>
        </w:rPr>
        <w:t xml:space="preserve">high, middle and low </w:t>
      </w:r>
      <w:r w:rsidR="00474D94" w:rsidRPr="00DA228D">
        <w:rPr>
          <w:rFonts w:ascii="Arial" w:hAnsi="Arial" w:cs="Arial"/>
          <w:sz w:val="22"/>
          <w:szCs w:val="22"/>
        </w:rPr>
        <w:t>socio</w:t>
      </w:r>
      <w:r w:rsidR="005C55B1" w:rsidRPr="00DA228D">
        <w:rPr>
          <w:rFonts w:ascii="Arial" w:hAnsi="Arial" w:cs="Arial"/>
          <w:sz w:val="22"/>
          <w:szCs w:val="22"/>
        </w:rPr>
        <w:t>economic status</w:t>
      </w:r>
      <w:r w:rsidRPr="00DA228D">
        <w:rPr>
          <w:rFonts w:ascii="Arial" w:hAnsi="Arial" w:cs="Arial"/>
          <w:sz w:val="22"/>
          <w:szCs w:val="22"/>
        </w:rPr>
        <w:t xml:space="preserve"> is 552, 491, and 458, respectively. </w:t>
      </w:r>
    </w:p>
    <w:p w:rsidR="004A3F2A" w:rsidRPr="00DA228D" w:rsidRDefault="002B5754" w:rsidP="004F378A">
      <w:pPr>
        <w:numPr>
          <w:ilvl w:val="2"/>
          <w:numId w:val="2"/>
        </w:numPr>
        <w:autoSpaceDE w:val="0"/>
        <w:autoSpaceDN w:val="0"/>
        <w:bidi w:val="0"/>
        <w:adjustRightInd w:val="0"/>
        <w:spacing w:before="0" w:after="120" w:line="320" w:lineRule="exact"/>
        <w:ind w:right="0"/>
        <w:rPr>
          <w:rFonts w:ascii="Arial" w:hAnsi="Arial" w:cs="Arial"/>
          <w:b/>
          <w:bCs/>
          <w:sz w:val="22"/>
          <w:szCs w:val="22"/>
        </w:rPr>
      </w:pPr>
      <w:r w:rsidRPr="00DA228D">
        <w:rPr>
          <w:rFonts w:ascii="Arial" w:hAnsi="Arial" w:cs="Arial"/>
          <w:sz w:val="22"/>
          <w:szCs w:val="22"/>
        </w:rPr>
        <w:t xml:space="preserve">The average score for Arabic speaking </w:t>
      </w:r>
      <w:r w:rsidR="007F2A35" w:rsidRPr="00DA228D">
        <w:rPr>
          <w:rFonts w:ascii="Arial" w:hAnsi="Arial" w:cs="Arial"/>
          <w:sz w:val="22"/>
          <w:szCs w:val="22"/>
        </w:rPr>
        <w:t>students, from</w:t>
      </w:r>
      <w:r w:rsidR="004F378A" w:rsidRPr="00DA228D">
        <w:rPr>
          <w:rFonts w:ascii="Arial" w:hAnsi="Arial" w:cs="Arial"/>
          <w:sz w:val="22"/>
          <w:szCs w:val="22"/>
        </w:rPr>
        <w:t xml:space="preserve"> a high, middle and low socioeconomic status</w:t>
      </w:r>
      <w:r w:rsidRPr="00DA228D">
        <w:rPr>
          <w:rFonts w:ascii="Arial" w:hAnsi="Arial" w:cs="Arial"/>
          <w:sz w:val="22"/>
          <w:szCs w:val="22"/>
        </w:rPr>
        <w:t xml:space="preserve"> is 452 and 386, respectively. </w:t>
      </w:r>
    </w:p>
    <w:p w:rsidR="00317EB2" w:rsidRPr="00DA228D" w:rsidRDefault="00557D39" w:rsidP="007F2A35">
      <w:pPr>
        <w:numPr>
          <w:ilvl w:val="2"/>
          <w:numId w:val="2"/>
        </w:numPr>
        <w:autoSpaceDE w:val="0"/>
        <w:autoSpaceDN w:val="0"/>
        <w:bidi w:val="0"/>
        <w:adjustRightInd w:val="0"/>
        <w:spacing w:before="0" w:after="120" w:line="320" w:lineRule="exact"/>
        <w:ind w:right="0"/>
        <w:rPr>
          <w:rFonts w:ascii="Arial" w:hAnsi="Arial" w:cs="Arial"/>
          <w:b/>
          <w:bCs/>
          <w:sz w:val="22"/>
          <w:szCs w:val="22"/>
        </w:rPr>
      </w:pPr>
      <w:r w:rsidRPr="00DA228D">
        <w:rPr>
          <w:rFonts w:ascii="Arial" w:hAnsi="Arial" w:cs="Arial"/>
          <w:b/>
          <w:bCs/>
          <w:sz w:val="22"/>
          <w:szCs w:val="22"/>
        </w:rPr>
        <w:t xml:space="preserve">The performance gaps between the language sectors are smaller when segmented according to socioeconomic </w:t>
      </w:r>
      <w:r w:rsidR="004F378A" w:rsidRPr="00DA228D">
        <w:rPr>
          <w:rFonts w:ascii="Arial" w:hAnsi="Arial" w:cs="Arial"/>
          <w:b/>
          <w:bCs/>
          <w:sz w:val="22"/>
          <w:szCs w:val="22"/>
        </w:rPr>
        <w:t>status</w:t>
      </w:r>
      <w:r w:rsidRPr="00DA228D">
        <w:rPr>
          <w:rFonts w:ascii="Arial" w:hAnsi="Arial" w:cs="Arial"/>
          <w:sz w:val="22"/>
          <w:szCs w:val="22"/>
        </w:rPr>
        <w:t xml:space="preserve">: </w:t>
      </w:r>
      <w:r w:rsidR="004F378A" w:rsidRPr="00DA228D">
        <w:rPr>
          <w:rFonts w:ascii="Arial" w:hAnsi="Arial" w:cs="Arial"/>
          <w:sz w:val="22"/>
          <w:szCs w:val="22"/>
        </w:rPr>
        <w:t>with regard</w:t>
      </w:r>
      <w:r w:rsidR="00F02C14" w:rsidRPr="00DA228D">
        <w:rPr>
          <w:rFonts w:ascii="Arial" w:hAnsi="Arial" w:cs="Arial"/>
          <w:sz w:val="22"/>
          <w:szCs w:val="22"/>
        </w:rPr>
        <w:t xml:space="preserve"> to</w:t>
      </w:r>
      <w:r w:rsidR="004F378A" w:rsidRPr="00DA228D">
        <w:rPr>
          <w:rFonts w:ascii="Arial" w:hAnsi="Arial" w:cs="Arial"/>
          <w:sz w:val="22"/>
          <w:szCs w:val="22"/>
        </w:rPr>
        <w:t xml:space="preserve"> a</w:t>
      </w:r>
      <w:r w:rsidR="00F02C14" w:rsidRPr="00DA228D">
        <w:rPr>
          <w:rFonts w:ascii="Arial" w:hAnsi="Arial" w:cs="Arial"/>
          <w:sz w:val="22"/>
          <w:szCs w:val="22"/>
        </w:rPr>
        <w:t xml:space="preserve"> </w:t>
      </w:r>
      <w:r w:rsidR="004F378A" w:rsidRPr="00DA228D">
        <w:rPr>
          <w:rFonts w:ascii="Arial" w:hAnsi="Arial" w:cs="Arial"/>
          <w:sz w:val="22"/>
          <w:szCs w:val="22"/>
        </w:rPr>
        <w:t xml:space="preserve">middle </w:t>
      </w:r>
      <w:r w:rsidRPr="00DA228D">
        <w:rPr>
          <w:rFonts w:ascii="Arial" w:hAnsi="Arial" w:cs="Arial"/>
          <w:sz w:val="22"/>
          <w:szCs w:val="22"/>
        </w:rPr>
        <w:t xml:space="preserve">socioeconomic </w:t>
      </w:r>
      <w:r w:rsidR="004F378A" w:rsidRPr="00DA228D">
        <w:rPr>
          <w:rFonts w:ascii="Arial" w:hAnsi="Arial" w:cs="Arial"/>
          <w:sz w:val="22"/>
          <w:szCs w:val="22"/>
        </w:rPr>
        <w:t>status</w:t>
      </w:r>
      <w:r w:rsidRPr="00DA228D">
        <w:rPr>
          <w:rFonts w:ascii="Arial" w:hAnsi="Arial" w:cs="Arial"/>
          <w:sz w:val="22"/>
          <w:szCs w:val="22"/>
        </w:rPr>
        <w:t xml:space="preserve">, there is </w:t>
      </w:r>
      <w:proofErr w:type="gramStart"/>
      <w:r w:rsidRPr="00DA228D">
        <w:rPr>
          <w:rFonts w:ascii="Arial" w:hAnsi="Arial" w:cs="Arial"/>
          <w:sz w:val="22"/>
          <w:szCs w:val="22"/>
        </w:rPr>
        <w:t xml:space="preserve">a </w:t>
      </w:r>
      <w:r w:rsidR="00F02C14" w:rsidRPr="00DA228D">
        <w:rPr>
          <w:rFonts w:ascii="Arial" w:hAnsi="Arial" w:cs="Arial"/>
          <w:sz w:val="22"/>
          <w:szCs w:val="22"/>
        </w:rPr>
        <w:t xml:space="preserve">performance </w:t>
      </w:r>
      <w:r w:rsidRPr="00DA228D">
        <w:rPr>
          <w:rFonts w:ascii="Arial" w:hAnsi="Arial" w:cs="Arial"/>
          <w:sz w:val="22"/>
          <w:szCs w:val="22"/>
        </w:rPr>
        <w:t>gap of 39 score</w:t>
      </w:r>
      <w:proofErr w:type="gramEnd"/>
      <w:r w:rsidRPr="00DA228D">
        <w:rPr>
          <w:rFonts w:ascii="Arial" w:hAnsi="Arial" w:cs="Arial"/>
          <w:sz w:val="22"/>
          <w:szCs w:val="22"/>
        </w:rPr>
        <w:t xml:space="preserve"> points between the Hebrew speakers and the Arabic speakers. </w:t>
      </w:r>
      <w:r w:rsidRPr="00DA228D">
        <w:rPr>
          <w:rFonts w:ascii="Arial" w:hAnsi="Arial" w:cs="Arial"/>
          <w:b/>
          <w:bCs/>
          <w:sz w:val="22"/>
          <w:szCs w:val="22"/>
        </w:rPr>
        <w:t xml:space="preserve">With </w:t>
      </w:r>
      <w:r w:rsidR="004F378A" w:rsidRPr="00DA228D">
        <w:rPr>
          <w:rFonts w:ascii="Arial" w:hAnsi="Arial" w:cs="Arial"/>
          <w:b/>
          <w:bCs/>
          <w:sz w:val="22"/>
          <w:szCs w:val="22"/>
        </w:rPr>
        <w:t xml:space="preserve">regard </w:t>
      </w:r>
      <w:r w:rsidR="007F2A35" w:rsidRPr="00DA228D">
        <w:rPr>
          <w:rFonts w:ascii="Arial" w:hAnsi="Arial" w:cs="Arial"/>
          <w:b/>
          <w:bCs/>
          <w:sz w:val="22"/>
          <w:szCs w:val="22"/>
        </w:rPr>
        <w:t xml:space="preserve">to </w:t>
      </w:r>
      <w:r w:rsidR="004F378A" w:rsidRPr="00DA228D">
        <w:rPr>
          <w:rFonts w:ascii="Arial" w:hAnsi="Arial" w:cs="Arial"/>
          <w:b/>
          <w:bCs/>
          <w:sz w:val="22"/>
          <w:szCs w:val="22"/>
        </w:rPr>
        <w:t xml:space="preserve">a low socioeconomic status </w:t>
      </w:r>
      <w:r w:rsidRPr="00DA228D">
        <w:rPr>
          <w:rFonts w:ascii="Arial" w:hAnsi="Arial" w:cs="Arial"/>
          <w:b/>
          <w:bCs/>
          <w:sz w:val="22"/>
          <w:szCs w:val="22"/>
        </w:rPr>
        <w:t xml:space="preserve">there is a greater performance gap between the sectors </w:t>
      </w:r>
      <w:r w:rsidR="00555614" w:rsidRPr="00DA228D">
        <w:rPr>
          <w:rFonts w:ascii="Arial" w:hAnsi="Arial" w:cs="Arial"/>
          <w:b/>
          <w:bCs/>
          <w:sz w:val="22"/>
          <w:szCs w:val="22"/>
        </w:rPr>
        <w:t>–</w:t>
      </w:r>
      <w:r w:rsidRPr="00DA228D">
        <w:rPr>
          <w:rFonts w:ascii="Arial" w:hAnsi="Arial" w:cs="Arial"/>
          <w:b/>
          <w:bCs/>
          <w:sz w:val="22"/>
          <w:szCs w:val="22"/>
        </w:rPr>
        <w:t xml:space="preserve"> a gap of 72 points.</w:t>
      </w:r>
      <w:r w:rsidRPr="00DA228D">
        <w:rPr>
          <w:rFonts w:ascii="Arial" w:hAnsi="Arial" w:cs="Arial"/>
          <w:sz w:val="22"/>
          <w:szCs w:val="22"/>
        </w:rPr>
        <w:t xml:space="preserve"> </w:t>
      </w:r>
    </w:p>
    <w:p w:rsidR="0006403E" w:rsidRPr="00DA228D" w:rsidRDefault="0006403E" w:rsidP="00FD6678">
      <w:pPr>
        <w:pStyle w:val="ae"/>
        <w:bidi w:val="0"/>
        <w:spacing w:before="240" w:line="320" w:lineRule="exact"/>
        <w:ind w:left="0"/>
        <w:jc w:val="both"/>
        <w:rPr>
          <w:rFonts w:ascii="Arial" w:hAnsi="Arial" w:cs="Arial"/>
          <w:b/>
          <w:bCs/>
          <w:color w:val="008000"/>
          <w:sz w:val="28"/>
          <w:szCs w:val="28"/>
          <w:rtl/>
        </w:rPr>
      </w:pPr>
    </w:p>
    <w:p w:rsidR="00CC5976" w:rsidRPr="00DA228D" w:rsidRDefault="00022FD2" w:rsidP="00DA228D">
      <w:pPr>
        <w:pStyle w:val="ae"/>
        <w:bidi w:val="0"/>
        <w:spacing w:before="240" w:line="320" w:lineRule="exact"/>
        <w:ind w:left="0"/>
        <w:jc w:val="both"/>
        <w:rPr>
          <w:rFonts w:ascii="Arial" w:hAnsi="Arial" w:cs="Arial"/>
          <w:b/>
          <w:bCs/>
          <w:color w:val="008000"/>
          <w:sz w:val="28"/>
          <w:szCs w:val="28"/>
          <w:rtl/>
        </w:rPr>
      </w:pPr>
      <w:r w:rsidRPr="00DA228D">
        <w:rPr>
          <w:rFonts w:ascii="Arial" w:hAnsi="Arial" w:cs="Arial"/>
          <w:b/>
          <w:bCs/>
          <w:color w:val="008000"/>
          <w:sz w:val="28"/>
          <w:szCs w:val="28"/>
        </w:rPr>
        <w:t xml:space="preserve">Achievements in </w:t>
      </w:r>
      <w:r w:rsidR="00DA228D">
        <w:rPr>
          <w:rFonts w:ascii="Arial" w:hAnsi="Arial" w:cs="Arial"/>
          <w:b/>
          <w:bCs/>
          <w:color w:val="008000"/>
          <w:sz w:val="28"/>
          <w:szCs w:val="28"/>
        </w:rPr>
        <w:t>Mathematics</w:t>
      </w:r>
      <w:r w:rsidRPr="00DA228D">
        <w:rPr>
          <w:rFonts w:ascii="Arial" w:hAnsi="Arial" w:cs="Arial"/>
          <w:b/>
          <w:bCs/>
          <w:color w:val="008000"/>
          <w:sz w:val="28"/>
          <w:szCs w:val="28"/>
        </w:rPr>
        <w:t xml:space="preserve"> literacy</w:t>
      </w:r>
    </w:p>
    <w:p w:rsidR="007B54F8" w:rsidRPr="00DA228D" w:rsidRDefault="006D07EA" w:rsidP="00DA228D">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The </w:t>
      </w:r>
      <w:r w:rsidRPr="00DA228D">
        <w:rPr>
          <w:rFonts w:ascii="Arial" w:hAnsi="Arial" w:cs="Arial"/>
          <w:b/>
          <w:bCs/>
          <w:sz w:val="22"/>
          <w:szCs w:val="22"/>
        </w:rPr>
        <w:t>average score</w:t>
      </w:r>
      <w:r w:rsidRPr="00DA228D">
        <w:rPr>
          <w:rFonts w:ascii="Arial" w:hAnsi="Arial" w:cs="Arial"/>
          <w:sz w:val="22"/>
          <w:szCs w:val="22"/>
        </w:rPr>
        <w:t xml:space="preserve"> for </w:t>
      </w:r>
      <w:r w:rsidR="00DA228D">
        <w:rPr>
          <w:rFonts w:ascii="Arial" w:hAnsi="Arial" w:cs="Arial"/>
          <w:sz w:val="22"/>
          <w:szCs w:val="22"/>
        </w:rPr>
        <w:t>mathematics</w:t>
      </w:r>
      <w:r w:rsidRPr="00DA228D">
        <w:rPr>
          <w:rFonts w:ascii="Arial" w:hAnsi="Arial" w:cs="Arial"/>
          <w:sz w:val="22"/>
          <w:szCs w:val="22"/>
        </w:rPr>
        <w:t xml:space="preserve"> literacy in Israel </w:t>
      </w:r>
      <w:r w:rsidR="00474D94" w:rsidRPr="00DA228D">
        <w:rPr>
          <w:rFonts w:ascii="Arial" w:hAnsi="Arial" w:cs="Arial"/>
          <w:sz w:val="22"/>
          <w:szCs w:val="22"/>
        </w:rPr>
        <w:t xml:space="preserve">was </w:t>
      </w:r>
      <w:r w:rsidRPr="00DA228D">
        <w:rPr>
          <w:rFonts w:ascii="Arial" w:hAnsi="Arial" w:cs="Arial"/>
          <w:b/>
          <w:bCs/>
          <w:sz w:val="22"/>
          <w:szCs w:val="22"/>
        </w:rPr>
        <w:t xml:space="preserve">447 </w:t>
      </w:r>
      <w:r w:rsidRPr="00DA228D">
        <w:rPr>
          <w:rFonts w:ascii="Arial" w:hAnsi="Arial" w:cs="Arial"/>
          <w:sz w:val="22"/>
          <w:szCs w:val="22"/>
        </w:rPr>
        <w:t xml:space="preserve">(OECD average is 496). Israel </w:t>
      </w:r>
      <w:r w:rsidR="00E11044" w:rsidRPr="00DA228D">
        <w:rPr>
          <w:rFonts w:ascii="Arial" w:hAnsi="Arial" w:cs="Arial"/>
          <w:sz w:val="22"/>
          <w:szCs w:val="22"/>
        </w:rPr>
        <w:t xml:space="preserve">ranked </w:t>
      </w:r>
      <w:r w:rsidRPr="00DA228D">
        <w:rPr>
          <w:rFonts w:ascii="Arial" w:hAnsi="Arial" w:cs="Arial"/>
          <w:b/>
          <w:bCs/>
          <w:sz w:val="22"/>
          <w:szCs w:val="22"/>
        </w:rPr>
        <w:t xml:space="preserve">41 </w:t>
      </w:r>
      <w:r w:rsidRPr="00DA228D">
        <w:rPr>
          <w:rFonts w:ascii="Arial" w:hAnsi="Arial" w:cs="Arial"/>
          <w:sz w:val="22"/>
          <w:szCs w:val="22"/>
        </w:rPr>
        <w:t xml:space="preserve">out of the 64 </w:t>
      </w:r>
      <w:r w:rsidR="00E11044" w:rsidRPr="00DA228D">
        <w:rPr>
          <w:rFonts w:ascii="Arial" w:hAnsi="Arial" w:cs="Arial"/>
          <w:sz w:val="22"/>
          <w:szCs w:val="22"/>
        </w:rPr>
        <w:t xml:space="preserve">participating </w:t>
      </w:r>
      <w:r w:rsidRPr="00DA228D">
        <w:rPr>
          <w:rFonts w:ascii="Arial" w:hAnsi="Arial" w:cs="Arial"/>
          <w:sz w:val="22"/>
          <w:szCs w:val="22"/>
        </w:rPr>
        <w:t xml:space="preserve">countries. </w:t>
      </w:r>
    </w:p>
    <w:p w:rsidR="00016F9A" w:rsidRPr="00DA228D" w:rsidRDefault="00016F9A" w:rsidP="00DA228D">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Average mathematic</w:t>
      </w:r>
      <w:r w:rsidR="00DA228D">
        <w:rPr>
          <w:rFonts w:ascii="Arial" w:hAnsi="Arial" w:cs="Arial"/>
          <w:b/>
          <w:bCs/>
          <w:sz w:val="22"/>
          <w:szCs w:val="22"/>
        </w:rPr>
        <w:t>s</w:t>
      </w:r>
      <w:r w:rsidRPr="00DA228D">
        <w:rPr>
          <w:rFonts w:ascii="Arial" w:hAnsi="Arial" w:cs="Arial"/>
          <w:b/>
          <w:bCs/>
          <w:sz w:val="22"/>
          <w:szCs w:val="22"/>
        </w:rPr>
        <w:t xml:space="preserve"> literacy scores in countries for comparison</w:t>
      </w:r>
      <w:r w:rsidRPr="00DA228D">
        <w:rPr>
          <w:rFonts w:ascii="Arial" w:hAnsi="Arial" w:cs="Arial"/>
          <w:sz w:val="22"/>
          <w:szCs w:val="22"/>
        </w:rPr>
        <w:t xml:space="preserve">: Finland </w:t>
      </w:r>
      <w:r w:rsidR="00555614" w:rsidRPr="00DA228D">
        <w:rPr>
          <w:rFonts w:ascii="Arial" w:hAnsi="Arial" w:cs="Arial"/>
          <w:sz w:val="22"/>
          <w:szCs w:val="22"/>
        </w:rPr>
        <w:t>–</w:t>
      </w:r>
      <w:r w:rsidR="00FD6678" w:rsidRPr="00DA228D">
        <w:rPr>
          <w:rFonts w:ascii="Arial" w:hAnsi="Arial" w:cs="Arial"/>
          <w:sz w:val="22"/>
          <w:szCs w:val="22"/>
        </w:rPr>
        <w:t xml:space="preserve"> </w:t>
      </w:r>
      <w:r w:rsidRPr="00DA228D">
        <w:rPr>
          <w:rFonts w:ascii="Arial" w:hAnsi="Arial" w:cs="Arial"/>
          <w:sz w:val="22"/>
          <w:szCs w:val="22"/>
        </w:rPr>
        <w:t xml:space="preserve">541, Canada </w:t>
      </w:r>
      <w:r w:rsidR="00555614" w:rsidRPr="00DA228D">
        <w:rPr>
          <w:rFonts w:ascii="Arial" w:hAnsi="Arial" w:cs="Arial"/>
          <w:sz w:val="22"/>
          <w:szCs w:val="22"/>
        </w:rPr>
        <w:t>–</w:t>
      </w:r>
      <w:r w:rsidRPr="00DA228D">
        <w:rPr>
          <w:rFonts w:ascii="Arial" w:hAnsi="Arial" w:cs="Arial"/>
          <w:sz w:val="22"/>
          <w:szCs w:val="22"/>
        </w:rPr>
        <w:t xml:space="preserve"> 527, New Zealand </w:t>
      </w:r>
      <w:r w:rsidR="00555614" w:rsidRPr="00DA228D">
        <w:rPr>
          <w:rFonts w:ascii="Arial" w:hAnsi="Arial" w:cs="Arial"/>
          <w:sz w:val="22"/>
          <w:szCs w:val="22"/>
        </w:rPr>
        <w:t>–</w:t>
      </w:r>
      <w:r w:rsidRPr="00DA228D">
        <w:rPr>
          <w:rFonts w:ascii="Arial" w:hAnsi="Arial" w:cs="Arial"/>
          <w:sz w:val="22"/>
          <w:szCs w:val="22"/>
        </w:rPr>
        <w:t xml:space="preserve"> 519, Spain </w:t>
      </w:r>
      <w:r w:rsidR="00555614" w:rsidRPr="00DA228D">
        <w:rPr>
          <w:rFonts w:ascii="Arial" w:hAnsi="Arial" w:cs="Arial"/>
          <w:sz w:val="22"/>
          <w:szCs w:val="22"/>
        </w:rPr>
        <w:t>–</w:t>
      </w:r>
      <w:r w:rsidRPr="00DA228D">
        <w:rPr>
          <w:rFonts w:ascii="Arial" w:hAnsi="Arial" w:cs="Arial"/>
          <w:sz w:val="22"/>
          <w:szCs w:val="22"/>
        </w:rPr>
        <w:t xml:space="preserve"> 483, Mexico </w:t>
      </w:r>
      <w:r w:rsidR="00555614" w:rsidRPr="00DA228D">
        <w:rPr>
          <w:rFonts w:ascii="Arial" w:hAnsi="Arial" w:cs="Arial"/>
          <w:sz w:val="22"/>
          <w:szCs w:val="22"/>
        </w:rPr>
        <w:t>–</w:t>
      </w:r>
      <w:r w:rsidRPr="00DA228D">
        <w:rPr>
          <w:rFonts w:ascii="Arial" w:hAnsi="Arial" w:cs="Arial"/>
          <w:sz w:val="22"/>
          <w:szCs w:val="22"/>
        </w:rPr>
        <w:t xml:space="preserve"> 419.</w:t>
      </w:r>
    </w:p>
    <w:p w:rsidR="007B54F8" w:rsidRPr="00DA228D" w:rsidRDefault="009233A4" w:rsidP="00FD6678">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Distribution according to proficiency levels</w:t>
      </w:r>
      <w:r w:rsidRPr="00DA228D">
        <w:rPr>
          <w:rFonts w:ascii="Arial" w:hAnsi="Arial" w:cs="Arial"/>
          <w:sz w:val="22"/>
          <w:szCs w:val="22"/>
        </w:rPr>
        <w:t xml:space="preserve">: the rate of students with </w:t>
      </w:r>
      <w:r w:rsidRPr="00DA228D">
        <w:rPr>
          <w:rFonts w:ascii="Arial" w:hAnsi="Arial" w:cs="Arial"/>
          <w:b/>
          <w:bCs/>
          <w:sz w:val="22"/>
          <w:szCs w:val="22"/>
        </w:rPr>
        <w:t>high proficiency levels</w:t>
      </w:r>
      <w:r w:rsidRPr="00DA228D">
        <w:rPr>
          <w:rFonts w:ascii="Arial" w:hAnsi="Arial" w:cs="Arial"/>
          <w:sz w:val="22"/>
          <w:szCs w:val="22"/>
        </w:rPr>
        <w:t xml:space="preserve"> (levels 5 and 6) is </w:t>
      </w:r>
      <w:r w:rsidRPr="00DA228D">
        <w:rPr>
          <w:rFonts w:ascii="Arial" w:hAnsi="Arial" w:cs="Arial"/>
          <w:b/>
          <w:bCs/>
          <w:sz w:val="22"/>
          <w:szCs w:val="22"/>
        </w:rPr>
        <w:t>6%</w:t>
      </w:r>
      <w:r w:rsidRPr="00DA228D">
        <w:rPr>
          <w:rFonts w:ascii="Arial" w:hAnsi="Arial" w:cs="Arial"/>
          <w:sz w:val="22"/>
          <w:szCs w:val="22"/>
        </w:rPr>
        <w:t xml:space="preserve">, lower than their average rate in OECD countries (13%). The rate of students in Israel with the </w:t>
      </w:r>
      <w:r w:rsidRPr="00DA228D">
        <w:rPr>
          <w:rFonts w:ascii="Arial" w:hAnsi="Arial" w:cs="Arial"/>
          <w:b/>
          <w:bCs/>
          <w:sz w:val="22"/>
          <w:szCs w:val="22"/>
        </w:rPr>
        <w:t>lowest proficiency levels</w:t>
      </w:r>
      <w:r w:rsidRPr="00DA228D">
        <w:rPr>
          <w:rFonts w:ascii="Arial" w:hAnsi="Arial" w:cs="Arial"/>
          <w:sz w:val="22"/>
          <w:szCs w:val="22"/>
        </w:rPr>
        <w:t xml:space="preserve"> (under level 2) is </w:t>
      </w:r>
      <w:r w:rsidRPr="00DA228D">
        <w:rPr>
          <w:rFonts w:ascii="Arial" w:hAnsi="Arial" w:cs="Arial"/>
          <w:b/>
          <w:bCs/>
          <w:sz w:val="22"/>
          <w:szCs w:val="22"/>
        </w:rPr>
        <w:t>39%</w:t>
      </w:r>
      <w:r w:rsidRPr="00DA228D">
        <w:rPr>
          <w:rFonts w:ascii="Arial" w:hAnsi="Arial" w:cs="Arial"/>
          <w:sz w:val="22"/>
          <w:szCs w:val="22"/>
        </w:rPr>
        <w:t xml:space="preserve"> (as compared with a 22% average in the OECD countries). </w:t>
      </w:r>
    </w:p>
    <w:p w:rsidR="00F75E53" w:rsidRPr="00DA228D" w:rsidRDefault="00F75E53" w:rsidP="00FD6678">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lastRenderedPageBreak/>
        <w:t>The scores of the best students:</w:t>
      </w:r>
      <w:r w:rsidRPr="00DA228D">
        <w:rPr>
          <w:rFonts w:ascii="Arial" w:hAnsi="Arial" w:cs="Arial"/>
          <w:sz w:val="22"/>
          <w:szCs w:val="22"/>
        </w:rPr>
        <w:t xml:space="preserve"> the (lowest) threshold of the </w:t>
      </w:r>
      <w:r w:rsidRPr="00DA228D">
        <w:rPr>
          <w:rFonts w:ascii="Arial" w:hAnsi="Arial" w:cs="Arial"/>
          <w:b/>
          <w:bCs/>
          <w:sz w:val="22"/>
          <w:szCs w:val="22"/>
        </w:rPr>
        <w:t>best 5% of students in Israel is lower</w:t>
      </w:r>
      <w:r w:rsidRPr="00DA228D">
        <w:rPr>
          <w:rFonts w:ascii="Arial" w:hAnsi="Arial" w:cs="Arial"/>
          <w:sz w:val="22"/>
          <w:szCs w:val="22"/>
        </w:rPr>
        <w:t xml:space="preserve"> than the threshold for scores of the </w:t>
      </w:r>
      <w:r w:rsidRPr="00DA228D">
        <w:rPr>
          <w:rFonts w:ascii="Arial" w:hAnsi="Arial" w:cs="Arial"/>
          <w:b/>
          <w:bCs/>
          <w:sz w:val="22"/>
          <w:szCs w:val="22"/>
        </w:rPr>
        <w:t>best 5% of students in the OECD average</w:t>
      </w:r>
      <w:r w:rsidRPr="00DA228D">
        <w:rPr>
          <w:rFonts w:ascii="Arial" w:hAnsi="Arial" w:cs="Arial"/>
          <w:sz w:val="22"/>
          <w:szCs w:val="22"/>
        </w:rPr>
        <w:t xml:space="preserve"> (615 as against 643, respectively). </w:t>
      </w:r>
    </w:p>
    <w:p w:rsidR="00F75E53" w:rsidRPr="00DA228D" w:rsidRDefault="00F75E53" w:rsidP="00FD6678">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The scores of the weakest students:</w:t>
      </w:r>
      <w:r w:rsidRPr="00DA228D">
        <w:rPr>
          <w:rFonts w:ascii="Arial" w:hAnsi="Arial" w:cs="Arial"/>
          <w:sz w:val="22"/>
          <w:szCs w:val="22"/>
        </w:rPr>
        <w:t xml:space="preserve"> the (highest) threshold of the </w:t>
      </w:r>
      <w:r w:rsidRPr="00DA228D">
        <w:rPr>
          <w:rFonts w:ascii="Arial" w:hAnsi="Arial" w:cs="Arial"/>
          <w:b/>
          <w:bCs/>
          <w:sz w:val="22"/>
          <w:szCs w:val="22"/>
        </w:rPr>
        <w:t>weakest 5% of students in Israel is lower</w:t>
      </w:r>
      <w:r w:rsidRPr="00DA228D">
        <w:rPr>
          <w:rFonts w:ascii="Arial" w:hAnsi="Arial" w:cs="Arial"/>
          <w:sz w:val="22"/>
          <w:szCs w:val="22"/>
        </w:rPr>
        <w:t xml:space="preserve"> than the threshold for scores of the </w:t>
      </w:r>
      <w:r w:rsidRPr="00DA228D">
        <w:rPr>
          <w:rFonts w:ascii="Arial" w:hAnsi="Arial" w:cs="Arial"/>
          <w:b/>
          <w:bCs/>
          <w:sz w:val="22"/>
          <w:szCs w:val="22"/>
        </w:rPr>
        <w:t>weakest 5% of students in the OECD average</w:t>
      </w:r>
      <w:r w:rsidRPr="00DA228D">
        <w:rPr>
          <w:rFonts w:ascii="Arial" w:hAnsi="Arial" w:cs="Arial"/>
          <w:sz w:val="22"/>
          <w:szCs w:val="22"/>
        </w:rPr>
        <w:t xml:space="preserve"> (272 as against 343, respectively).</w:t>
      </w:r>
    </w:p>
    <w:p w:rsidR="007B54F8" w:rsidRPr="00DA228D" w:rsidRDefault="00C9279E" w:rsidP="00DA228D">
      <w:pPr>
        <w:numPr>
          <w:ilvl w:val="0"/>
          <w:numId w:val="2"/>
        </w:numPr>
        <w:autoSpaceDE w:val="0"/>
        <w:autoSpaceDN w:val="0"/>
        <w:bidi w:val="0"/>
        <w:adjustRightInd w:val="0"/>
        <w:spacing w:before="0" w:after="120" w:line="320" w:lineRule="exact"/>
        <w:ind w:right="0"/>
        <w:rPr>
          <w:rFonts w:ascii="Arial" w:hAnsi="Arial" w:cs="Arial"/>
          <w:b/>
          <w:bCs/>
          <w:sz w:val="22"/>
          <w:szCs w:val="22"/>
        </w:rPr>
      </w:pPr>
      <w:r w:rsidRPr="00DA228D">
        <w:rPr>
          <w:rFonts w:ascii="Arial" w:hAnsi="Arial" w:cs="Arial"/>
          <w:b/>
          <w:bCs/>
          <w:sz w:val="22"/>
          <w:szCs w:val="22"/>
        </w:rPr>
        <w:t>Trends in achievements over the years</w:t>
      </w:r>
      <w:r w:rsidRPr="00DA228D">
        <w:rPr>
          <w:rFonts w:ascii="Arial" w:hAnsi="Arial" w:cs="Arial"/>
          <w:sz w:val="22"/>
          <w:szCs w:val="22"/>
        </w:rPr>
        <w:t>: from 2006 to 2009, there was a moderate rise (5 score points) in Israeli students’ scores in mathematic</w:t>
      </w:r>
      <w:r w:rsidR="00DA228D">
        <w:rPr>
          <w:rFonts w:ascii="Arial" w:hAnsi="Arial" w:cs="Arial"/>
          <w:sz w:val="22"/>
          <w:szCs w:val="22"/>
        </w:rPr>
        <w:t>s</w:t>
      </w:r>
      <w:r w:rsidRPr="00DA228D">
        <w:rPr>
          <w:rFonts w:ascii="Arial" w:hAnsi="Arial" w:cs="Arial"/>
          <w:sz w:val="22"/>
          <w:szCs w:val="22"/>
        </w:rPr>
        <w:t xml:space="preserve"> literacy (and, in total, </w:t>
      </w:r>
      <w:r w:rsidR="00C642A4" w:rsidRPr="00DA228D">
        <w:rPr>
          <w:rFonts w:ascii="Arial" w:hAnsi="Arial" w:cs="Arial"/>
          <w:sz w:val="22"/>
          <w:szCs w:val="22"/>
        </w:rPr>
        <w:t>in</w:t>
      </w:r>
      <w:r w:rsidRPr="00DA228D">
        <w:rPr>
          <w:rFonts w:ascii="Arial" w:hAnsi="Arial" w:cs="Arial"/>
          <w:sz w:val="22"/>
          <w:szCs w:val="22"/>
        </w:rPr>
        <w:t xml:space="preserve"> 14 score points since 2002). The rate of students with </w:t>
      </w:r>
      <w:r w:rsidRPr="00DA228D">
        <w:rPr>
          <w:rFonts w:ascii="Arial" w:hAnsi="Arial" w:cs="Arial"/>
          <w:b/>
          <w:bCs/>
          <w:sz w:val="22"/>
          <w:szCs w:val="22"/>
        </w:rPr>
        <w:t>high proficiency levels</w:t>
      </w:r>
      <w:r w:rsidRPr="00DA228D">
        <w:rPr>
          <w:rFonts w:ascii="Arial" w:hAnsi="Arial" w:cs="Arial"/>
          <w:sz w:val="22"/>
          <w:szCs w:val="22"/>
        </w:rPr>
        <w:t xml:space="preserve"> (levels 5 and 6) has not changed, and the rate of students at low proficiency levels (below 2) fell by 3%. </w:t>
      </w:r>
    </w:p>
    <w:p w:rsidR="00B01C7A" w:rsidRPr="00DA228D" w:rsidRDefault="00C9279E" w:rsidP="00FD6678">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Achievements according to language sector and gender in Israel:</w:t>
      </w:r>
      <w:r w:rsidRPr="00DA228D">
        <w:rPr>
          <w:rFonts w:ascii="Arial" w:hAnsi="Arial" w:cs="Arial"/>
          <w:sz w:val="22"/>
          <w:szCs w:val="22"/>
        </w:rPr>
        <w:t xml:space="preserve"> </w:t>
      </w:r>
    </w:p>
    <w:p w:rsidR="00740DC9" w:rsidRPr="00DA228D" w:rsidRDefault="00740DC9" w:rsidP="00C642A4">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The achievements of </w:t>
      </w:r>
      <w:r w:rsidRPr="00DA228D">
        <w:rPr>
          <w:rFonts w:ascii="Arial" w:hAnsi="Arial" w:cs="Arial"/>
          <w:b/>
          <w:bCs/>
          <w:sz w:val="22"/>
          <w:szCs w:val="22"/>
        </w:rPr>
        <w:t>Hebrew speaking students are clearly higher</w:t>
      </w:r>
      <w:r w:rsidRPr="00DA228D">
        <w:rPr>
          <w:rFonts w:ascii="Arial" w:hAnsi="Arial" w:cs="Arial"/>
          <w:sz w:val="22"/>
          <w:szCs w:val="22"/>
        </w:rPr>
        <w:t xml:space="preserve"> (approximately 100 score points, which are one standard deviation) than those of the </w:t>
      </w:r>
      <w:r w:rsidR="00B505EE" w:rsidRPr="00DA228D">
        <w:rPr>
          <w:rFonts w:ascii="Arial" w:hAnsi="Arial" w:cs="Arial"/>
          <w:b/>
          <w:bCs/>
          <w:sz w:val="22"/>
          <w:szCs w:val="22"/>
        </w:rPr>
        <w:t>Arabic</w:t>
      </w:r>
      <w:r w:rsidRPr="00DA228D">
        <w:rPr>
          <w:rFonts w:ascii="Arial" w:hAnsi="Arial" w:cs="Arial"/>
          <w:b/>
          <w:bCs/>
          <w:sz w:val="22"/>
          <w:szCs w:val="22"/>
        </w:rPr>
        <w:t xml:space="preserve"> speaking</w:t>
      </w:r>
      <w:r w:rsidRPr="00DA228D">
        <w:rPr>
          <w:rFonts w:ascii="Arial" w:hAnsi="Arial" w:cs="Arial"/>
          <w:sz w:val="22"/>
          <w:szCs w:val="22"/>
        </w:rPr>
        <w:t xml:space="preserve"> students’ achievements (470 as against 367, respectively). These achievements theoretically place the Hebrew speakers in position 36a in the ranking of countries, and the Arabic speakers, theoretically, in position 61a in the ranking of the countries.</w:t>
      </w:r>
    </w:p>
    <w:p w:rsidR="00B01C7A" w:rsidRPr="00DA228D" w:rsidRDefault="005B27A1" w:rsidP="00FD6678">
      <w:pPr>
        <w:numPr>
          <w:ilvl w:val="2"/>
          <w:numId w:val="2"/>
        </w:numPr>
        <w:autoSpaceDE w:val="0"/>
        <w:autoSpaceDN w:val="0"/>
        <w:bidi w:val="0"/>
        <w:adjustRightInd w:val="0"/>
        <w:spacing w:before="0" w:after="120" w:line="320" w:lineRule="exact"/>
        <w:ind w:right="0"/>
        <w:rPr>
          <w:rFonts w:ascii="Arial" w:hAnsi="Arial" w:cs="Arial"/>
          <w:b/>
          <w:bCs/>
          <w:sz w:val="22"/>
          <w:szCs w:val="22"/>
        </w:rPr>
      </w:pPr>
      <w:r w:rsidRPr="00DA228D">
        <w:rPr>
          <w:rFonts w:ascii="Arial" w:hAnsi="Arial" w:cs="Arial"/>
          <w:b/>
          <w:bCs/>
          <w:sz w:val="22"/>
          <w:szCs w:val="22"/>
        </w:rPr>
        <w:t>8% of the Hebrew speakers</w:t>
      </w:r>
      <w:r w:rsidRPr="00DA228D">
        <w:rPr>
          <w:rFonts w:ascii="Arial" w:hAnsi="Arial" w:cs="Arial"/>
          <w:sz w:val="22"/>
          <w:szCs w:val="22"/>
        </w:rPr>
        <w:t xml:space="preserve"> are at the </w:t>
      </w:r>
      <w:r w:rsidRPr="00DA228D">
        <w:rPr>
          <w:rFonts w:ascii="Arial" w:hAnsi="Arial" w:cs="Arial"/>
          <w:b/>
          <w:bCs/>
          <w:sz w:val="22"/>
          <w:szCs w:val="22"/>
        </w:rPr>
        <w:t>high proficiency levels</w:t>
      </w:r>
      <w:r w:rsidRPr="00DA228D">
        <w:rPr>
          <w:rFonts w:ascii="Arial" w:hAnsi="Arial" w:cs="Arial"/>
          <w:sz w:val="22"/>
          <w:szCs w:val="22"/>
        </w:rPr>
        <w:t xml:space="preserve"> (5-6), as opposed to </w:t>
      </w:r>
      <w:r w:rsidRPr="00DA228D">
        <w:rPr>
          <w:rFonts w:ascii="Arial" w:hAnsi="Arial" w:cs="Arial"/>
          <w:b/>
          <w:bCs/>
          <w:sz w:val="22"/>
          <w:szCs w:val="22"/>
        </w:rPr>
        <w:t xml:space="preserve">around zero among the Arabic speakers </w:t>
      </w:r>
      <w:r w:rsidRPr="00DA228D">
        <w:rPr>
          <w:rFonts w:ascii="Arial" w:hAnsi="Arial" w:cs="Arial"/>
          <w:sz w:val="22"/>
          <w:szCs w:val="22"/>
        </w:rPr>
        <w:t xml:space="preserve">(0.2%). </w:t>
      </w:r>
      <w:r w:rsidRPr="00DA228D">
        <w:rPr>
          <w:rFonts w:ascii="Arial" w:hAnsi="Arial" w:cs="Arial"/>
          <w:b/>
          <w:bCs/>
          <w:sz w:val="22"/>
          <w:szCs w:val="22"/>
        </w:rPr>
        <w:t>30% of the Hebrew speakers</w:t>
      </w:r>
      <w:r w:rsidRPr="00DA228D">
        <w:rPr>
          <w:rFonts w:ascii="Arial" w:hAnsi="Arial" w:cs="Arial"/>
          <w:sz w:val="22"/>
          <w:szCs w:val="22"/>
        </w:rPr>
        <w:t xml:space="preserve"> are at the </w:t>
      </w:r>
      <w:r w:rsidRPr="00DA228D">
        <w:rPr>
          <w:rFonts w:ascii="Arial" w:hAnsi="Arial" w:cs="Arial"/>
          <w:b/>
          <w:bCs/>
          <w:sz w:val="22"/>
          <w:szCs w:val="22"/>
        </w:rPr>
        <w:t>low proficiency levels</w:t>
      </w:r>
      <w:r w:rsidRPr="00DA228D">
        <w:rPr>
          <w:rFonts w:ascii="Arial" w:hAnsi="Arial" w:cs="Arial"/>
          <w:sz w:val="22"/>
          <w:szCs w:val="22"/>
        </w:rPr>
        <w:t xml:space="preserve"> (below level 2), as opposed to </w:t>
      </w:r>
      <w:r w:rsidRPr="00DA228D">
        <w:rPr>
          <w:rFonts w:ascii="Arial" w:hAnsi="Arial" w:cs="Arial"/>
          <w:b/>
          <w:bCs/>
          <w:sz w:val="22"/>
          <w:szCs w:val="22"/>
        </w:rPr>
        <w:t>73% of the Arabic speakers</w:t>
      </w:r>
      <w:r w:rsidRPr="00DA228D">
        <w:rPr>
          <w:rFonts w:ascii="Arial" w:hAnsi="Arial" w:cs="Arial"/>
          <w:sz w:val="22"/>
          <w:szCs w:val="22"/>
        </w:rPr>
        <w:t>.</w:t>
      </w:r>
    </w:p>
    <w:p w:rsidR="00B01C7A" w:rsidRPr="00DA228D" w:rsidRDefault="004E63C9" w:rsidP="00474D94">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Among the </w:t>
      </w:r>
      <w:r w:rsidRPr="00DA228D">
        <w:rPr>
          <w:rFonts w:ascii="Arial" w:hAnsi="Arial" w:cs="Arial"/>
          <w:b/>
          <w:bCs/>
          <w:sz w:val="22"/>
          <w:szCs w:val="22"/>
        </w:rPr>
        <w:t xml:space="preserve">Hebrew speakers, the boys’ achievements are </w:t>
      </w:r>
      <w:r w:rsidR="00474D94" w:rsidRPr="00DA228D">
        <w:rPr>
          <w:rFonts w:ascii="Arial" w:hAnsi="Arial" w:cs="Arial"/>
          <w:b/>
          <w:bCs/>
          <w:sz w:val="22"/>
          <w:szCs w:val="22"/>
        </w:rPr>
        <w:t xml:space="preserve">higher </w:t>
      </w:r>
      <w:r w:rsidRPr="00DA228D">
        <w:rPr>
          <w:rFonts w:ascii="Arial" w:hAnsi="Arial" w:cs="Arial"/>
          <w:b/>
          <w:bCs/>
          <w:sz w:val="22"/>
          <w:szCs w:val="22"/>
        </w:rPr>
        <w:t>than those of the girls</w:t>
      </w:r>
      <w:r w:rsidRPr="00DA228D">
        <w:rPr>
          <w:rFonts w:ascii="Arial" w:hAnsi="Arial" w:cs="Arial"/>
          <w:sz w:val="22"/>
          <w:szCs w:val="22"/>
        </w:rPr>
        <w:t xml:space="preserve"> (477 as against 463, respectively), a pattern common among most of the countries participating in the study, whereas among the </w:t>
      </w:r>
      <w:r w:rsidRPr="00DA228D">
        <w:rPr>
          <w:rFonts w:ascii="Arial" w:hAnsi="Arial" w:cs="Arial"/>
          <w:b/>
          <w:bCs/>
          <w:sz w:val="22"/>
          <w:szCs w:val="22"/>
        </w:rPr>
        <w:t xml:space="preserve">Arabic speakers, the girls’ achievements are </w:t>
      </w:r>
      <w:r w:rsidR="00474D94" w:rsidRPr="00DA228D">
        <w:rPr>
          <w:rFonts w:ascii="Arial" w:hAnsi="Arial" w:cs="Arial"/>
          <w:b/>
          <w:bCs/>
          <w:sz w:val="22"/>
          <w:szCs w:val="22"/>
        </w:rPr>
        <w:t xml:space="preserve">higher </w:t>
      </w:r>
      <w:r w:rsidRPr="00DA228D">
        <w:rPr>
          <w:rFonts w:ascii="Arial" w:hAnsi="Arial" w:cs="Arial"/>
          <w:b/>
          <w:bCs/>
          <w:sz w:val="22"/>
          <w:szCs w:val="22"/>
        </w:rPr>
        <w:t>than those of the boys</w:t>
      </w:r>
      <w:r w:rsidRPr="00DA228D">
        <w:rPr>
          <w:rFonts w:ascii="Arial" w:hAnsi="Arial" w:cs="Arial"/>
          <w:sz w:val="22"/>
          <w:szCs w:val="22"/>
        </w:rPr>
        <w:t xml:space="preserve"> (373 as against 361, respectively). </w:t>
      </w:r>
    </w:p>
    <w:p w:rsidR="00CD0725" w:rsidRPr="00DA228D" w:rsidRDefault="006D07EA" w:rsidP="00FD6678">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Between 2006 and 2009, there was </w:t>
      </w:r>
      <w:r w:rsidRPr="00DA228D">
        <w:rPr>
          <w:rFonts w:ascii="Arial" w:hAnsi="Arial" w:cs="Arial"/>
          <w:b/>
          <w:bCs/>
          <w:sz w:val="22"/>
          <w:szCs w:val="22"/>
        </w:rPr>
        <w:t>a rise of 10 score points among the Hebrew speakers</w:t>
      </w:r>
      <w:r w:rsidRPr="00DA228D">
        <w:rPr>
          <w:rFonts w:ascii="Arial" w:hAnsi="Arial" w:cs="Arial"/>
          <w:sz w:val="22"/>
          <w:szCs w:val="22"/>
        </w:rPr>
        <w:t xml:space="preserve"> (and a total rise of 21 score points since 2002), and </w:t>
      </w:r>
      <w:r w:rsidRPr="00DA228D">
        <w:rPr>
          <w:rFonts w:ascii="Arial" w:hAnsi="Arial" w:cs="Arial"/>
          <w:b/>
          <w:bCs/>
          <w:sz w:val="22"/>
          <w:szCs w:val="22"/>
        </w:rPr>
        <w:t>a drop of 5 score points among the Arabic speakers</w:t>
      </w:r>
      <w:r w:rsidRPr="00DA228D">
        <w:rPr>
          <w:rFonts w:ascii="Arial" w:hAnsi="Arial" w:cs="Arial"/>
          <w:sz w:val="22"/>
          <w:szCs w:val="22"/>
        </w:rPr>
        <w:t xml:space="preserve"> (and a total rise of 23 score points since 2002). </w:t>
      </w:r>
    </w:p>
    <w:p w:rsidR="00A53255" w:rsidRPr="00DA228D" w:rsidRDefault="00C9279E" w:rsidP="00474D94">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 xml:space="preserve">Achievements according to socioeconomic </w:t>
      </w:r>
      <w:r w:rsidR="00474D94" w:rsidRPr="00DA228D">
        <w:rPr>
          <w:rFonts w:ascii="Arial" w:hAnsi="Arial" w:cs="Arial"/>
          <w:b/>
          <w:bCs/>
          <w:sz w:val="22"/>
          <w:szCs w:val="22"/>
        </w:rPr>
        <w:t xml:space="preserve">status </w:t>
      </w:r>
      <w:r w:rsidRPr="00DA228D">
        <w:rPr>
          <w:rFonts w:ascii="Arial" w:hAnsi="Arial" w:cs="Arial"/>
          <w:b/>
          <w:bCs/>
          <w:sz w:val="22"/>
          <w:szCs w:val="22"/>
        </w:rPr>
        <w:t>in Israel:</w:t>
      </w:r>
      <w:r w:rsidRPr="00DA228D">
        <w:rPr>
          <w:rFonts w:ascii="Arial" w:hAnsi="Arial" w:cs="Arial"/>
          <w:sz w:val="22"/>
          <w:szCs w:val="22"/>
        </w:rPr>
        <w:t xml:space="preserve"> </w:t>
      </w:r>
    </w:p>
    <w:p w:rsidR="00A53255" w:rsidRPr="00DA228D" w:rsidRDefault="00B60CA0" w:rsidP="00474D94">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Students from a </w:t>
      </w:r>
      <w:r w:rsidR="00474D94" w:rsidRPr="00DA228D">
        <w:rPr>
          <w:rFonts w:ascii="Arial" w:hAnsi="Arial" w:cs="Arial"/>
          <w:sz w:val="22"/>
          <w:szCs w:val="22"/>
        </w:rPr>
        <w:t xml:space="preserve">high socioeconomic status </w:t>
      </w:r>
      <w:r w:rsidRPr="00DA228D">
        <w:rPr>
          <w:rFonts w:ascii="Arial" w:hAnsi="Arial" w:cs="Arial"/>
          <w:b/>
          <w:bCs/>
          <w:sz w:val="22"/>
          <w:szCs w:val="22"/>
        </w:rPr>
        <w:t xml:space="preserve">had </w:t>
      </w:r>
      <w:r w:rsidR="00474D94" w:rsidRPr="00DA228D">
        <w:rPr>
          <w:rFonts w:ascii="Arial" w:hAnsi="Arial" w:cs="Arial"/>
          <w:b/>
          <w:bCs/>
          <w:sz w:val="22"/>
          <w:szCs w:val="22"/>
        </w:rPr>
        <w:t xml:space="preserve">higher </w:t>
      </w:r>
      <w:r w:rsidRPr="00DA228D">
        <w:rPr>
          <w:rFonts w:ascii="Arial" w:hAnsi="Arial" w:cs="Arial"/>
          <w:b/>
          <w:bCs/>
          <w:sz w:val="22"/>
          <w:szCs w:val="22"/>
        </w:rPr>
        <w:t>achievements than</w:t>
      </w:r>
      <w:r w:rsidRPr="00DA228D">
        <w:rPr>
          <w:rFonts w:ascii="Arial" w:hAnsi="Arial" w:cs="Arial"/>
          <w:sz w:val="22"/>
          <w:szCs w:val="22"/>
        </w:rPr>
        <w:t xml:space="preserve"> students from a </w:t>
      </w:r>
      <w:r w:rsidR="00474D94" w:rsidRPr="00DA228D">
        <w:rPr>
          <w:rFonts w:ascii="Arial" w:hAnsi="Arial" w:cs="Arial"/>
          <w:sz w:val="22"/>
          <w:szCs w:val="22"/>
        </w:rPr>
        <w:t>middle or low socioeconomic status</w:t>
      </w:r>
      <w:r w:rsidRPr="00DA228D">
        <w:rPr>
          <w:rFonts w:ascii="Arial" w:hAnsi="Arial" w:cs="Arial"/>
          <w:sz w:val="22"/>
          <w:szCs w:val="22"/>
        </w:rPr>
        <w:t xml:space="preserve">. </w:t>
      </w:r>
    </w:p>
    <w:p w:rsidR="00557D39" w:rsidRPr="00DA228D" w:rsidRDefault="00B60CA0" w:rsidP="00474D94">
      <w:pPr>
        <w:numPr>
          <w:ilvl w:val="2"/>
          <w:numId w:val="2"/>
        </w:numPr>
        <w:autoSpaceDE w:val="0"/>
        <w:autoSpaceDN w:val="0"/>
        <w:bidi w:val="0"/>
        <w:adjustRightInd w:val="0"/>
        <w:spacing w:before="0" w:after="120" w:line="320" w:lineRule="exact"/>
        <w:ind w:right="0"/>
        <w:rPr>
          <w:rFonts w:ascii="Arial" w:hAnsi="Arial" w:cs="Arial"/>
          <w:b/>
          <w:bCs/>
          <w:sz w:val="22"/>
          <w:szCs w:val="22"/>
        </w:rPr>
      </w:pPr>
      <w:r w:rsidRPr="00DA228D">
        <w:rPr>
          <w:rFonts w:ascii="Arial" w:hAnsi="Arial" w:cs="Arial"/>
          <w:sz w:val="22"/>
          <w:szCs w:val="22"/>
        </w:rPr>
        <w:t xml:space="preserve">The average score for Hebrew speakers </w:t>
      </w:r>
      <w:r w:rsidR="00474D94" w:rsidRPr="00DA228D">
        <w:rPr>
          <w:rFonts w:ascii="Arial" w:hAnsi="Arial" w:cs="Arial"/>
          <w:sz w:val="22"/>
          <w:szCs w:val="22"/>
        </w:rPr>
        <w:t xml:space="preserve">from </w:t>
      </w:r>
      <w:r w:rsidR="00F42CC0" w:rsidRPr="00DA228D">
        <w:rPr>
          <w:rFonts w:ascii="Arial" w:hAnsi="Arial" w:cs="Arial"/>
          <w:sz w:val="22"/>
          <w:szCs w:val="22"/>
        </w:rPr>
        <w:t xml:space="preserve">a </w:t>
      </w:r>
      <w:r w:rsidR="00474D94" w:rsidRPr="00DA228D">
        <w:rPr>
          <w:rFonts w:ascii="Arial" w:hAnsi="Arial" w:cs="Arial"/>
          <w:sz w:val="22"/>
          <w:szCs w:val="22"/>
        </w:rPr>
        <w:t xml:space="preserve">high, middle and low socioeconomic </w:t>
      </w:r>
      <w:proofErr w:type="spellStart"/>
      <w:r w:rsidR="00474D94" w:rsidRPr="00DA228D">
        <w:rPr>
          <w:rFonts w:ascii="Arial" w:hAnsi="Arial" w:cs="Arial"/>
          <w:sz w:val="22"/>
          <w:szCs w:val="22"/>
        </w:rPr>
        <w:t>stauts</w:t>
      </w:r>
      <w:proofErr w:type="spellEnd"/>
      <w:r w:rsidRPr="00DA228D">
        <w:rPr>
          <w:rFonts w:ascii="Arial" w:hAnsi="Arial" w:cs="Arial"/>
          <w:sz w:val="22"/>
          <w:szCs w:val="22"/>
        </w:rPr>
        <w:t xml:space="preserve"> is 523, 464, and 428, respectively.</w:t>
      </w:r>
    </w:p>
    <w:p w:rsidR="00557D39" w:rsidRPr="00DA228D" w:rsidRDefault="002B5754" w:rsidP="00474D94">
      <w:pPr>
        <w:numPr>
          <w:ilvl w:val="2"/>
          <w:numId w:val="2"/>
        </w:numPr>
        <w:autoSpaceDE w:val="0"/>
        <w:autoSpaceDN w:val="0"/>
        <w:bidi w:val="0"/>
        <w:adjustRightInd w:val="0"/>
        <w:spacing w:before="0" w:after="120" w:line="320" w:lineRule="exact"/>
        <w:ind w:right="0"/>
        <w:rPr>
          <w:rFonts w:ascii="Arial" w:hAnsi="Arial" w:cs="Arial"/>
          <w:b/>
          <w:bCs/>
          <w:sz w:val="22"/>
          <w:szCs w:val="22"/>
        </w:rPr>
      </w:pPr>
      <w:r w:rsidRPr="00DA228D">
        <w:rPr>
          <w:rFonts w:ascii="Arial" w:hAnsi="Arial" w:cs="Arial"/>
          <w:sz w:val="22"/>
          <w:szCs w:val="22"/>
        </w:rPr>
        <w:t xml:space="preserve">The average score for Arabic speakers </w:t>
      </w:r>
      <w:r w:rsidR="00474D94" w:rsidRPr="00DA228D">
        <w:rPr>
          <w:rFonts w:ascii="Arial" w:hAnsi="Arial" w:cs="Arial"/>
          <w:sz w:val="22"/>
          <w:szCs w:val="22"/>
        </w:rPr>
        <w:t xml:space="preserve">from </w:t>
      </w:r>
      <w:r w:rsidRPr="00DA228D">
        <w:rPr>
          <w:rFonts w:ascii="Arial" w:hAnsi="Arial" w:cs="Arial"/>
          <w:sz w:val="22"/>
          <w:szCs w:val="22"/>
        </w:rPr>
        <w:t xml:space="preserve">a </w:t>
      </w:r>
      <w:r w:rsidR="00474D94" w:rsidRPr="00DA228D">
        <w:rPr>
          <w:rFonts w:ascii="Arial" w:hAnsi="Arial" w:cs="Arial"/>
          <w:sz w:val="22"/>
          <w:szCs w:val="22"/>
        </w:rPr>
        <w:t>middle and low socioeconomic status</w:t>
      </w:r>
      <w:r w:rsidRPr="00DA228D">
        <w:rPr>
          <w:rFonts w:ascii="Arial" w:hAnsi="Arial" w:cs="Arial"/>
          <w:sz w:val="22"/>
          <w:szCs w:val="22"/>
        </w:rPr>
        <w:t xml:space="preserve"> is 432 and 358, respectively. </w:t>
      </w:r>
    </w:p>
    <w:p w:rsidR="00E66FC9" w:rsidRPr="00DA228D" w:rsidRDefault="00557D39" w:rsidP="00F02C14">
      <w:pPr>
        <w:numPr>
          <w:ilvl w:val="2"/>
          <w:numId w:val="2"/>
        </w:numPr>
        <w:autoSpaceDE w:val="0"/>
        <w:autoSpaceDN w:val="0"/>
        <w:bidi w:val="0"/>
        <w:adjustRightInd w:val="0"/>
        <w:spacing w:before="0" w:after="120" w:line="320" w:lineRule="exact"/>
        <w:ind w:right="0"/>
        <w:rPr>
          <w:rFonts w:ascii="Arial" w:hAnsi="Arial" w:cs="Arial"/>
          <w:sz w:val="22"/>
          <w:szCs w:val="22"/>
          <w:rtl/>
        </w:rPr>
      </w:pPr>
      <w:r w:rsidRPr="00DA228D">
        <w:rPr>
          <w:rFonts w:ascii="Arial" w:hAnsi="Arial" w:cs="Arial"/>
          <w:b/>
          <w:bCs/>
          <w:sz w:val="22"/>
          <w:szCs w:val="22"/>
        </w:rPr>
        <w:t xml:space="preserve">The </w:t>
      </w:r>
      <w:r w:rsidR="00474D94" w:rsidRPr="00DA228D">
        <w:rPr>
          <w:rFonts w:ascii="Arial" w:hAnsi="Arial" w:cs="Arial"/>
          <w:b/>
          <w:bCs/>
          <w:sz w:val="22"/>
          <w:szCs w:val="22"/>
        </w:rPr>
        <w:t xml:space="preserve">performance </w:t>
      </w:r>
      <w:r w:rsidRPr="00DA228D">
        <w:rPr>
          <w:rFonts w:ascii="Arial" w:hAnsi="Arial" w:cs="Arial"/>
          <w:b/>
          <w:bCs/>
          <w:sz w:val="22"/>
          <w:szCs w:val="22"/>
        </w:rPr>
        <w:t xml:space="preserve">gaps between the language sectors are smaller when segmented according to socioeconomic </w:t>
      </w:r>
      <w:r w:rsidR="00F02C14" w:rsidRPr="00DA228D">
        <w:rPr>
          <w:rFonts w:ascii="Arial" w:hAnsi="Arial" w:cs="Arial"/>
          <w:b/>
          <w:bCs/>
          <w:sz w:val="22"/>
          <w:szCs w:val="22"/>
        </w:rPr>
        <w:t>status</w:t>
      </w:r>
      <w:r w:rsidRPr="00DA228D">
        <w:rPr>
          <w:rFonts w:ascii="Arial" w:hAnsi="Arial" w:cs="Arial"/>
          <w:sz w:val="22"/>
          <w:szCs w:val="22"/>
        </w:rPr>
        <w:t xml:space="preserve">: </w:t>
      </w:r>
      <w:r w:rsidR="00F02C14" w:rsidRPr="00DA228D">
        <w:rPr>
          <w:rFonts w:ascii="Arial" w:hAnsi="Arial" w:cs="Arial"/>
          <w:sz w:val="22"/>
          <w:szCs w:val="22"/>
        </w:rPr>
        <w:t xml:space="preserve">with regard to </w:t>
      </w:r>
      <w:r w:rsidRPr="00DA228D">
        <w:rPr>
          <w:rFonts w:ascii="Arial" w:hAnsi="Arial" w:cs="Arial"/>
          <w:sz w:val="22"/>
          <w:szCs w:val="22"/>
        </w:rPr>
        <w:t xml:space="preserve">a </w:t>
      </w:r>
      <w:r w:rsidR="00F02C14" w:rsidRPr="00DA228D">
        <w:rPr>
          <w:rFonts w:ascii="Arial" w:hAnsi="Arial" w:cs="Arial"/>
          <w:sz w:val="22"/>
          <w:szCs w:val="22"/>
        </w:rPr>
        <w:t xml:space="preserve">middle </w:t>
      </w:r>
      <w:r w:rsidRPr="00DA228D">
        <w:rPr>
          <w:rFonts w:ascii="Arial" w:hAnsi="Arial" w:cs="Arial"/>
          <w:sz w:val="22"/>
          <w:szCs w:val="22"/>
        </w:rPr>
        <w:lastRenderedPageBreak/>
        <w:t xml:space="preserve">socioeconomic </w:t>
      </w:r>
      <w:r w:rsidR="00F02C14" w:rsidRPr="00DA228D">
        <w:rPr>
          <w:rFonts w:ascii="Arial" w:hAnsi="Arial" w:cs="Arial"/>
          <w:sz w:val="22"/>
          <w:szCs w:val="22"/>
        </w:rPr>
        <w:t>status</w:t>
      </w:r>
      <w:r w:rsidRPr="00DA228D">
        <w:rPr>
          <w:rFonts w:ascii="Arial" w:hAnsi="Arial" w:cs="Arial"/>
          <w:sz w:val="22"/>
          <w:szCs w:val="22"/>
        </w:rPr>
        <w:t xml:space="preserve">, there is a performance gap of 32 points between the Hebrew speakers and the Arabic speakers. </w:t>
      </w:r>
      <w:r w:rsidRPr="00DA228D">
        <w:rPr>
          <w:rFonts w:ascii="Arial" w:hAnsi="Arial" w:cs="Arial"/>
          <w:b/>
          <w:bCs/>
          <w:sz w:val="22"/>
          <w:szCs w:val="22"/>
        </w:rPr>
        <w:t xml:space="preserve">With </w:t>
      </w:r>
      <w:r w:rsidR="00F02C14" w:rsidRPr="00DA228D">
        <w:rPr>
          <w:rFonts w:ascii="Arial" w:hAnsi="Arial" w:cs="Arial"/>
          <w:b/>
          <w:bCs/>
          <w:sz w:val="22"/>
          <w:szCs w:val="22"/>
        </w:rPr>
        <w:t xml:space="preserve">regard to </w:t>
      </w:r>
      <w:r w:rsidRPr="00DA228D">
        <w:rPr>
          <w:rFonts w:ascii="Arial" w:hAnsi="Arial" w:cs="Arial"/>
          <w:b/>
          <w:bCs/>
          <w:sz w:val="22"/>
          <w:szCs w:val="22"/>
        </w:rPr>
        <w:t xml:space="preserve">a </w:t>
      </w:r>
      <w:r w:rsidR="00F02C14" w:rsidRPr="00DA228D">
        <w:rPr>
          <w:rFonts w:ascii="Arial" w:hAnsi="Arial" w:cs="Arial"/>
          <w:b/>
          <w:bCs/>
          <w:sz w:val="22"/>
          <w:szCs w:val="22"/>
        </w:rPr>
        <w:t xml:space="preserve">low </w:t>
      </w:r>
      <w:r w:rsidRPr="00DA228D">
        <w:rPr>
          <w:rFonts w:ascii="Arial" w:hAnsi="Arial" w:cs="Arial"/>
          <w:b/>
          <w:bCs/>
          <w:sz w:val="22"/>
          <w:szCs w:val="22"/>
        </w:rPr>
        <w:t xml:space="preserve">socioeconomic </w:t>
      </w:r>
      <w:r w:rsidR="00F02C14" w:rsidRPr="00DA228D">
        <w:rPr>
          <w:rFonts w:ascii="Arial" w:hAnsi="Arial" w:cs="Arial"/>
          <w:b/>
          <w:bCs/>
          <w:sz w:val="22"/>
          <w:szCs w:val="22"/>
        </w:rPr>
        <w:t>status</w:t>
      </w:r>
      <w:r w:rsidRPr="00DA228D">
        <w:rPr>
          <w:rFonts w:ascii="Arial" w:hAnsi="Arial" w:cs="Arial"/>
          <w:b/>
          <w:bCs/>
          <w:sz w:val="22"/>
          <w:szCs w:val="22"/>
        </w:rPr>
        <w:t xml:space="preserve">, there is a greater performance gap between the sectors </w:t>
      </w:r>
      <w:r w:rsidR="00555614" w:rsidRPr="00DA228D">
        <w:rPr>
          <w:rFonts w:ascii="Arial" w:hAnsi="Arial" w:cs="Arial"/>
          <w:b/>
          <w:bCs/>
          <w:sz w:val="22"/>
          <w:szCs w:val="22"/>
        </w:rPr>
        <w:t>–</w:t>
      </w:r>
      <w:r w:rsidRPr="00DA228D">
        <w:rPr>
          <w:rFonts w:ascii="Arial" w:hAnsi="Arial" w:cs="Arial"/>
          <w:b/>
          <w:bCs/>
          <w:sz w:val="22"/>
          <w:szCs w:val="22"/>
        </w:rPr>
        <w:t xml:space="preserve"> </w:t>
      </w:r>
      <w:r w:rsidR="00F02C14" w:rsidRPr="00DA228D">
        <w:rPr>
          <w:rFonts w:ascii="Arial" w:hAnsi="Arial" w:cs="Arial"/>
          <w:b/>
          <w:bCs/>
          <w:sz w:val="22"/>
          <w:szCs w:val="22"/>
        </w:rPr>
        <w:t xml:space="preserve">a gap of </w:t>
      </w:r>
      <w:r w:rsidRPr="00DA228D">
        <w:rPr>
          <w:rFonts w:ascii="Arial" w:hAnsi="Arial" w:cs="Arial"/>
          <w:b/>
          <w:bCs/>
          <w:sz w:val="22"/>
          <w:szCs w:val="22"/>
        </w:rPr>
        <w:t>70 score points.</w:t>
      </w:r>
      <w:r w:rsidRPr="00DA228D">
        <w:rPr>
          <w:rFonts w:ascii="Arial" w:hAnsi="Arial" w:cs="Arial"/>
          <w:sz w:val="22"/>
          <w:szCs w:val="22"/>
        </w:rPr>
        <w:t xml:space="preserve">  </w:t>
      </w:r>
    </w:p>
    <w:p w:rsidR="0006403E" w:rsidRPr="00DA228D" w:rsidRDefault="0006403E" w:rsidP="00FD6678">
      <w:pPr>
        <w:pStyle w:val="ae"/>
        <w:bidi w:val="0"/>
        <w:spacing w:before="240" w:line="320" w:lineRule="exact"/>
        <w:ind w:left="0"/>
        <w:jc w:val="both"/>
        <w:rPr>
          <w:rFonts w:ascii="Arial" w:hAnsi="Arial" w:cs="Arial"/>
          <w:b/>
          <w:bCs/>
          <w:color w:val="008000"/>
          <w:sz w:val="28"/>
          <w:szCs w:val="28"/>
          <w:rtl/>
        </w:rPr>
      </w:pPr>
    </w:p>
    <w:p w:rsidR="009B1DE5" w:rsidRPr="00DA228D" w:rsidRDefault="009B1DE5" w:rsidP="00DA228D">
      <w:pPr>
        <w:pStyle w:val="ae"/>
        <w:bidi w:val="0"/>
        <w:spacing w:before="240" w:line="320" w:lineRule="exact"/>
        <w:ind w:left="0"/>
        <w:jc w:val="both"/>
        <w:rPr>
          <w:rFonts w:ascii="Arial" w:hAnsi="Arial" w:cs="Arial"/>
          <w:b/>
          <w:bCs/>
          <w:color w:val="008000"/>
          <w:sz w:val="28"/>
          <w:szCs w:val="28"/>
        </w:rPr>
      </w:pPr>
      <w:r w:rsidRPr="00DA228D">
        <w:rPr>
          <w:rFonts w:ascii="Arial" w:hAnsi="Arial" w:cs="Arial"/>
          <w:b/>
          <w:bCs/>
          <w:color w:val="008000"/>
          <w:sz w:val="28"/>
          <w:szCs w:val="28"/>
        </w:rPr>
        <w:t xml:space="preserve">Achievements in </w:t>
      </w:r>
      <w:r w:rsidR="00DA228D">
        <w:rPr>
          <w:rFonts w:ascii="Arial" w:hAnsi="Arial" w:cs="Arial"/>
          <w:b/>
          <w:bCs/>
          <w:color w:val="008000"/>
          <w:sz w:val="28"/>
          <w:szCs w:val="28"/>
        </w:rPr>
        <w:t>Science</w:t>
      </w:r>
      <w:r w:rsidRPr="00DA228D">
        <w:rPr>
          <w:rFonts w:ascii="Arial" w:hAnsi="Arial" w:cs="Arial"/>
          <w:b/>
          <w:bCs/>
          <w:color w:val="008000"/>
          <w:sz w:val="28"/>
          <w:szCs w:val="28"/>
        </w:rPr>
        <w:t xml:space="preserve"> literacy</w:t>
      </w:r>
    </w:p>
    <w:p w:rsidR="009B1DE5" w:rsidRPr="00DA228D" w:rsidRDefault="00E736FD" w:rsidP="00DA228D">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The </w:t>
      </w:r>
      <w:r w:rsidRPr="00DA228D">
        <w:rPr>
          <w:rFonts w:ascii="Arial" w:hAnsi="Arial" w:cs="Arial"/>
          <w:b/>
          <w:bCs/>
          <w:sz w:val="22"/>
          <w:szCs w:val="22"/>
        </w:rPr>
        <w:t>average score</w:t>
      </w:r>
      <w:r w:rsidRPr="00DA228D">
        <w:rPr>
          <w:rFonts w:ascii="Arial" w:hAnsi="Arial" w:cs="Arial"/>
          <w:sz w:val="22"/>
          <w:szCs w:val="22"/>
        </w:rPr>
        <w:t xml:space="preserve"> for </w:t>
      </w:r>
      <w:r w:rsidR="00DA228D">
        <w:rPr>
          <w:rFonts w:ascii="Arial" w:hAnsi="Arial" w:cs="Arial"/>
          <w:sz w:val="22"/>
          <w:szCs w:val="22"/>
        </w:rPr>
        <w:t>science</w:t>
      </w:r>
      <w:r w:rsidRPr="00DA228D">
        <w:rPr>
          <w:rFonts w:ascii="Arial" w:hAnsi="Arial" w:cs="Arial"/>
          <w:sz w:val="22"/>
          <w:szCs w:val="22"/>
        </w:rPr>
        <w:t xml:space="preserve"> literacy in Israel </w:t>
      </w:r>
      <w:r w:rsidR="00176227" w:rsidRPr="00DA228D">
        <w:rPr>
          <w:rFonts w:ascii="Arial" w:hAnsi="Arial" w:cs="Arial"/>
          <w:sz w:val="22"/>
          <w:szCs w:val="22"/>
        </w:rPr>
        <w:t xml:space="preserve">was </w:t>
      </w:r>
      <w:r w:rsidRPr="00DA228D">
        <w:rPr>
          <w:rFonts w:ascii="Arial" w:hAnsi="Arial" w:cs="Arial"/>
          <w:b/>
          <w:bCs/>
          <w:sz w:val="22"/>
          <w:szCs w:val="22"/>
        </w:rPr>
        <w:t xml:space="preserve">455 </w:t>
      </w:r>
      <w:r w:rsidRPr="00DA228D">
        <w:rPr>
          <w:rFonts w:ascii="Arial" w:hAnsi="Arial" w:cs="Arial"/>
          <w:sz w:val="22"/>
          <w:szCs w:val="22"/>
        </w:rPr>
        <w:t xml:space="preserve">(OECD average </w:t>
      </w:r>
      <w:r w:rsidR="00176227" w:rsidRPr="00DA228D">
        <w:rPr>
          <w:rFonts w:ascii="Arial" w:hAnsi="Arial" w:cs="Arial"/>
          <w:sz w:val="22"/>
          <w:szCs w:val="22"/>
        </w:rPr>
        <w:t xml:space="preserve">was </w:t>
      </w:r>
      <w:r w:rsidRPr="00DA228D">
        <w:rPr>
          <w:rFonts w:ascii="Arial" w:hAnsi="Arial" w:cs="Arial"/>
          <w:sz w:val="22"/>
          <w:szCs w:val="22"/>
        </w:rPr>
        <w:t xml:space="preserve">501). </w:t>
      </w:r>
      <w:r w:rsidR="00176227" w:rsidRPr="00DA228D">
        <w:rPr>
          <w:rFonts w:ascii="Arial" w:hAnsi="Arial" w:cs="Arial"/>
          <w:sz w:val="22"/>
          <w:szCs w:val="22"/>
        </w:rPr>
        <w:t>Israel ranked</w:t>
      </w:r>
      <w:r w:rsidRPr="00DA228D">
        <w:rPr>
          <w:rFonts w:ascii="Arial" w:hAnsi="Arial" w:cs="Arial"/>
          <w:sz w:val="22"/>
          <w:szCs w:val="22"/>
        </w:rPr>
        <w:t xml:space="preserve"> </w:t>
      </w:r>
      <w:r w:rsidRPr="00DA228D">
        <w:rPr>
          <w:rFonts w:ascii="Arial" w:hAnsi="Arial" w:cs="Arial"/>
          <w:b/>
          <w:bCs/>
          <w:sz w:val="22"/>
          <w:szCs w:val="22"/>
        </w:rPr>
        <w:t>41</w:t>
      </w:r>
      <w:r w:rsidRPr="00DA228D">
        <w:rPr>
          <w:rFonts w:ascii="Arial" w:hAnsi="Arial" w:cs="Arial"/>
          <w:sz w:val="22"/>
          <w:szCs w:val="22"/>
        </w:rPr>
        <w:t xml:space="preserve">out of the 64 </w:t>
      </w:r>
      <w:r w:rsidR="00176227" w:rsidRPr="00DA228D">
        <w:rPr>
          <w:rFonts w:ascii="Arial" w:hAnsi="Arial" w:cs="Arial"/>
          <w:sz w:val="22"/>
          <w:szCs w:val="22"/>
        </w:rPr>
        <w:t xml:space="preserve">participating </w:t>
      </w:r>
      <w:r w:rsidRPr="00DA228D">
        <w:rPr>
          <w:rFonts w:ascii="Arial" w:hAnsi="Arial" w:cs="Arial"/>
          <w:sz w:val="22"/>
          <w:szCs w:val="22"/>
        </w:rPr>
        <w:t xml:space="preserve">countries. </w:t>
      </w:r>
    </w:p>
    <w:p w:rsidR="00016F9A" w:rsidRPr="00DA228D" w:rsidRDefault="00016F9A" w:rsidP="00DA228D">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 xml:space="preserve">Average </w:t>
      </w:r>
      <w:r w:rsidR="00DA228D">
        <w:rPr>
          <w:rFonts w:ascii="Arial" w:hAnsi="Arial" w:cs="Arial"/>
          <w:b/>
          <w:bCs/>
          <w:sz w:val="22"/>
          <w:szCs w:val="22"/>
        </w:rPr>
        <w:t>science</w:t>
      </w:r>
      <w:r w:rsidRPr="00DA228D">
        <w:rPr>
          <w:rFonts w:ascii="Arial" w:hAnsi="Arial" w:cs="Arial"/>
          <w:b/>
          <w:bCs/>
          <w:sz w:val="22"/>
          <w:szCs w:val="22"/>
        </w:rPr>
        <w:t xml:space="preserve"> literacy scores in countries for comparison</w:t>
      </w:r>
      <w:r w:rsidRPr="00DA228D">
        <w:rPr>
          <w:rFonts w:ascii="Arial" w:hAnsi="Arial" w:cs="Arial"/>
          <w:sz w:val="22"/>
          <w:szCs w:val="22"/>
        </w:rPr>
        <w:t xml:space="preserve">: Finland </w:t>
      </w:r>
      <w:r w:rsidR="00555614" w:rsidRPr="00DA228D">
        <w:rPr>
          <w:rFonts w:ascii="Arial" w:hAnsi="Arial" w:cs="Arial"/>
          <w:sz w:val="22"/>
          <w:szCs w:val="22"/>
        </w:rPr>
        <w:t>–</w:t>
      </w:r>
      <w:r w:rsidR="003D46F3" w:rsidRPr="00DA228D">
        <w:rPr>
          <w:rFonts w:ascii="Arial" w:hAnsi="Arial" w:cs="Arial"/>
          <w:sz w:val="22"/>
          <w:szCs w:val="22"/>
        </w:rPr>
        <w:t xml:space="preserve"> </w:t>
      </w:r>
      <w:r w:rsidRPr="00DA228D">
        <w:rPr>
          <w:rFonts w:ascii="Arial" w:hAnsi="Arial" w:cs="Arial"/>
          <w:sz w:val="22"/>
          <w:szCs w:val="22"/>
        </w:rPr>
        <w:t xml:space="preserve">554, Canada </w:t>
      </w:r>
      <w:r w:rsidR="00555614" w:rsidRPr="00DA228D">
        <w:rPr>
          <w:rFonts w:ascii="Arial" w:hAnsi="Arial" w:cs="Arial"/>
          <w:sz w:val="22"/>
          <w:szCs w:val="22"/>
        </w:rPr>
        <w:t>–</w:t>
      </w:r>
      <w:r w:rsidRPr="00DA228D">
        <w:rPr>
          <w:rFonts w:ascii="Arial" w:hAnsi="Arial" w:cs="Arial"/>
          <w:sz w:val="22"/>
          <w:szCs w:val="22"/>
        </w:rPr>
        <w:t xml:space="preserve"> 529, New Zealand </w:t>
      </w:r>
      <w:r w:rsidR="00555614" w:rsidRPr="00DA228D">
        <w:rPr>
          <w:rFonts w:ascii="Arial" w:hAnsi="Arial" w:cs="Arial"/>
          <w:sz w:val="22"/>
          <w:szCs w:val="22"/>
        </w:rPr>
        <w:t>–</w:t>
      </w:r>
      <w:r w:rsidRPr="00DA228D">
        <w:rPr>
          <w:rFonts w:ascii="Arial" w:hAnsi="Arial" w:cs="Arial"/>
          <w:sz w:val="22"/>
          <w:szCs w:val="22"/>
        </w:rPr>
        <w:t xml:space="preserve"> 532, Spain </w:t>
      </w:r>
      <w:r w:rsidR="00555614" w:rsidRPr="00DA228D">
        <w:rPr>
          <w:rFonts w:ascii="Arial" w:hAnsi="Arial" w:cs="Arial"/>
          <w:sz w:val="22"/>
          <w:szCs w:val="22"/>
        </w:rPr>
        <w:t>–</w:t>
      </w:r>
      <w:r w:rsidRPr="00DA228D">
        <w:rPr>
          <w:rFonts w:ascii="Arial" w:hAnsi="Arial" w:cs="Arial"/>
          <w:sz w:val="22"/>
          <w:szCs w:val="22"/>
        </w:rPr>
        <w:t xml:space="preserve"> 488, Mexico </w:t>
      </w:r>
      <w:r w:rsidR="00555614" w:rsidRPr="00DA228D">
        <w:rPr>
          <w:rFonts w:ascii="Arial" w:hAnsi="Arial" w:cs="Arial"/>
          <w:sz w:val="22"/>
          <w:szCs w:val="22"/>
        </w:rPr>
        <w:t>–</w:t>
      </w:r>
      <w:r w:rsidRPr="00DA228D">
        <w:rPr>
          <w:rFonts w:ascii="Arial" w:hAnsi="Arial" w:cs="Arial"/>
          <w:sz w:val="22"/>
          <w:szCs w:val="22"/>
        </w:rPr>
        <w:t xml:space="preserve"> 416.</w:t>
      </w:r>
    </w:p>
    <w:p w:rsidR="009B1DE5" w:rsidRPr="00DA228D" w:rsidRDefault="005A072C" w:rsidP="00FD6678">
      <w:pPr>
        <w:numPr>
          <w:ilvl w:val="0"/>
          <w:numId w:val="2"/>
        </w:numPr>
        <w:autoSpaceDE w:val="0"/>
        <w:autoSpaceDN w:val="0"/>
        <w:bidi w:val="0"/>
        <w:adjustRightInd w:val="0"/>
        <w:spacing w:before="0" w:after="120" w:line="320" w:lineRule="exact"/>
        <w:ind w:right="0"/>
        <w:rPr>
          <w:rFonts w:ascii="Arial" w:hAnsi="Arial" w:cs="Arial"/>
          <w:b/>
          <w:bCs/>
          <w:sz w:val="22"/>
          <w:szCs w:val="22"/>
          <w:rtl/>
        </w:rPr>
      </w:pPr>
      <w:r w:rsidRPr="00DA228D">
        <w:rPr>
          <w:rFonts w:ascii="Arial" w:hAnsi="Arial" w:cs="Arial"/>
          <w:b/>
          <w:bCs/>
          <w:sz w:val="22"/>
          <w:szCs w:val="22"/>
        </w:rPr>
        <w:t>Distribution according to proficiency levels</w:t>
      </w:r>
      <w:r w:rsidRPr="00DA228D">
        <w:rPr>
          <w:rFonts w:ascii="Arial" w:hAnsi="Arial" w:cs="Arial"/>
          <w:sz w:val="22"/>
          <w:szCs w:val="22"/>
        </w:rPr>
        <w:t xml:space="preserve">: the rate of students in Israel with </w:t>
      </w:r>
      <w:r w:rsidRPr="00DA228D">
        <w:rPr>
          <w:rFonts w:ascii="Arial" w:hAnsi="Arial" w:cs="Arial"/>
          <w:b/>
          <w:bCs/>
          <w:sz w:val="22"/>
          <w:szCs w:val="22"/>
        </w:rPr>
        <w:t>high proficiency levels</w:t>
      </w:r>
      <w:r w:rsidRPr="00DA228D">
        <w:rPr>
          <w:rFonts w:ascii="Arial" w:hAnsi="Arial" w:cs="Arial"/>
          <w:sz w:val="22"/>
          <w:szCs w:val="22"/>
        </w:rPr>
        <w:t xml:space="preserve"> (levels 5 and 6) is </w:t>
      </w:r>
      <w:r w:rsidRPr="00DA228D">
        <w:rPr>
          <w:rFonts w:ascii="Arial" w:hAnsi="Arial" w:cs="Arial"/>
          <w:b/>
          <w:bCs/>
          <w:sz w:val="22"/>
          <w:szCs w:val="22"/>
        </w:rPr>
        <w:t>4%</w:t>
      </w:r>
      <w:r w:rsidRPr="00DA228D">
        <w:rPr>
          <w:rFonts w:ascii="Arial" w:hAnsi="Arial" w:cs="Arial"/>
          <w:sz w:val="22"/>
          <w:szCs w:val="22"/>
        </w:rPr>
        <w:t xml:space="preserve">, lower than their average rate in OECD countries (8%). The rate of students in Israel with the </w:t>
      </w:r>
      <w:r w:rsidRPr="00DA228D">
        <w:rPr>
          <w:rFonts w:ascii="Arial" w:hAnsi="Arial" w:cs="Arial"/>
          <w:b/>
          <w:bCs/>
          <w:sz w:val="22"/>
          <w:szCs w:val="22"/>
        </w:rPr>
        <w:t>lowest proficiency levels</w:t>
      </w:r>
      <w:r w:rsidRPr="00DA228D">
        <w:rPr>
          <w:rFonts w:ascii="Arial" w:hAnsi="Arial" w:cs="Arial"/>
          <w:sz w:val="22"/>
          <w:szCs w:val="22"/>
        </w:rPr>
        <w:t xml:space="preserve"> (under level 2) is </w:t>
      </w:r>
      <w:r w:rsidRPr="00DA228D">
        <w:rPr>
          <w:rFonts w:ascii="Arial" w:hAnsi="Arial" w:cs="Arial"/>
          <w:b/>
          <w:bCs/>
          <w:sz w:val="22"/>
          <w:szCs w:val="22"/>
        </w:rPr>
        <w:t>33%</w:t>
      </w:r>
      <w:r w:rsidRPr="00DA228D">
        <w:rPr>
          <w:rFonts w:ascii="Arial" w:hAnsi="Arial" w:cs="Arial"/>
          <w:sz w:val="22"/>
          <w:szCs w:val="22"/>
        </w:rPr>
        <w:t xml:space="preserve"> (as compared with an 18% average in the OECD countries). </w:t>
      </w:r>
    </w:p>
    <w:p w:rsidR="00182836" w:rsidRPr="00DA228D" w:rsidRDefault="00182836" w:rsidP="00FD6678">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The scores of the best students:</w:t>
      </w:r>
      <w:r w:rsidRPr="00DA228D">
        <w:rPr>
          <w:rFonts w:ascii="Arial" w:hAnsi="Arial" w:cs="Arial"/>
          <w:sz w:val="22"/>
          <w:szCs w:val="22"/>
        </w:rPr>
        <w:t xml:space="preserve"> the (lowest) threshold of the </w:t>
      </w:r>
      <w:r w:rsidRPr="00DA228D">
        <w:rPr>
          <w:rFonts w:ascii="Arial" w:hAnsi="Arial" w:cs="Arial"/>
          <w:b/>
          <w:bCs/>
          <w:sz w:val="22"/>
          <w:szCs w:val="22"/>
        </w:rPr>
        <w:t>best 5% of students in Israel is lower</w:t>
      </w:r>
      <w:r w:rsidRPr="00DA228D">
        <w:rPr>
          <w:rFonts w:ascii="Arial" w:hAnsi="Arial" w:cs="Arial"/>
          <w:sz w:val="22"/>
          <w:szCs w:val="22"/>
        </w:rPr>
        <w:t xml:space="preserve"> than the threshold for scores of the </w:t>
      </w:r>
      <w:r w:rsidRPr="00DA228D">
        <w:rPr>
          <w:rFonts w:ascii="Arial" w:hAnsi="Arial" w:cs="Arial"/>
          <w:b/>
          <w:bCs/>
          <w:sz w:val="22"/>
          <w:szCs w:val="22"/>
        </w:rPr>
        <w:t>best 5% of students in the OECD average</w:t>
      </w:r>
      <w:r w:rsidRPr="00DA228D">
        <w:rPr>
          <w:rFonts w:ascii="Arial" w:hAnsi="Arial" w:cs="Arial"/>
          <w:sz w:val="22"/>
          <w:szCs w:val="22"/>
        </w:rPr>
        <w:t xml:space="preserve"> (623 as against 649, respectively). </w:t>
      </w:r>
      <w:bookmarkStart w:id="2" w:name="_GoBack"/>
      <w:bookmarkEnd w:id="2"/>
    </w:p>
    <w:p w:rsidR="00182836" w:rsidRPr="00DA228D" w:rsidRDefault="00182836" w:rsidP="00FD6678">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The scores of the weakest students:</w:t>
      </w:r>
      <w:r w:rsidRPr="00DA228D">
        <w:rPr>
          <w:rFonts w:ascii="Arial" w:hAnsi="Arial" w:cs="Arial"/>
          <w:sz w:val="22"/>
          <w:szCs w:val="22"/>
        </w:rPr>
        <w:t xml:space="preserve"> the (highest) threshold of the </w:t>
      </w:r>
      <w:r w:rsidRPr="00DA228D">
        <w:rPr>
          <w:rFonts w:ascii="Arial" w:hAnsi="Arial" w:cs="Arial"/>
          <w:b/>
          <w:bCs/>
          <w:sz w:val="22"/>
          <w:szCs w:val="22"/>
        </w:rPr>
        <w:t>weakest 5% of students in Israel is lower</w:t>
      </w:r>
      <w:r w:rsidRPr="00DA228D">
        <w:rPr>
          <w:rFonts w:ascii="Arial" w:hAnsi="Arial" w:cs="Arial"/>
          <w:sz w:val="22"/>
          <w:szCs w:val="22"/>
        </w:rPr>
        <w:t xml:space="preserve"> than the threshold for scores of the </w:t>
      </w:r>
      <w:r w:rsidRPr="00DA228D">
        <w:rPr>
          <w:rFonts w:ascii="Arial" w:hAnsi="Arial" w:cs="Arial"/>
          <w:b/>
          <w:bCs/>
          <w:sz w:val="22"/>
          <w:szCs w:val="22"/>
        </w:rPr>
        <w:t>weakest 5% of students in the OECD average</w:t>
      </w:r>
      <w:r w:rsidRPr="00DA228D">
        <w:rPr>
          <w:rFonts w:ascii="Arial" w:hAnsi="Arial" w:cs="Arial"/>
          <w:sz w:val="22"/>
          <w:szCs w:val="22"/>
        </w:rPr>
        <w:t xml:space="preserve"> (275 as against 341, respectively).</w:t>
      </w:r>
    </w:p>
    <w:p w:rsidR="009B1DE5" w:rsidRPr="00DA228D" w:rsidRDefault="009B1DE5" w:rsidP="00DA228D">
      <w:pPr>
        <w:numPr>
          <w:ilvl w:val="0"/>
          <w:numId w:val="2"/>
        </w:numPr>
        <w:autoSpaceDE w:val="0"/>
        <w:autoSpaceDN w:val="0"/>
        <w:bidi w:val="0"/>
        <w:adjustRightInd w:val="0"/>
        <w:spacing w:before="0" w:after="120" w:line="320" w:lineRule="exact"/>
        <w:ind w:right="0"/>
        <w:rPr>
          <w:rFonts w:ascii="Arial" w:hAnsi="Arial" w:cs="Arial"/>
          <w:b/>
          <w:bCs/>
          <w:sz w:val="22"/>
          <w:szCs w:val="22"/>
        </w:rPr>
      </w:pPr>
      <w:r w:rsidRPr="00DA228D">
        <w:rPr>
          <w:rFonts w:ascii="Arial" w:hAnsi="Arial" w:cs="Arial"/>
          <w:b/>
          <w:bCs/>
          <w:sz w:val="22"/>
          <w:szCs w:val="22"/>
        </w:rPr>
        <w:t>Trends in achievements over the years</w:t>
      </w:r>
      <w:r w:rsidRPr="00DA228D">
        <w:rPr>
          <w:rFonts w:ascii="Arial" w:hAnsi="Arial" w:cs="Arial"/>
          <w:sz w:val="22"/>
          <w:szCs w:val="22"/>
        </w:rPr>
        <w:t xml:space="preserve">: from 2006 to 2009, there was a rise of only one score point in the average scores of Israeli students in </w:t>
      </w:r>
      <w:r w:rsidR="00DA228D">
        <w:rPr>
          <w:rFonts w:ascii="Arial" w:hAnsi="Arial" w:cs="Arial"/>
          <w:sz w:val="22"/>
          <w:szCs w:val="22"/>
        </w:rPr>
        <w:t>science</w:t>
      </w:r>
      <w:r w:rsidRPr="00DA228D">
        <w:rPr>
          <w:rFonts w:ascii="Arial" w:hAnsi="Arial" w:cs="Arial"/>
          <w:sz w:val="22"/>
          <w:szCs w:val="22"/>
        </w:rPr>
        <w:t xml:space="preserve"> literacy (and, in total, by 21 score points since 2002). Between 2006 and 2009, the rate of students with high proficiency levels (levels 5 and 6) has dropped by 1%, and the rate of students at low proficiency levels (below 2) fell by 3%.  </w:t>
      </w:r>
    </w:p>
    <w:p w:rsidR="0074098B" w:rsidRPr="00DA228D" w:rsidRDefault="009B1DE5" w:rsidP="00FD6678">
      <w:pPr>
        <w:numPr>
          <w:ilvl w:val="0"/>
          <w:numId w:val="2"/>
        </w:numPr>
        <w:autoSpaceDE w:val="0"/>
        <w:autoSpaceDN w:val="0"/>
        <w:bidi w:val="0"/>
        <w:adjustRightInd w:val="0"/>
        <w:spacing w:before="0" w:after="120" w:line="320" w:lineRule="exact"/>
        <w:rPr>
          <w:rFonts w:ascii="Arial" w:hAnsi="Arial" w:cs="Arial"/>
          <w:sz w:val="22"/>
          <w:szCs w:val="22"/>
        </w:rPr>
      </w:pPr>
      <w:r w:rsidRPr="00DA228D">
        <w:rPr>
          <w:rFonts w:ascii="Arial" w:hAnsi="Arial" w:cs="Arial"/>
          <w:b/>
          <w:bCs/>
          <w:sz w:val="22"/>
          <w:szCs w:val="22"/>
        </w:rPr>
        <w:t>Achievements according to language sector and gender</w:t>
      </w:r>
      <w:r w:rsidR="00BD0E09" w:rsidRPr="00DA228D">
        <w:rPr>
          <w:rFonts w:ascii="Arial" w:hAnsi="Arial" w:cs="Arial"/>
          <w:b/>
          <w:bCs/>
          <w:sz w:val="22"/>
          <w:szCs w:val="22"/>
        </w:rPr>
        <w:t xml:space="preserve"> in Israel</w:t>
      </w:r>
      <w:r w:rsidRPr="00DA228D">
        <w:rPr>
          <w:rFonts w:ascii="Arial" w:hAnsi="Arial" w:cs="Arial"/>
          <w:b/>
          <w:bCs/>
          <w:sz w:val="22"/>
          <w:szCs w:val="22"/>
        </w:rPr>
        <w:t>:</w:t>
      </w:r>
      <w:r w:rsidRPr="00DA228D">
        <w:rPr>
          <w:rFonts w:ascii="Arial" w:hAnsi="Arial" w:cs="Arial"/>
          <w:sz w:val="22"/>
          <w:szCs w:val="22"/>
        </w:rPr>
        <w:t xml:space="preserve"> </w:t>
      </w:r>
    </w:p>
    <w:p w:rsidR="0074098B" w:rsidRPr="00DA228D" w:rsidRDefault="005A072C" w:rsidP="00FD6678">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The achievements of </w:t>
      </w:r>
      <w:r w:rsidRPr="00DA228D">
        <w:rPr>
          <w:rFonts w:ascii="Arial" w:hAnsi="Arial" w:cs="Arial"/>
          <w:b/>
          <w:bCs/>
          <w:sz w:val="22"/>
          <w:szCs w:val="22"/>
        </w:rPr>
        <w:t>Hebrew speaking students are clearly higher</w:t>
      </w:r>
      <w:r w:rsidRPr="00DA228D">
        <w:rPr>
          <w:rFonts w:ascii="Arial" w:hAnsi="Arial" w:cs="Arial"/>
          <w:sz w:val="22"/>
          <w:szCs w:val="22"/>
        </w:rPr>
        <w:t xml:space="preserve"> (approximately 100 score points, which are one standard deviation) than those of the </w:t>
      </w:r>
      <w:r w:rsidR="00B505EE" w:rsidRPr="00DA228D">
        <w:rPr>
          <w:rFonts w:ascii="Arial" w:hAnsi="Arial" w:cs="Arial"/>
          <w:b/>
          <w:bCs/>
          <w:sz w:val="22"/>
          <w:szCs w:val="22"/>
        </w:rPr>
        <w:t>Arabic</w:t>
      </w:r>
      <w:r w:rsidRPr="00DA228D">
        <w:rPr>
          <w:rFonts w:ascii="Arial" w:hAnsi="Arial" w:cs="Arial"/>
          <w:b/>
          <w:bCs/>
          <w:sz w:val="22"/>
          <w:szCs w:val="22"/>
        </w:rPr>
        <w:t xml:space="preserve"> speaking</w:t>
      </w:r>
      <w:r w:rsidRPr="00DA228D">
        <w:rPr>
          <w:rFonts w:ascii="Arial" w:hAnsi="Arial" w:cs="Arial"/>
          <w:sz w:val="22"/>
          <w:szCs w:val="22"/>
        </w:rPr>
        <w:t xml:space="preserve"> students’ achievements (476 as against 382, respectively). These achievements theoretically place the Hebrew speakers, in position 38a in the ranking of countries, and the Arabic speakers, theoretically, in position 59a in the ranking of the countries.</w:t>
      </w:r>
    </w:p>
    <w:p w:rsidR="0074098B" w:rsidRPr="00DA228D" w:rsidRDefault="00024A05" w:rsidP="00FD6678">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5% of the Hebrew speakers</w:t>
      </w:r>
      <w:r w:rsidRPr="00DA228D">
        <w:rPr>
          <w:rFonts w:ascii="Arial" w:hAnsi="Arial" w:cs="Arial"/>
          <w:sz w:val="22"/>
          <w:szCs w:val="22"/>
        </w:rPr>
        <w:t xml:space="preserve"> are at the </w:t>
      </w:r>
      <w:r w:rsidRPr="00DA228D">
        <w:rPr>
          <w:rFonts w:ascii="Arial" w:hAnsi="Arial" w:cs="Arial"/>
          <w:b/>
          <w:bCs/>
          <w:sz w:val="22"/>
          <w:szCs w:val="22"/>
        </w:rPr>
        <w:t>high proficiency levels</w:t>
      </w:r>
      <w:r w:rsidRPr="00DA228D">
        <w:rPr>
          <w:rFonts w:ascii="Arial" w:hAnsi="Arial" w:cs="Arial"/>
          <w:sz w:val="22"/>
          <w:szCs w:val="22"/>
        </w:rPr>
        <w:t xml:space="preserve"> (5-6), as compared to </w:t>
      </w:r>
      <w:r w:rsidRPr="00DA228D">
        <w:rPr>
          <w:rFonts w:ascii="Arial" w:hAnsi="Arial" w:cs="Arial"/>
          <w:b/>
          <w:bCs/>
          <w:sz w:val="22"/>
          <w:szCs w:val="22"/>
        </w:rPr>
        <w:t>close to zero percent</w:t>
      </w:r>
      <w:r w:rsidRPr="00DA228D">
        <w:rPr>
          <w:rFonts w:ascii="Arial" w:hAnsi="Arial" w:cs="Arial"/>
          <w:sz w:val="22"/>
          <w:szCs w:val="22"/>
        </w:rPr>
        <w:t xml:space="preserve"> (0.1%)</w:t>
      </w:r>
      <w:r w:rsidRPr="00DA228D">
        <w:rPr>
          <w:rFonts w:ascii="Arial" w:hAnsi="Arial" w:cs="Arial"/>
          <w:b/>
          <w:bCs/>
          <w:sz w:val="22"/>
          <w:szCs w:val="22"/>
        </w:rPr>
        <w:t xml:space="preserve"> of the Arabic speakers</w:t>
      </w:r>
      <w:r w:rsidRPr="00DA228D">
        <w:rPr>
          <w:rFonts w:ascii="Arial" w:hAnsi="Arial" w:cs="Arial"/>
          <w:sz w:val="22"/>
          <w:szCs w:val="22"/>
        </w:rPr>
        <w:t xml:space="preserve">. </w:t>
      </w:r>
      <w:r w:rsidRPr="00DA228D">
        <w:rPr>
          <w:rFonts w:ascii="Arial" w:hAnsi="Arial" w:cs="Arial"/>
          <w:b/>
          <w:bCs/>
          <w:sz w:val="22"/>
          <w:szCs w:val="22"/>
        </w:rPr>
        <w:t>25% of the Hebrew speakers</w:t>
      </w:r>
      <w:r w:rsidRPr="00DA228D">
        <w:rPr>
          <w:rFonts w:ascii="Arial" w:hAnsi="Arial" w:cs="Arial"/>
          <w:sz w:val="22"/>
          <w:szCs w:val="22"/>
        </w:rPr>
        <w:t xml:space="preserve"> are at the </w:t>
      </w:r>
      <w:r w:rsidRPr="00DA228D">
        <w:rPr>
          <w:rFonts w:ascii="Arial" w:hAnsi="Arial" w:cs="Arial"/>
          <w:b/>
          <w:bCs/>
          <w:sz w:val="22"/>
          <w:szCs w:val="22"/>
        </w:rPr>
        <w:t>low proficiency levels</w:t>
      </w:r>
      <w:r w:rsidRPr="00DA228D">
        <w:rPr>
          <w:rFonts w:ascii="Arial" w:hAnsi="Arial" w:cs="Arial"/>
          <w:sz w:val="22"/>
          <w:szCs w:val="22"/>
        </w:rPr>
        <w:t xml:space="preserve"> (below level 2), as opposed to approximately </w:t>
      </w:r>
      <w:r w:rsidRPr="00DA228D">
        <w:rPr>
          <w:rFonts w:ascii="Arial" w:hAnsi="Arial" w:cs="Arial"/>
          <w:b/>
          <w:bCs/>
          <w:sz w:val="22"/>
          <w:szCs w:val="22"/>
        </w:rPr>
        <w:t>62% of the Arabic speakers</w:t>
      </w:r>
      <w:r w:rsidRPr="00DA228D">
        <w:rPr>
          <w:rFonts w:ascii="Arial" w:hAnsi="Arial" w:cs="Arial"/>
          <w:sz w:val="22"/>
          <w:szCs w:val="22"/>
        </w:rPr>
        <w:t xml:space="preserve">. </w:t>
      </w:r>
    </w:p>
    <w:p w:rsidR="0074098B" w:rsidRPr="00DA228D" w:rsidRDefault="005A072C" w:rsidP="00FD6678">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Among the Hebrew speakers, the girls’ scores are only slightly lower than those of the boys (474 as opposed to 478), while </w:t>
      </w:r>
      <w:r w:rsidRPr="00DA228D">
        <w:rPr>
          <w:rFonts w:ascii="Arial" w:hAnsi="Arial" w:cs="Arial"/>
          <w:b/>
          <w:bCs/>
          <w:sz w:val="22"/>
          <w:szCs w:val="22"/>
        </w:rPr>
        <w:t xml:space="preserve">among the Arabic speakers, the girls’ </w:t>
      </w:r>
      <w:r w:rsidRPr="00DA228D">
        <w:rPr>
          <w:rFonts w:ascii="Arial" w:hAnsi="Arial" w:cs="Arial"/>
          <w:b/>
          <w:bCs/>
          <w:sz w:val="22"/>
          <w:szCs w:val="22"/>
        </w:rPr>
        <w:lastRenderedPageBreak/>
        <w:t>scores are much higher than those of the boys</w:t>
      </w:r>
      <w:r w:rsidRPr="00DA228D">
        <w:rPr>
          <w:rFonts w:ascii="Arial" w:hAnsi="Arial" w:cs="Arial"/>
          <w:sz w:val="22"/>
          <w:szCs w:val="22"/>
        </w:rPr>
        <w:t xml:space="preserve"> (392 as opposed to 371, respectively). </w:t>
      </w:r>
    </w:p>
    <w:p w:rsidR="009B1DE5" w:rsidRPr="00DA228D" w:rsidRDefault="00EE02A4" w:rsidP="00EE02A4">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Between 2006 and 2009 t</w:t>
      </w:r>
      <w:r w:rsidR="00C732B4" w:rsidRPr="00DA228D">
        <w:rPr>
          <w:rFonts w:ascii="Arial" w:hAnsi="Arial" w:cs="Arial"/>
          <w:sz w:val="22"/>
          <w:szCs w:val="22"/>
        </w:rPr>
        <w:t xml:space="preserve">here was </w:t>
      </w:r>
      <w:proofErr w:type="gramStart"/>
      <w:r w:rsidR="00C732B4" w:rsidRPr="00DA228D">
        <w:rPr>
          <w:rFonts w:ascii="Arial" w:hAnsi="Arial" w:cs="Arial"/>
          <w:b/>
          <w:bCs/>
          <w:sz w:val="22"/>
          <w:szCs w:val="22"/>
        </w:rPr>
        <w:t>a rise of 9 score</w:t>
      </w:r>
      <w:proofErr w:type="gramEnd"/>
      <w:r w:rsidR="00C732B4" w:rsidRPr="00DA228D">
        <w:rPr>
          <w:rFonts w:ascii="Arial" w:hAnsi="Arial" w:cs="Arial"/>
          <w:b/>
          <w:bCs/>
          <w:sz w:val="22"/>
          <w:szCs w:val="22"/>
        </w:rPr>
        <w:t xml:space="preserve"> points </w:t>
      </w:r>
      <w:r w:rsidR="00C732B4" w:rsidRPr="00DA228D">
        <w:rPr>
          <w:rFonts w:ascii="Arial" w:hAnsi="Arial" w:cs="Arial"/>
          <w:sz w:val="22"/>
          <w:szCs w:val="22"/>
        </w:rPr>
        <w:t>among the</w:t>
      </w:r>
      <w:r w:rsidR="00C732B4" w:rsidRPr="00DA228D">
        <w:rPr>
          <w:rFonts w:ascii="Arial" w:hAnsi="Arial" w:cs="Arial"/>
          <w:b/>
          <w:bCs/>
          <w:sz w:val="22"/>
          <w:szCs w:val="22"/>
        </w:rPr>
        <w:t xml:space="preserve"> Hebrew speakers</w:t>
      </w:r>
      <w:r w:rsidR="00C732B4" w:rsidRPr="00DA228D">
        <w:rPr>
          <w:rFonts w:ascii="Arial" w:hAnsi="Arial" w:cs="Arial"/>
          <w:sz w:val="22"/>
          <w:szCs w:val="22"/>
        </w:rPr>
        <w:t xml:space="preserve"> (and a total rise of 32 score points since 2002). There was </w:t>
      </w:r>
      <w:proofErr w:type="gramStart"/>
      <w:r w:rsidR="00C732B4" w:rsidRPr="00DA228D">
        <w:rPr>
          <w:rFonts w:ascii="Arial" w:hAnsi="Arial" w:cs="Arial"/>
          <w:b/>
          <w:bCs/>
          <w:sz w:val="22"/>
          <w:szCs w:val="22"/>
        </w:rPr>
        <w:t>a drop of 21 score</w:t>
      </w:r>
      <w:proofErr w:type="gramEnd"/>
      <w:r w:rsidR="00C732B4" w:rsidRPr="00DA228D">
        <w:rPr>
          <w:rFonts w:ascii="Arial" w:hAnsi="Arial" w:cs="Arial"/>
          <w:b/>
          <w:bCs/>
          <w:sz w:val="22"/>
          <w:szCs w:val="22"/>
        </w:rPr>
        <w:t xml:space="preserve"> points </w:t>
      </w:r>
      <w:r w:rsidR="00C732B4" w:rsidRPr="00DA228D">
        <w:rPr>
          <w:rFonts w:ascii="Arial" w:hAnsi="Arial" w:cs="Arial"/>
          <w:sz w:val="22"/>
          <w:szCs w:val="22"/>
        </w:rPr>
        <w:t>among the</w:t>
      </w:r>
      <w:r w:rsidR="00C732B4" w:rsidRPr="00DA228D">
        <w:rPr>
          <w:rFonts w:ascii="Arial" w:hAnsi="Arial" w:cs="Arial"/>
          <w:b/>
          <w:bCs/>
          <w:sz w:val="22"/>
          <w:szCs w:val="22"/>
        </w:rPr>
        <w:t xml:space="preserve"> Arabic speakers</w:t>
      </w:r>
      <w:r w:rsidR="00C732B4" w:rsidRPr="00DA228D">
        <w:rPr>
          <w:rFonts w:ascii="Arial" w:hAnsi="Arial" w:cs="Arial"/>
          <w:sz w:val="22"/>
          <w:szCs w:val="22"/>
        </w:rPr>
        <w:t xml:space="preserve"> between 2006 and 2009 (and a total rise of 8 score points since 2002). </w:t>
      </w:r>
    </w:p>
    <w:p w:rsidR="00A53255" w:rsidRPr="00DA228D" w:rsidRDefault="009B1DE5" w:rsidP="00BD0E09">
      <w:pPr>
        <w:numPr>
          <w:ilvl w:val="0"/>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b/>
          <w:bCs/>
          <w:sz w:val="22"/>
          <w:szCs w:val="22"/>
        </w:rPr>
        <w:t xml:space="preserve">Achievements according to socioeconomic </w:t>
      </w:r>
      <w:r w:rsidR="00BD0E09" w:rsidRPr="00DA228D">
        <w:rPr>
          <w:rFonts w:ascii="Arial" w:hAnsi="Arial" w:cs="Arial"/>
          <w:b/>
          <w:bCs/>
          <w:sz w:val="22"/>
          <w:szCs w:val="22"/>
        </w:rPr>
        <w:t>status in Israel</w:t>
      </w:r>
      <w:r w:rsidRPr="00DA228D">
        <w:rPr>
          <w:rFonts w:ascii="Arial" w:hAnsi="Arial" w:cs="Arial"/>
          <w:b/>
          <w:bCs/>
          <w:sz w:val="22"/>
          <w:szCs w:val="22"/>
        </w:rPr>
        <w:t>:</w:t>
      </w:r>
      <w:r w:rsidRPr="00DA228D">
        <w:rPr>
          <w:rFonts w:ascii="Arial" w:hAnsi="Arial" w:cs="Arial"/>
          <w:sz w:val="22"/>
          <w:szCs w:val="22"/>
        </w:rPr>
        <w:t xml:space="preserve"> </w:t>
      </w:r>
    </w:p>
    <w:p w:rsidR="00A53255" w:rsidRPr="00DA228D" w:rsidRDefault="002B5754" w:rsidP="00BD0E09">
      <w:pPr>
        <w:numPr>
          <w:ilvl w:val="2"/>
          <w:numId w:val="2"/>
        </w:numPr>
        <w:autoSpaceDE w:val="0"/>
        <w:autoSpaceDN w:val="0"/>
        <w:bidi w:val="0"/>
        <w:adjustRightInd w:val="0"/>
        <w:spacing w:before="0" w:after="120" w:line="320" w:lineRule="exact"/>
        <w:ind w:right="0"/>
        <w:rPr>
          <w:rFonts w:ascii="Arial" w:hAnsi="Arial" w:cs="Arial"/>
          <w:sz w:val="22"/>
          <w:szCs w:val="22"/>
        </w:rPr>
      </w:pPr>
      <w:r w:rsidRPr="00DA228D">
        <w:rPr>
          <w:rFonts w:ascii="Arial" w:hAnsi="Arial" w:cs="Arial"/>
          <w:sz w:val="22"/>
          <w:szCs w:val="22"/>
        </w:rPr>
        <w:t xml:space="preserve">Students from a </w:t>
      </w:r>
      <w:r w:rsidR="00BD0E09" w:rsidRPr="00DA228D">
        <w:rPr>
          <w:rFonts w:ascii="Arial" w:hAnsi="Arial" w:cs="Arial"/>
          <w:b/>
          <w:bCs/>
          <w:sz w:val="22"/>
          <w:szCs w:val="22"/>
          <w:lang w:bidi="ar-SA"/>
        </w:rPr>
        <w:t xml:space="preserve">high socioeconomic </w:t>
      </w:r>
      <w:r w:rsidR="007F2A35" w:rsidRPr="00DA228D">
        <w:rPr>
          <w:rFonts w:ascii="Arial" w:hAnsi="Arial" w:cs="Arial"/>
          <w:b/>
          <w:bCs/>
          <w:sz w:val="22"/>
          <w:szCs w:val="22"/>
          <w:lang w:bidi="ar-SA"/>
        </w:rPr>
        <w:t>status</w:t>
      </w:r>
      <w:r w:rsidRPr="00DA228D">
        <w:rPr>
          <w:rFonts w:ascii="Arial" w:hAnsi="Arial" w:cs="Arial"/>
          <w:b/>
          <w:bCs/>
          <w:sz w:val="22"/>
          <w:szCs w:val="22"/>
        </w:rPr>
        <w:t xml:space="preserve"> had </w:t>
      </w:r>
      <w:r w:rsidR="00BD0E09" w:rsidRPr="00DA228D">
        <w:rPr>
          <w:rFonts w:ascii="Arial" w:hAnsi="Arial" w:cs="Arial"/>
          <w:b/>
          <w:bCs/>
          <w:sz w:val="22"/>
          <w:szCs w:val="22"/>
        </w:rPr>
        <w:t xml:space="preserve">higher </w:t>
      </w:r>
      <w:r w:rsidRPr="00DA228D">
        <w:rPr>
          <w:rFonts w:ascii="Arial" w:hAnsi="Arial" w:cs="Arial"/>
          <w:b/>
          <w:bCs/>
          <w:sz w:val="22"/>
          <w:szCs w:val="22"/>
        </w:rPr>
        <w:t>achievements than</w:t>
      </w:r>
      <w:r w:rsidR="007F2A35" w:rsidRPr="00DA228D">
        <w:rPr>
          <w:rFonts w:ascii="Arial" w:hAnsi="Arial" w:cs="Arial"/>
          <w:sz w:val="22"/>
          <w:szCs w:val="22"/>
        </w:rPr>
        <w:t xml:space="preserve"> students from </w:t>
      </w:r>
      <w:r w:rsidR="00BD0E09" w:rsidRPr="00DA228D">
        <w:rPr>
          <w:rFonts w:ascii="Arial" w:hAnsi="Arial" w:cs="Arial"/>
          <w:sz w:val="22"/>
          <w:szCs w:val="22"/>
        </w:rPr>
        <w:t>a middle or low socioeconomic status</w:t>
      </w:r>
      <w:r w:rsidRPr="00DA228D">
        <w:rPr>
          <w:rFonts w:ascii="Arial" w:hAnsi="Arial" w:cs="Arial"/>
          <w:sz w:val="22"/>
          <w:szCs w:val="22"/>
        </w:rPr>
        <w:t xml:space="preserve">. </w:t>
      </w:r>
    </w:p>
    <w:p w:rsidR="003558D4" w:rsidRPr="00DA228D" w:rsidRDefault="002B5754" w:rsidP="00A42C40">
      <w:pPr>
        <w:numPr>
          <w:ilvl w:val="2"/>
          <w:numId w:val="2"/>
        </w:numPr>
        <w:autoSpaceDE w:val="0"/>
        <w:autoSpaceDN w:val="0"/>
        <w:bidi w:val="0"/>
        <w:adjustRightInd w:val="0"/>
        <w:spacing w:before="0" w:after="120" w:line="320" w:lineRule="exact"/>
        <w:ind w:right="0"/>
        <w:rPr>
          <w:rFonts w:ascii="Arial" w:hAnsi="Arial" w:cs="Arial"/>
          <w:b/>
          <w:bCs/>
          <w:sz w:val="22"/>
          <w:szCs w:val="22"/>
        </w:rPr>
      </w:pPr>
      <w:r w:rsidRPr="00DA228D">
        <w:rPr>
          <w:rFonts w:ascii="Arial" w:hAnsi="Arial" w:cs="Arial"/>
          <w:sz w:val="22"/>
          <w:szCs w:val="22"/>
        </w:rPr>
        <w:t xml:space="preserve">The average score for Hebrew speakers </w:t>
      </w:r>
      <w:r w:rsidR="00A42C40" w:rsidRPr="00DA228D">
        <w:rPr>
          <w:rFonts w:ascii="Arial" w:hAnsi="Arial" w:cs="Arial"/>
          <w:sz w:val="22"/>
          <w:szCs w:val="22"/>
        </w:rPr>
        <w:t xml:space="preserve">from </w:t>
      </w:r>
      <w:r w:rsidRPr="00DA228D">
        <w:rPr>
          <w:rFonts w:ascii="Arial" w:hAnsi="Arial" w:cs="Arial"/>
          <w:sz w:val="22"/>
          <w:szCs w:val="22"/>
        </w:rPr>
        <w:t xml:space="preserve">a </w:t>
      </w:r>
      <w:r w:rsidR="00A42C40" w:rsidRPr="00DA228D">
        <w:rPr>
          <w:rFonts w:ascii="Arial" w:hAnsi="Arial" w:cs="Arial"/>
          <w:sz w:val="22"/>
          <w:szCs w:val="22"/>
        </w:rPr>
        <w:t>high, middle and low socioeconomic status</w:t>
      </w:r>
      <w:r w:rsidRPr="00DA228D">
        <w:rPr>
          <w:rFonts w:ascii="Arial" w:hAnsi="Arial" w:cs="Arial"/>
          <w:sz w:val="22"/>
          <w:szCs w:val="22"/>
        </w:rPr>
        <w:t xml:space="preserve"> is 526, 474, and 430, respectively.</w:t>
      </w:r>
    </w:p>
    <w:p w:rsidR="003558D4" w:rsidRPr="00DA228D" w:rsidRDefault="002B5754" w:rsidP="00FD6678">
      <w:pPr>
        <w:numPr>
          <w:ilvl w:val="2"/>
          <w:numId w:val="2"/>
        </w:numPr>
        <w:autoSpaceDE w:val="0"/>
        <w:autoSpaceDN w:val="0"/>
        <w:bidi w:val="0"/>
        <w:adjustRightInd w:val="0"/>
        <w:spacing w:before="0" w:after="120" w:line="320" w:lineRule="exact"/>
        <w:ind w:right="0"/>
        <w:rPr>
          <w:rFonts w:ascii="Arial" w:hAnsi="Arial" w:cs="Arial"/>
          <w:b/>
          <w:bCs/>
          <w:sz w:val="22"/>
          <w:szCs w:val="22"/>
        </w:rPr>
      </w:pPr>
      <w:r w:rsidRPr="00DA228D">
        <w:rPr>
          <w:rFonts w:ascii="Arial" w:hAnsi="Arial" w:cs="Arial"/>
          <w:sz w:val="22"/>
          <w:szCs w:val="22"/>
        </w:rPr>
        <w:t xml:space="preserve">The average score for Arabic speakers with a socioeconomically medium or disadvantaged background is 439 and 375, respectively. </w:t>
      </w:r>
    </w:p>
    <w:p w:rsidR="00AB0921" w:rsidRPr="00DA228D" w:rsidRDefault="003558D4" w:rsidP="00A42C40">
      <w:pPr>
        <w:numPr>
          <w:ilvl w:val="2"/>
          <w:numId w:val="2"/>
        </w:numPr>
        <w:autoSpaceDE w:val="0"/>
        <w:autoSpaceDN w:val="0"/>
        <w:bidi w:val="0"/>
        <w:adjustRightInd w:val="0"/>
        <w:spacing w:before="0" w:after="120" w:line="320" w:lineRule="exact"/>
        <w:ind w:right="0"/>
        <w:rPr>
          <w:rFonts w:ascii="Arial" w:hAnsi="Arial" w:cs="Arial"/>
          <w:b/>
          <w:bCs/>
          <w:sz w:val="22"/>
          <w:szCs w:val="22"/>
        </w:rPr>
      </w:pPr>
      <w:r w:rsidRPr="00DA228D">
        <w:rPr>
          <w:rFonts w:ascii="Arial" w:hAnsi="Arial" w:cs="Arial"/>
          <w:b/>
          <w:bCs/>
          <w:sz w:val="22"/>
          <w:szCs w:val="22"/>
        </w:rPr>
        <w:t xml:space="preserve">The performance gaps between the language sectors are smaller when segmented according to socioeconomic </w:t>
      </w:r>
      <w:r w:rsidR="00A42C40" w:rsidRPr="00DA228D">
        <w:rPr>
          <w:rFonts w:ascii="Arial" w:hAnsi="Arial" w:cs="Arial"/>
          <w:b/>
          <w:bCs/>
          <w:sz w:val="22"/>
          <w:szCs w:val="22"/>
        </w:rPr>
        <w:t>status</w:t>
      </w:r>
      <w:r w:rsidRPr="00DA228D">
        <w:rPr>
          <w:rFonts w:ascii="Arial" w:hAnsi="Arial" w:cs="Arial"/>
          <w:sz w:val="22"/>
          <w:szCs w:val="22"/>
        </w:rPr>
        <w:t xml:space="preserve">: </w:t>
      </w:r>
      <w:r w:rsidR="00A42C40" w:rsidRPr="00DA228D">
        <w:rPr>
          <w:rFonts w:ascii="Arial" w:hAnsi="Arial" w:cs="Arial"/>
          <w:sz w:val="22"/>
          <w:szCs w:val="22"/>
        </w:rPr>
        <w:t xml:space="preserve">with regard to a middle socioeconomic status </w:t>
      </w:r>
      <w:r w:rsidRPr="00DA228D">
        <w:rPr>
          <w:rFonts w:ascii="Arial" w:hAnsi="Arial" w:cs="Arial"/>
          <w:sz w:val="22"/>
          <w:szCs w:val="22"/>
        </w:rPr>
        <w:t xml:space="preserve">there is </w:t>
      </w:r>
      <w:proofErr w:type="gramStart"/>
      <w:r w:rsidRPr="00DA228D">
        <w:rPr>
          <w:rFonts w:ascii="Arial" w:hAnsi="Arial" w:cs="Arial"/>
          <w:sz w:val="22"/>
          <w:szCs w:val="22"/>
        </w:rPr>
        <w:t>a performance gap of 35 score</w:t>
      </w:r>
      <w:proofErr w:type="gramEnd"/>
      <w:r w:rsidRPr="00DA228D">
        <w:rPr>
          <w:rFonts w:ascii="Arial" w:hAnsi="Arial" w:cs="Arial"/>
          <w:sz w:val="22"/>
          <w:szCs w:val="22"/>
        </w:rPr>
        <w:t xml:space="preserve"> points between the Hebrew speakers and the Arabic speakers. With a </w:t>
      </w:r>
      <w:r w:rsidR="00A42C40" w:rsidRPr="00DA228D">
        <w:rPr>
          <w:rFonts w:ascii="Arial" w:hAnsi="Arial" w:cs="Arial"/>
          <w:sz w:val="22"/>
          <w:szCs w:val="22"/>
        </w:rPr>
        <w:t xml:space="preserve">regard to a low socioeconomic </w:t>
      </w:r>
      <w:r w:rsidR="007F2A35" w:rsidRPr="00DA228D">
        <w:rPr>
          <w:rFonts w:ascii="Arial" w:hAnsi="Arial" w:cs="Arial"/>
          <w:sz w:val="22"/>
          <w:szCs w:val="22"/>
        </w:rPr>
        <w:t>status</w:t>
      </w:r>
      <w:r w:rsidR="00A42C40" w:rsidRPr="00DA228D">
        <w:rPr>
          <w:rFonts w:ascii="Arial" w:hAnsi="Arial" w:cs="Arial"/>
          <w:sz w:val="22"/>
          <w:szCs w:val="22"/>
        </w:rPr>
        <w:t xml:space="preserve"> </w:t>
      </w:r>
      <w:r w:rsidR="007F2A35" w:rsidRPr="00DA228D">
        <w:rPr>
          <w:rFonts w:ascii="Arial" w:hAnsi="Arial" w:cs="Arial"/>
          <w:sz w:val="22"/>
          <w:szCs w:val="22"/>
        </w:rPr>
        <w:t xml:space="preserve">there is a performance gap </w:t>
      </w:r>
      <w:r w:rsidRPr="00DA228D">
        <w:rPr>
          <w:rFonts w:ascii="Arial" w:hAnsi="Arial" w:cs="Arial"/>
          <w:sz w:val="22"/>
          <w:szCs w:val="22"/>
        </w:rPr>
        <w:t xml:space="preserve">of 55 score points between the Hebrew speakers and the Arabic speakers. </w:t>
      </w:r>
    </w:p>
    <w:p w:rsidR="0006403E" w:rsidRPr="00DA228D" w:rsidRDefault="0006403E" w:rsidP="00FD6678">
      <w:pPr>
        <w:pStyle w:val="ae"/>
        <w:bidi w:val="0"/>
        <w:spacing w:before="240" w:line="320" w:lineRule="exact"/>
        <w:ind w:left="0"/>
        <w:jc w:val="both"/>
        <w:rPr>
          <w:rFonts w:ascii="Arial" w:hAnsi="Arial" w:cs="Arial"/>
          <w:b/>
          <w:bCs/>
          <w:color w:val="008000"/>
          <w:sz w:val="28"/>
          <w:szCs w:val="28"/>
          <w:rtl/>
        </w:rPr>
      </w:pPr>
    </w:p>
    <w:p w:rsidR="00AD0EF1" w:rsidRPr="00DA228D" w:rsidRDefault="00BB09E2" w:rsidP="00FD6678">
      <w:pPr>
        <w:pStyle w:val="ae"/>
        <w:bidi w:val="0"/>
        <w:spacing w:before="240" w:line="320" w:lineRule="exact"/>
        <w:ind w:left="0"/>
        <w:jc w:val="both"/>
        <w:rPr>
          <w:rFonts w:ascii="Arial" w:hAnsi="Arial" w:cs="Arial"/>
          <w:b/>
          <w:bCs/>
          <w:color w:val="008000"/>
          <w:sz w:val="28"/>
          <w:szCs w:val="28"/>
          <w:rtl/>
        </w:rPr>
      </w:pPr>
      <w:r w:rsidRPr="00DA228D">
        <w:rPr>
          <w:rFonts w:ascii="Arial" w:hAnsi="Arial" w:cs="Arial"/>
          <w:b/>
          <w:bCs/>
          <w:color w:val="008000"/>
          <w:sz w:val="28"/>
          <w:szCs w:val="28"/>
        </w:rPr>
        <w:t xml:space="preserve">Learning environment data from student questionnaires </w:t>
      </w:r>
      <w:r w:rsidR="00555614" w:rsidRPr="00DA228D">
        <w:rPr>
          <w:rFonts w:ascii="Arial" w:hAnsi="Arial" w:cs="Arial"/>
          <w:b/>
          <w:bCs/>
          <w:color w:val="008000"/>
          <w:sz w:val="28"/>
          <w:szCs w:val="28"/>
        </w:rPr>
        <w:t>–</w:t>
      </w:r>
      <w:r w:rsidRPr="00DA228D">
        <w:rPr>
          <w:rFonts w:ascii="Arial" w:hAnsi="Arial" w:cs="Arial"/>
          <w:b/>
          <w:bCs/>
          <w:color w:val="008000"/>
          <w:sz w:val="28"/>
          <w:szCs w:val="28"/>
        </w:rPr>
        <w:t xml:space="preserve"> in a nutshell </w:t>
      </w:r>
    </w:p>
    <w:p w:rsidR="0043671B" w:rsidRPr="00DA228D" w:rsidRDefault="00A42C40" w:rsidP="00A42C40">
      <w:pPr>
        <w:bidi w:val="0"/>
        <w:spacing w:before="0" w:after="120" w:line="320" w:lineRule="exact"/>
        <w:rPr>
          <w:rFonts w:ascii="Arial" w:hAnsi="Arial" w:cs="Arial"/>
          <w:sz w:val="22"/>
          <w:szCs w:val="22"/>
          <w:rtl/>
        </w:rPr>
      </w:pPr>
      <w:r w:rsidRPr="00DA228D">
        <w:rPr>
          <w:rFonts w:ascii="Arial" w:hAnsi="Arial" w:cs="Arial"/>
          <w:sz w:val="22"/>
          <w:szCs w:val="22"/>
        </w:rPr>
        <w:t>On completion</w:t>
      </w:r>
      <w:r w:rsidR="001413DB" w:rsidRPr="00DA228D">
        <w:rPr>
          <w:rFonts w:ascii="Arial" w:hAnsi="Arial" w:cs="Arial"/>
          <w:sz w:val="22"/>
          <w:szCs w:val="22"/>
        </w:rPr>
        <w:t xml:space="preserve"> of the test, the students </w:t>
      </w:r>
      <w:r w:rsidRPr="00DA228D">
        <w:rPr>
          <w:rFonts w:ascii="Arial" w:hAnsi="Arial" w:cs="Arial"/>
          <w:sz w:val="22"/>
          <w:szCs w:val="22"/>
        </w:rPr>
        <w:t xml:space="preserve">responded to </w:t>
      </w:r>
      <w:r w:rsidR="001413DB" w:rsidRPr="00DA228D">
        <w:rPr>
          <w:rFonts w:ascii="Arial" w:hAnsi="Arial" w:cs="Arial"/>
          <w:sz w:val="22"/>
          <w:szCs w:val="22"/>
        </w:rPr>
        <w:t xml:space="preserve">a questionnaire which examined, among other things, various topics connected with their learning environment, such as </w:t>
      </w:r>
      <w:r w:rsidRPr="00DA228D">
        <w:rPr>
          <w:rFonts w:ascii="Arial" w:hAnsi="Arial" w:cs="Arial"/>
          <w:sz w:val="22"/>
          <w:szCs w:val="22"/>
        </w:rPr>
        <w:t>the</w:t>
      </w:r>
      <w:r w:rsidR="001413DB" w:rsidRPr="00DA228D">
        <w:rPr>
          <w:rFonts w:ascii="Arial" w:hAnsi="Arial" w:cs="Arial"/>
          <w:sz w:val="22"/>
          <w:szCs w:val="22"/>
        </w:rPr>
        <w:t xml:space="preserve"> time they </w:t>
      </w:r>
      <w:r w:rsidRPr="00DA228D">
        <w:rPr>
          <w:rFonts w:ascii="Arial" w:hAnsi="Arial" w:cs="Arial"/>
          <w:sz w:val="22"/>
          <w:szCs w:val="22"/>
        </w:rPr>
        <w:t xml:space="preserve">spent </w:t>
      </w:r>
      <w:r w:rsidR="001413DB" w:rsidRPr="00DA228D">
        <w:rPr>
          <w:rFonts w:ascii="Arial" w:hAnsi="Arial" w:cs="Arial"/>
          <w:sz w:val="22"/>
          <w:szCs w:val="22"/>
        </w:rPr>
        <w:t xml:space="preserve">reading, what they read for pleasure, </w:t>
      </w:r>
      <w:r w:rsidRPr="00DA228D">
        <w:rPr>
          <w:rFonts w:ascii="Arial" w:hAnsi="Arial" w:cs="Arial"/>
          <w:sz w:val="22"/>
          <w:szCs w:val="22"/>
        </w:rPr>
        <w:t>the time spend on reading</w:t>
      </w:r>
      <w:r w:rsidR="001413DB" w:rsidRPr="00DA228D">
        <w:rPr>
          <w:rFonts w:ascii="Arial" w:hAnsi="Arial" w:cs="Arial"/>
          <w:sz w:val="22"/>
          <w:szCs w:val="22"/>
        </w:rPr>
        <w:t xml:space="preserve"> on the </w:t>
      </w:r>
      <w:r w:rsidRPr="00DA228D">
        <w:rPr>
          <w:rFonts w:ascii="Arial" w:hAnsi="Arial" w:cs="Arial"/>
          <w:sz w:val="22"/>
          <w:szCs w:val="22"/>
        </w:rPr>
        <w:t>Internet</w:t>
      </w:r>
      <w:r w:rsidR="001413DB" w:rsidRPr="00DA228D">
        <w:rPr>
          <w:rFonts w:ascii="Arial" w:hAnsi="Arial" w:cs="Arial"/>
          <w:sz w:val="22"/>
          <w:szCs w:val="22"/>
        </w:rPr>
        <w:t xml:space="preserve">, </w:t>
      </w:r>
      <w:r w:rsidRPr="00DA228D">
        <w:rPr>
          <w:rFonts w:ascii="Arial" w:hAnsi="Arial" w:cs="Arial"/>
          <w:sz w:val="22"/>
          <w:szCs w:val="22"/>
        </w:rPr>
        <w:t xml:space="preserve">their perceptions of </w:t>
      </w:r>
      <w:r w:rsidR="001413DB" w:rsidRPr="00DA228D">
        <w:rPr>
          <w:rFonts w:ascii="Arial" w:hAnsi="Arial" w:cs="Arial"/>
          <w:sz w:val="22"/>
          <w:szCs w:val="22"/>
        </w:rPr>
        <w:t>how much their teachers’ encourage them to read</w:t>
      </w:r>
      <w:r w:rsidRPr="00DA228D">
        <w:rPr>
          <w:rFonts w:ascii="Arial" w:hAnsi="Arial" w:cs="Arial"/>
          <w:sz w:val="22"/>
          <w:szCs w:val="22"/>
        </w:rPr>
        <w:t xml:space="preserve"> and </w:t>
      </w:r>
      <w:proofErr w:type="spellStart"/>
      <w:r w:rsidRPr="00DA228D">
        <w:rPr>
          <w:rFonts w:ascii="Arial" w:hAnsi="Arial" w:cs="Arial"/>
          <w:sz w:val="22"/>
          <w:szCs w:val="22"/>
        </w:rPr>
        <w:t>of</w:t>
      </w:r>
      <w:r w:rsidR="001413DB" w:rsidRPr="00DA228D">
        <w:rPr>
          <w:rFonts w:ascii="Arial" w:hAnsi="Arial" w:cs="Arial"/>
          <w:sz w:val="22"/>
          <w:szCs w:val="22"/>
        </w:rPr>
        <w:t>the</w:t>
      </w:r>
      <w:proofErr w:type="spellEnd"/>
      <w:r w:rsidR="001413DB" w:rsidRPr="00DA228D">
        <w:rPr>
          <w:rFonts w:ascii="Arial" w:hAnsi="Arial" w:cs="Arial"/>
          <w:sz w:val="22"/>
          <w:szCs w:val="22"/>
        </w:rPr>
        <w:t xml:space="preserve"> quality of their relationship with their teachers, etc.</w:t>
      </w:r>
    </w:p>
    <w:p w:rsidR="001413DB" w:rsidRPr="00DA228D" w:rsidRDefault="00A42C40" w:rsidP="00A42C40">
      <w:pPr>
        <w:bidi w:val="0"/>
        <w:spacing w:before="0" w:after="120" w:line="320" w:lineRule="exact"/>
        <w:rPr>
          <w:rFonts w:ascii="Arial" w:hAnsi="Arial" w:cs="Arial"/>
          <w:sz w:val="22"/>
          <w:szCs w:val="22"/>
        </w:rPr>
      </w:pPr>
      <w:r w:rsidRPr="00DA228D">
        <w:rPr>
          <w:rFonts w:ascii="Arial" w:hAnsi="Arial" w:cs="Arial"/>
          <w:sz w:val="22"/>
          <w:szCs w:val="22"/>
        </w:rPr>
        <w:t xml:space="preserve">Following </w:t>
      </w:r>
      <w:r w:rsidR="0006201B" w:rsidRPr="00DA228D">
        <w:rPr>
          <w:rFonts w:ascii="Arial" w:hAnsi="Arial" w:cs="Arial"/>
          <w:sz w:val="22"/>
          <w:szCs w:val="22"/>
        </w:rPr>
        <w:t xml:space="preserve">are several findings from </w:t>
      </w:r>
      <w:r w:rsidRPr="00DA228D">
        <w:rPr>
          <w:rFonts w:ascii="Arial" w:hAnsi="Arial" w:cs="Arial"/>
          <w:sz w:val="22"/>
          <w:szCs w:val="22"/>
        </w:rPr>
        <w:t xml:space="preserve">the </w:t>
      </w:r>
      <w:r w:rsidR="0006201B" w:rsidRPr="00DA228D">
        <w:rPr>
          <w:rFonts w:ascii="Arial" w:hAnsi="Arial" w:cs="Arial"/>
          <w:sz w:val="22"/>
          <w:szCs w:val="22"/>
        </w:rPr>
        <w:t xml:space="preserve">analysis of the questionnaires: </w:t>
      </w:r>
    </w:p>
    <w:p w:rsidR="00A7137E" w:rsidRPr="00DA228D" w:rsidRDefault="00906F65" w:rsidP="00A42C40">
      <w:pPr>
        <w:numPr>
          <w:ilvl w:val="0"/>
          <w:numId w:val="3"/>
        </w:numPr>
        <w:tabs>
          <w:tab w:val="clear" w:pos="643"/>
          <w:tab w:val="num" w:pos="360"/>
        </w:tabs>
        <w:autoSpaceDE w:val="0"/>
        <w:autoSpaceDN w:val="0"/>
        <w:bidi w:val="0"/>
        <w:adjustRightInd w:val="0"/>
        <w:spacing w:before="0" w:after="120" w:line="320" w:lineRule="exact"/>
        <w:ind w:left="360" w:right="0"/>
        <w:rPr>
          <w:rFonts w:ascii="Arial" w:hAnsi="Arial" w:cs="Arial"/>
          <w:b/>
          <w:bCs/>
          <w:sz w:val="22"/>
          <w:szCs w:val="22"/>
          <w:rtl/>
        </w:rPr>
      </w:pPr>
      <w:r w:rsidRPr="00DA228D">
        <w:rPr>
          <w:rFonts w:ascii="Arial" w:hAnsi="Arial" w:cs="Arial"/>
          <w:b/>
          <w:bCs/>
          <w:sz w:val="22"/>
          <w:szCs w:val="22"/>
        </w:rPr>
        <w:t>How much time each day do the students devote to reading for pleasure?</w:t>
      </w:r>
      <w:r w:rsidRPr="00DA228D">
        <w:rPr>
          <w:rFonts w:ascii="Arial" w:hAnsi="Arial" w:cs="Arial"/>
          <w:sz w:val="22"/>
          <w:szCs w:val="22"/>
        </w:rPr>
        <w:t xml:space="preserve"> In Israel, over one third of students (35%) reported that they never read for pleasure, and over one quarter (27%) </w:t>
      </w:r>
      <w:r w:rsidR="00A42C40" w:rsidRPr="00DA228D">
        <w:rPr>
          <w:rFonts w:ascii="Arial" w:hAnsi="Arial" w:cs="Arial"/>
          <w:sz w:val="22"/>
          <w:szCs w:val="22"/>
        </w:rPr>
        <w:t xml:space="preserve">reported reading </w:t>
      </w:r>
      <w:r w:rsidRPr="00DA228D">
        <w:rPr>
          <w:rFonts w:ascii="Arial" w:hAnsi="Arial" w:cs="Arial"/>
          <w:sz w:val="22"/>
          <w:szCs w:val="22"/>
        </w:rPr>
        <w:t xml:space="preserve">only up to half an hour </w:t>
      </w:r>
      <w:r w:rsidR="00A42C40" w:rsidRPr="00DA228D">
        <w:rPr>
          <w:rFonts w:ascii="Arial" w:hAnsi="Arial" w:cs="Arial"/>
          <w:sz w:val="22"/>
          <w:szCs w:val="22"/>
        </w:rPr>
        <w:t>a day</w:t>
      </w:r>
      <w:r w:rsidRPr="00DA228D">
        <w:rPr>
          <w:rFonts w:ascii="Arial" w:hAnsi="Arial" w:cs="Arial"/>
          <w:sz w:val="22"/>
          <w:szCs w:val="22"/>
        </w:rPr>
        <w:t xml:space="preserve">. The rest of the students (less than half) read over half an hour a day for pleasure. Similar rates were found on average in the OECD countries. </w:t>
      </w:r>
      <w:r w:rsidRPr="00DA228D">
        <w:rPr>
          <w:rFonts w:ascii="Arial" w:hAnsi="Arial" w:cs="Arial"/>
          <w:b/>
          <w:bCs/>
          <w:sz w:val="22"/>
          <w:szCs w:val="22"/>
        </w:rPr>
        <w:t>In segmentation according to gender in Israel,</w:t>
      </w:r>
      <w:r w:rsidRPr="00DA228D">
        <w:rPr>
          <w:rFonts w:ascii="Arial" w:hAnsi="Arial" w:cs="Arial"/>
          <w:sz w:val="22"/>
          <w:szCs w:val="22"/>
        </w:rPr>
        <w:t xml:space="preserve"> it was found that the rate of boys who do not read at all (45%), is greater than the rate of girls (25%), whereas the rate of girls who read for at least an hour each day (30%) is double that of the boys (15%). </w:t>
      </w:r>
    </w:p>
    <w:p w:rsidR="000E4668" w:rsidRPr="00DA228D" w:rsidRDefault="0013082A" w:rsidP="00461AF7">
      <w:pPr>
        <w:numPr>
          <w:ilvl w:val="0"/>
          <w:numId w:val="3"/>
        </w:numPr>
        <w:tabs>
          <w:tab w:val="clear" w:pos="643"/>
          <w:tab w:val="num" w:pos="360"/>
        </w:tabs>
        <w:autoSpaceDE w:val="0"/>
        <w:autoSpaceDN w:val="0"/>
        <w:bidi w:val="0"/>
        <w:adjustRightInd w:val="0"/>
        <w:spacing w:before="0" w:after="120" w:line="320" w:lineRule="exact"/>
        <w:ind w:left="360" w:right="0"/>
        <w:rPr>
          <w:rFonts w:ascii="Arial" w:hAnsi="Arial" w:cs="Arial"/>
          <w:b/>
          <w:bCs/>
          <w:sz w:val="22"/>
          <w:szCs w:val="22"/>
        </w:rPr>
      </w:pPr>
      <w:r w:rsidRPr="00DA228D">
        <w:rPr>
          <w:rFonts w:ascii="Arial" w:hAnsi="Arial" w:cs="Arial"/>
          <w:b/>
          <w:bCs/>
          <w:sz w:val="22"/>
          <w:szCs w:val="22"/>
        </w:rPr>
        <w:t>What do the students read for pleasure?</w:t>
      </w:r>
      <w:r w:rsidRPr="00DA228D">
        <w:rPr>
          <w:rFonts w:ascii="Arial" w:hAnsi="Arial" w:cs="Arial"/>
          <w:sz w:val="22"/>
          <w:szCs w:val="22"/>
        </w:rPr>
        <w:t xml:space="preserve"> </w:t>
      </w:r>
      <w:r w:rsidR="00461AF7" w:rsidRPr="00DA228D">
        <w:rPr>
          <w:rFonts w:ascii="Arial" w:hAnsi="Arial" w:cs="Arial"/>
          <w:sz w:val="22"/>
          <w:szCs w:val="22"/>
        </w:rPr>
        <w:t xml:space="preserve"> In examining</w:t>
      </w:r>
      <w:r w:rsidRPr="00DA228D">
        <w:rPr>
          <w:rFonts w:ascii="Arial" w:hAnsi="Arial" w:cs="Arial"/>
          <w:sz w:val="22"/>
          <w:szCs w:val="22"/>
        </w:rPr>
        <w:t xml:space="preserve"> what was read for pleasure, it emerges that among the readers, large numbers reported that they read newspapers (75%), and less read journals or magazines (39%), fiction (30%), and reference books </w:t>
      </w:r>
      <w:r w:rsidRPr="00DA228D">
        <w:rPr>
          <w:rFonts w:ascii="Arial" w:hAnsi="Arial" w:cs="Arial"/>
          <w:sz w:val="22"/>
          <w:szCs w:val="22"/>
        </w:rPr>
        <w:lastRenderedPageBreak/>
        <w:t xml:space="preserve">(26%). The average rates of the OECD are 61%, 58%, 31%, and 18%, respectively. </w:t>
      </w:r>
      <w:r w:rsidRPr="00DA228D">
        <w:rPr>
          <w:rFonts w:ascii="Arial" w:hAnsi="Arial" w:cs="Arial"/>
          <w:b/>
          <w:bCs/>
          <w:sz w:val="22"/>
          <w:szCs w:val="22"/>
        </w:rPr>
        <w:t>In segmentation according to gender in Israel,</w:t>
      </w:r>
      <w:r w:rsidRPr="00DA228D">
        <w:rPr>
          <w:rFonts w:ascii="Arial" w:hAnsi="Arial" w:cs="Arial"/>
          <w:sz w:val="22"/>
          <w:szCs w:val="22"/>
        </w:rPr>
        <w:t xml:space="preserve"> it was found that the girls report greater frequency of reading of all the reading materials examined, with the largest gaps in reading fiction (39% of the girls as opposed to 19% of the boys), and journals and magazines (47% of the girls as opposed to 30% of the boys). </w:t>
      </w:r>
    </w:p>
    <w:p w:rsidR="00C37655" w:rsidRPr="00DA228D" w:rsidRDefault="00C37655" w:rsidP="00461AF7">
      <w:pPr>
        <w:numPr>
          <w:ilvl w:val="0"/>
          <w:numId w:val="3"/>
        </w:numPr>
        <w:tabs>
          <w:tab w:val="clear" w:pos="643"/>
          <w:tab w:val="num" w:pos="360"/>
        </w:tabs>
        <w:autoSpaceDE w:val="0"/>
        <w:autoSpaceDN w:val="0"/>
        <w:bidi w:val="0"/>
        <w:adjustRightInd w:val="0"/>
        <w:spacing w:before="0" w:after="120" w:line="320" w:lineRule="exact"/>
        <w:ind w:left="360" w:right="0"/>
        <w:rPr>
          <w:rFonts w:ascii="Arial" w:hAnsi="Arial" w:cs="Arial"/>
          <w:sz w:val="22"/>
          <w:szCs w:val="22"/>
        </w:rPr>
      </w:pPr>
      <w:r w:rsidRPr="00DA228D">
        <w:rPr>
          <w:rFonts w:ascii="Arial" w:hAnsi="Arial" w:cs="Arial"/>
          <w:b/>
          <w:bCs/>
          <w:sz w:val="22"/>
          <w:szCs w:val="22"/>
        </w:rPr>
        <w:t>Frequency of computer use in the school.</w:t>
      </w:r>
      <w:r w:rsidRPr="00DA228D">
        <w:rPr>
          <w:rFonts w:ascii="Arial" w:hAnsi="Arial" w:cs="Arial"/>
          <w:sz w:val="22"/>
          <w:szCs w:val="22"/>
        </w:rPr>
        <w:t xml:space="preserve"> As a rule, there is low frequency of computer </w:t>
      </w:r>
      <w:r w:rsidR="00461AF7" w:rsidRPr="00DA228D">
        <w:rPr>
          <w:rFonts w:ascii="Arial" w:hAnsi="Arial" w:cs="Arial"/>
          <w:sz w:val="22"/>
          <w:szCs w:val="22"/>
        </w:rPr>
        <w:t xml:space="preserve">use </w:t>
      </w:r>
      <w:r w:rsidRPr="00DA228D">
        <w:rPr>
          <w:rFonts w:ascii="Arial" w:hAnsi="Arial" w:cs="Arial"/>
          <w:sz w:val="22"/>
          <w:szCs w:val="22"/>
        </w:rPr>
        <w:t xml:space="preserve">among students at school, both in Israel and in the OECD. Around 10% to 20% of students in Israel report that they are involved with online activities </w:t>
      </w:r>
      <w:r w:rsidR="00461AF7" w:rsidRPr="00DA228D">
        <w:rPr>
          <w:rFonts w:ascii="Arial" w:hAnsi="Arial" w:cs="Arial"/>
          <w:sz w:val="22"/>
          <w:szCs w:val="22"/>
        </w:rPr>
        <w:t xml:space="preserve">once or </w:t>
      </w:r>
      <w:r w:rsidRPr="00DA228D">
        <w:rPr>
          <w:rFonts w:ascii="Arial" w:hAnsi="Arial" w:cs="Arial"/>
          <w:sz w:val="22"/>
          <w:szCs w:val="22"/>
        </w:rPr>
        <w:t xml:space="preserve">several times a week. For example, 8% of students in Israel report that they participate in online chats, and 13% use email, 17% read material on the school website, and 14% use a computer for their homework. The most popular computer activity among students in schools, in both Israel and the OECD, is surfing the </w:t>
      </w:r>
      <w:r w:rsidR="00461AF7" w:rsidRPr="00DA228D">
        <w:rPr>
          <w:rFonts w:ascii="Arial" w:hAnsi="Arial" w:cs="Arial"/>
          <w:sz w:val="22"/>
          <w:szCs w:val="22"/>
        </w:rPr>
        <w:t xml:space="preserve">Internet </w:t>
      </w:r>
      <w:r w:rsidRPr="00DA228D">
        <w:rPr>
          <w:rFonts w:ascii="Arial" w:hAnsi="Arial" w:cs="Arial"/>
          <w:sz w:val="22"/>
          <w:szCs w:val="22"/>
        </w:rPr>
        <w:t>for study purposes (28% in Israel, and 39% in the OECD).</w:t>
      </w:r>
    </w:p>
    <w:p w:rsidR="000E2846" w:rsidRPr="00DA228D" w:rsidRDefault="00AC0CE1" w:rsidP="00AC0CE1">
      <w:pPr>
        <w:numPr>
          <w:ilvl w:val="0"/>
          <w:numId w:val="3"/>
        </w:numPr>
        <w:tabs>
          <w:tab w:val="num" w:pos="360"/>
        </w:tabs>
        <w:autoSpaceDE w:val="0"/>
        <w:autoSpaceDN w:val="0"/>
        <w:bidi w:val="0"/>
        <w:adjustRightInd w:val="0"/>
        <w:spacing w:before="0" w:after="120" w:line="320" w:lineRule="exact"/>
        <w:ind w:left="360" w:right="0"/>
        <w:rPr>
          <w:rFonts w:ascii="Arial" w:hAnsi="Arial" w:cs="Arial"/>
          <w:b/>
          <w:bCs/>
          <w:sz w:val="22"/>
          <w:szCs w:val="22"/>
        </w:rPr>
      </w:pPr>
      <w:r w:rsidRPr="00DA228D">
        <w:rPr>
          <w:rFonts w:ascii="Arial" w:hAnsi="Arial" w:cs="Arial"/>
          <w:b/>
          <w:bCs/>
          <w:sz w:val="22"/>
          <w:szCs w:val="22"/>
        </w:rPr>
        <w:t>To what extent</w:t>
      </w:r>
      <w:r w:rsidR="000E2846" w:rsidRPr="00DA228D">
        <w:rPr>
          <w:rFonts w:ascii="Arial" w:hAnsi="Arial" w:cs="Arial"/>
          <w:b/>
          <w:bCs/>
          <w:sz w:val="22"/>
          <w:szCs w:val="22"/>
        </w:rPr>
        <w:t xml:space="preserve"> do teachers encourage their students to spend time reading?</w:t>
      </w:r>
      <w:r w:rsidR="000E2846" w:rsidRPr="00DA228D">
        <w:rPr>
          <w:rFonts w:ascii="Arial" w:hAnsi="Arial" w:cs="Arial"/>
          <w:sz w:val="22"/>
          <w:szCs w:val="22"/>
        </w:rPr>
        <w:t xml:space="preserve"> Less than half the students in Israel (45%) </w:t>
      </w:r>
      <w:r w:rsidRPr="00DA228D">
        <w:rPr>
          <w:rFonts w:ascii="Arial" w:hAnsi="Arial" w:cs="Arial"/>
          <w:sz w:val="22"/>
          <w:szCs w:val="22"/>
        </w:rPr>
        <w:t xml:space="preserve">reported </w:t>
      </w:r>
      <w:r w:rsidR="000E2846" w:rsidRPr="00DA228D">
        <w:rPr>
          <w:rFonts w:ascii="Arial" w:hAnsi="Arial" w:cs="Arial"/>
          <w:sz w:val="22"/>
          <w:szCs w:val="22"/>
        </w:rPr>
        <w:t xml:space="preserve">that their teachers encourage them to express their views on a text, ask challenging questions (46%), or ask for an explanation regarding the meaning of </w:t>
      </w:r>
      <w:r w:rsidRPr="00DA228D">
        <w:rPr>
          <w:rFonts w:ascii="Arial" w:hAnsi="Arial" w:cs="Arial"/>
          <w:sz w:val="22"/>
          <w:szCs w:val="22"/>
        </w:rPr>
        <w:t xml:space="preserve">a </w:t>
      </w:r>
      <w:r w:rsidR="000E2846" w:rsidRPr="00DA228D">
        <w:rPr>
          <w:rFonts w:ascii="Arial" w:hAnsi="Arial" w:cs="Arial"/>
          <w:sz w:val="22"/>
          <w:szCs w:val="22"/>
        </w:rPr>
        <w:t xml:space="preserve">text (41%), and only one quarter (26%) </w:t>
      </w:r>
      <w:r w:rsidRPr="00DA228D">
        <w:rPr>
          <w:rFonts w:ascii="Arial" w:hAnsi="Arial" w:cs="Arial"/>
          <w:sz w:val="22"/>
          <w:szCs w:val="22"/>
        </w:rPr>
        <w:t xml:space="preserve">reported </w:t>
      </w:r>
      <w:r w:rsidR="000E2846" w:rsidRPr="00DA228D">
        <w:rPr>
          <w:rFonts w:ascii="Arial" w:hAnsi="Arial" w:cs="Arial"/>
          <w:sz w:val="22"/>
          <w:szCs w:val="22"/>
        </w:rPr>
        <w:t xml:space="preserve">that the teachers recommend books or authors which are worth reading. These results are a little lower than the OECD average (55%, 59%, 52%, and 36% respectively). </w:t>
      </w:r>
    </w:p>
    <w:p w:rsidR="00B768B4" w:rsidRPr="00DA228D" w:rsidRDefault="00906F65" w:rsidP="00AC0CE1">
      <w:pPr>
        <w:numPr>
          <w:ilvl w:val="0"/>
          <w:numId w:val="3"/>
        </w:numPr>
        <w:tabs>
          <w:tab w:val="clear" w:pos="643"/>
          <w:tab w:val="num" w:pos="360"/>
        </w:tabs>
        <w:autoSpaceDE w:val="0"/>
        <w:autoSpaceDN w:val="0"/>
        <w:bidi w:val="0"/>
        <w:adjustRightInd w:val="0"/>
        <w:spacing w:before="0" w:after="120" w:line="320" w:lineRule="exact"/>
        <w:ind w:left="360" w:right="0"/>
        <w:rPr>
          <w:rFonts w:ascii="Arial" w:hAnsi="Arial" w:cs="Arial"/>
          <w:b/>
          <w:bCs/>
          <w:sz w:val="22"/>
          <w:szCs w:val="22"/>
        </w:rPr>
      </w:pPr>
      <w:r w:rsidRPr="00DA228D">
        <w:rPr>
          <w:rFonts w:ascii="Arial" w:hAnsi="Arial" w:cs="Arial"/>
          <w:b/>
          <w:bCs/>
          <w:sz w:val="22"/>
          <w:szCs w:val="22"/>
        </w:rPr>
        <w:t>How do the students view the relationship with their teachers?</w:t>
      </w:r>
      <w:r w:rsidRPr="00DA228D">
        <w:rPr>
          <w:rFonts w:ascii="Arial" w:hAnsi="Arial" w:cs="Arial"/>
          <w:sz w:val="22"/>
          <w:szCs w:val="22"/>
        </w:rPr>
        <w:t xml:space="preserve"> In Israel, a high percentage of students </w:t>
      </w:r>
      <w:r w:rsidR="00AC0CE1" w:rsidRPr="00DA228D">
        <w:rPr>
          <w:rFonts w:ascii="Arial" w:hAnsi="Arial" w:cs="Arial"/>
          <w:sz w:val="22"/>
          <w:szCs w:val="22"/>
        </w:rPr>
        <w:t xml:space="preserve">report </w:t>
      </w:r>
      <w:r w:rsidRPr="00DA228D">
        <w:rPr>
          <w:rFonts w:ascii="Arial" w:hAnsi="Arial" w:cs="Arial"/>
          <w:sz w:val="22"/>
          <w:szCs w:val="22"/>
        </w:rPr>
        <w:t xml:space="preserve">that they have a good relationship with their teachers. For example, 83% of the students agreed that they get on well with most of their teachers, and around 80% </w:t>
      </w:r>
      <w:r w:rsidR="00AC0CE1" w:rsidRPr="00DA228D">
        <w:rPr>
          <w:rFonts w:ascii="Arial" w:hAnsi="Arial" w:cs="Arial"/>
          <w:sz w:val="22"/>
          <w:szCs w:val="22"/>
        </w:rPr>
        <w:t xml:space="preserve">report </w:t>
      </w:r>
      <w:r w:rsidRPr="00DA228D">
        <w:rPr>
          <w:rFonts w:ascii="Arial" w:hAnsi="Arial" w:cs="Arial"/>
          <w:sz w:val="22"/>
          <w:szCs w:val="22"/>
        </w:rPr>
        <w:t xml:space="preserve">that most of their teachers behave fairly towards them (this is similar to the OECD countries average, 85% and 79%, respectively). 61% of the students in Israel noted that most of their teachers showed interest in their </w:t>
      </w:r>
      <w:r w:rsidR="00C642A4" w:rsidRPr="00DA228D">
        <w:rPr>
          <w:rFonts w:ascii="Arial" w:hAnsi="Arial" w:cs="Arial"/>
          <w:sz w:val="22"/>
          <w:szCs w:val="22"/>
        </w:rPr>
        <w:t>lives</w:t>
      </w:r>
      <w:r w:rsidRPr="00DA228D">
        <w:rPr>
          <w:rFonts w:ascii="Arial" w:hAnsi="Arial" w:cs="Arial"/>
          <w:sz w:val="22"/>
          <w:szCs w:val="22"/>
        </w:rPr>
        <w:t xml:space="preserve"> (66% on average in the OECD countries). </w:t>
      </w:r>
    </w:p>
    <w:p w:rsidR="00CD58EE" w:rsidRPr="00DA228D" w:rsidRDefault="00CD58EE" w:rsidP="00FD6678">
      <w:pPr>
        <w:autoSpaceDE w:val="0"/>
        <w:autoSpaceDN w:val="0"/>
        <w:bidi w:val="0"/>
        <w:adjustRightInd w:val="0"/>
        <w:spacing w:before="0" w:after="120" w:line="320" w:lineRule="exact"/>
        <w:ind w:right="720"/>
        <w:rPr>
          <w:rFonts w:ascii="Arial" w:hAnsi="Arial" w:cs="Arial"/>
          <w:b/>
          <w:bCs/>
          <w:sz w:val="22"/>
          <w:szCs w:val="22"/>
          <w:rtl/>
        </w:rPr>
      </w:pPr>
    </w:p>
    <w:p w:rsidR="004E33F9" w:rsidRPr="00DA228D" w:rsidRDefault="004E33F9" w:rsidP="00FD6678">
      <w:pPr>
        <w:autoSpaceDE w:val="0"/>
        <w:autoSpaceDN w:val="0"/>
        <w:bidi w:val="0"/>
        <w:adjustRightInd w:val="0"/>
        <w:spacing w:before="0" w:after="120" w:line="320" w:lineRule="exact"/>
        <w:ind w:right="720"/>
        <w:jc w:val="left"/>
        <w:rPr>
          <w:rFonts w:ascii="Arial" w:hAnsi="Arial" w:cs="Arial"/>
          <w:b/>
          <w:bCs/>
          <w:sz w:val="22"/>
          <w:szCs w:val="22"/>
          <w:rtl/>
        </w:rPr>
      </w:pPr>
    </w:p>
    <w:p w:rsidR="00807655" w:rsidRPr="004E33F9" w:rsidRDefault="00807655" w:rsidP="00FD6678">
      <w:pPr>
        <w:autoSpaceDE w:val="0"/>
        <w:autoSpaceDN w:val="0"/>
        <w:bidi w:val="0"/>
        <w:adjustRightInd w:val="0"/>
        <w:spacing w:before="0" w:after="120" w:line="320" w:lineRule="exact"/>
        <w:ind w:right="720"/>
        <w:rPr>
          <w:rFonts w:ascii="Arial" w:hAnsi="Arial" w:cs="Arial"/>
          <w:b/>
          <w:bCs/>
          <w:sz w:val="22"/>
          <w:szCs w:val="22"/>
          <w:rtl/>
        </w:rPr>
      </w:pPr>
    </w:p>
    <w:p w:rsidR="00807655" w:rsidRPr="004E33F9" w:rsidRDefault="00807655" w:rsidP="00FD6678">
      <w:pPr>
        <w:autoSpaceDE w:val="0"/>
        <w:autoSpaceDN w:val="0"/>
        <w:bidi w:val="0"/>
        <w:adjustRightInd w:val="0"/>
        <w:spacing w:before="0" w:after="120" w:line="320" w:lineRule="exact"/>
        <w:ind w:right="720"/>
        <w:rPr>
          <w:rFonts w:ascii="Arial" w:hAnsi="Arial" w:cs="Arial"/>
          <w:b/>
          <w:bCs/>
          <w:sz w:val="22"/>
          <w:szCs w:val="22"/>
        </w:rPr>
        <w:sectPr w:rsidR="00807655" w:rsidRPr="004E33F9" w:rsidSect="00415F9E">
          <w:footerReference w:type="even" r:id="rId9"/>
          <w:footerReference w:type="default" r:id="rId10"/>
          <w:headerReference w:type="first" r:id="rId11"/>
          <w:footerReference w:type="first" r:id="rId12"/>
          <w:pgSz w:w="11907" w:h="16839" w:code="9"/>
          <w:pgMar w:top="1021" w:right="1418" w:bottom="1021" w:left="1418" w:header="227" w:footer="0" w:gutter="0"/>
          <w:pgNumType w:start="1"/>
          <w:cols w:space="708"/>
          <w:titlePg/>
          <w:docGrid w:linePitch="360"/>
        </w:sectPr>
      </w:pPr>
    </w:p>
    <w:p w:rsidR="006F1140" w:rsidRDefault="006F1140" w:rsidP="00FD6678">
      <w:pPr>
        <w:autoSpaceDE w:val="0"/>
        <w:autoSpaceDN w:val="0"/>
        <w:bidi w:val="0"/>
        <w:adjustRightInd w:val="0"/>
        <w:spacing w:before="0" w:after="0"/>
        <w:jc w:val="center"/>
        <w:rPr>
          <w:rFonts w:ascii="Arial" w:hAnsi="Arial" w:cs="Arial"/>
          <w:b/>
          <w:bCs/>
          <w:u w:val="single"/>
          <w:rtl/>
        </w:rPr>
      </w:pPr>
      <w:r>
        <w:rPr>
          <w:rFonts w:ascii="Arial" w:hAnsi="Arial" w:cs="Arial"/>
          <w:b/>
          <w:bCs/>
          <w:u w:val="single"/>
        </w:rPr>
        <w:lastRenderedPageBreak/>
        <w:t xml:space="preserve">Country Ranking </w:t>
      </w:r>
      <w:r w:rsidR="00555614">
        <w:rPr>
          <w:rFonts w:ascii="Arial" w:hAnsi="Arial" w:cs="Arial"/>
          <w:b/>
          <w:bCs/>
          <w:u w:val="single"/>
        </w:rPr>
        <w:t>–</w:t>
      </w:r>
      <w:r>
        <w:rPr>
          <w:rFonts w:ascii="Arial" w:hAnsi="Arial" w:cs="Arial"/>
          <w:b/>
          <w:bCs/>
          <w:u w:val="single"/>
        </w:rPr>
        <w:t xml:space="preserve"> PISA 2009</w:t>
      </w:r>
    </w:p>
    <w:tbl>
      <w:tblPr>
        <w:tblW w:w="10774" w:type="dxa"/>
        <w:tblInd w:w="-601" w:type="dxa"/>
        <w:tblLayout w:type="fixed"/>
        <w:tblLook w:val="0000" w:firstRow="0" w:lastRow="0" w:firstColumn="0" w:lastColumn="0" w:noHBand="0" w:noVBand="0"/>
      </w:tblPr>
      <w:tblGrid>
        <w:gridCol w:w="709"/>
        <w:gridCol w:w="2141"/>
        <w:gridCol w:w="633"/>
        <w:gridCol w:w="236"/>
        <w:gridCol w:w="656"/>
        <w:gridCol w:w="2146"/>
        <w:gridCol w:w="567"/>
        <w:gridCol w:w="284"/>
        <w:gridCol w:w="708"/>
        <w:gridCol w:w="2127"/>
        <w:gridCol w:w="567"/>
      </w:tblGrid>
      <w:tr w:rsidR="00D37402" w:rsidRPr="007C1A19" w:rsidTr="00D37402">
        <w:trPr>
          <w:trHeight w:val="20"/>
        </w:trPr>
        <w:tc>
          <w:tcPr>
            <w:tcW w:w="709" w:type="dxa"/>
            <w:tcBorders>
              <w:bottom w:val="single" w:sz="2" w:space="0" w:color="BFBFBF"/>
            </w:tcBorders>
            <w:shd w:val="clear" w:color="auto" w:fill="auto"/>
            <w:vAlign w:val="center"/>
          </w:tcPr>
          <w:p w:rsidR="007D0677" w:rsidRPr="009E149B" w:rsidRDefault="007D0677" w:rsidP="00FD6678">
            <w:pPr>
              <w:pStyle w:val="af"/>
              <w:bidi w:val="0"/>
              <w:spacing w:before="0" w:after="0" w:line="180" w:lineRule="exact"/>
              <w:jc w:val="center"/>
              <w:rPr>
                <w:rFonts w:ascii="Arial" w:hAnsi="Arial" w:cs="Arial"/>
                <w:b w:val="0"/>
                <w:bCs w:val="0"/>
                <w:sz w:val="16"/>
                <w:szCs w:val="16"/>
                <w:rtl/>
              </w:rPr>
            </w:pPr>
          </w:p>
        </w:tc>
        <w:tc>
          <w:tcPr>
            <w:tcW w:w="2141" w:type="dxa"/>
            <w:tcBorders>
              <w:bottom w:val="single" w:sz="2" w:space="0" w:color="BFBFBF"/>
            </w:tcBorders>
            <w:shd w:val="clear" w:color="auto" w:fill="auto"/>
            <w:vAlign w:val="center"/>
          </w:tcPr>
          <w:p w:rsidR="007D0677" w:rsidRPr="00D56C60" w:rsidRDefault="007D0677" w:rsidP="00FD6678">
            <w:pPr>
              <w:pStyle w:val="af"/>
              <w:bidi w:val="0"/>
              <w:spacing w:before="0" w:after="0" w:line="180" w:lineRule="exact"/>
              <w:jc w:val="center"/>
              <w:rPr>
                <w:rFonts w:ascii="Arial" w:hAnsi="Arial" w:cs="Arial"/>
                <w:color w:val="FF0000"/>
                <w:sz w:val="24"/>
                <w:szCs w:val="24"/>
                <w:rtl/>
              </w:rPr>
            </w:pPr>
            <w:r>
              <w:rPr>
                <w:rFonts w:ascii="Arial" w:hAnsi="Arial" w:cs="Arial"/>
                <w:color w:val="FF0000"/>
                <w:sz w:val="24"/>
                <w:szCs w:val="24"/>
              </w:rPr>
              <w:t>Reading</w:t>
            </w:r>
          </w:p>
        </w:tc>
        <w:tc>
          <w:tcPr>
            <w:tcW w:w="633" w:type="dxa"/>
            <w:tcBorders>
              <w:bottom w:val="single" w:sz="2" w:space="0" w:color="BFBFBF"/>
            </w:tcBorders>
            <w:shd w:val="clear" w:color="auto" w:fill="auto"/>
            <w:vAlign w:val="center"/>
          </w:tcPr>
          <w:p w:rsidR="007D0677" w:rsidRPr="00D56C60" w:rsidRDefault="007D0677" w:rsidP="00FD6678">
            <w:pPr>
              <w:pStyle w:val="af"/>
              <w:bidi w:val="0"/>
              <w:spacing w:before="0" w:after="0" w:line="180" w:lineRule="exact"/>
              <w:jc w:val="center"/>
              <w:rPr>
                <w:rFonts w:ascii="Arial" w:hAnsi="Arial" w:cs="Arial"/>
                <w:sz w:val="24"/>
                <w:szCs w:val="24"/>
                <w:rtl/>
              </w:rPr>
            </w:pPr>
          </w:p>
        </w:tc>
        <w:tc>
          <w:tcPr>
            <w:tcW w:w="236" w:type="dxa"/>
          </w:tcPr>
          <w:p w:rsidR="007D0677" w:rsidRPr="00D56C60" w:rsidRDefault="007D0677" w:rsidP="00FD6678">
            <w:pPr>
              <w:pStyle w:val="af"/>
              <w:bidi w:val="0"/>
              <w:spacing w:before="0" w:after="0" w:line="180" w:lineRule="exact"/>
              <w:jc w:val="center"/>
              <w:rPr>
                <w:rFonts w:ascii="Arial" w:hAnsi="Arial" w:cs="Arial"/>
                <w:sz w:val="24"/>
                <w:szCs w:val="24"/>
                <w:rtl/>
              </w:rPr>
            </w:pPr>
          </w:p>
        </w:tc>
        <w:tc>
          <w:tcPr>
            <w:tcW w:w="656" w:type="dxa"/>
            <w:tcBorders>
              <w:bottom w:val="single" w:sz="2" w:space="0" w:color="BFBFBF"/>
            </w:tcBorders>
            <w:vAlign w:val="center"/>
          </w:tcPr>
          <w:p w:rsidR="007D0677" w:rsidRPr="009E149B" w:rsidRDefault="007D0677" w:rsidP="00FD6678">
            <w:pPr>
              <w:pStyle w:val="af"/>
              <w:bidi w:val="0"/>
              <w:spacing w:before="0" w:after="0" w:line="180" w:lineRule="exact"/>
              <w:jc w:val="center"/>
              <w:rPr>
                <w:rFonts w:ascii="Arial" w:hAnsi="Arial" w:cs="Arial"/>
                <w:sz w:val="16"/>
                <w:szCs w:val="16"/>
                <w:rtl/>
              </w:rPr>
            </w:pPr>
          </w:p>
        </w:tc>
        <w:tc>
          <w:tcPr>
            <w:tcW w:w="2146" w:type="dxa"/>
            <w:tcBorders>
              <w:bottom w:val="single" w:sz="2" w:space="0" w:color="BFBFBF"/>
            </w:tcBorders>
            <w:vAlign w:val="center"/>
          </w:tcPr>
          <w:p w:rsidR="007D0677" w:rsidRPr="00D56C60" w:rsidRDefault="007D0677" w:rsidP="00FD6678">
            <w:pPr>
              <w:pStyle w:val="af"/>
              <w:bidi w:val="0"/>
              <w:spacing w:before="0" w:after="0" w:line="180" w:lineRule="exact"/>
              <w:jc w:val="center"/>
              <w:rPr>
                <w:rFonts w:ascii="Arial" w:hAnsi="Arial" w:cs="Arial"/>
                <w:color w:val="FF0000"/>
                <w:sz w:val="24"/>
                <w:szCs w:val="24"/>
                <w:rtl/>
              </w:rPr>
            </w:pPr>
            <w:r>
              <w:rPr>
                <w:rFonts w:ascii="Arial" w:hAnsi="Arial" w:cs="Arial"/>
                <w:color w:val="FF0000"/>
                <w:sz w:val="24"/>
                <w:szCs w:val="24"/>
              </w:rPr>
              <w:t>Mathematics</w:t>
            </w:r>
          </w:p>
        </w:tc>
        <w:tc>
          <w:tcPr>
            <w:tcW w:w="567" w:type="dxa"/>
            <w:tcBorders>
              <w:bottom w:val="single" w:sz="2" w:space="0" w:color="BFBFBF"/>
            </w:tcBorders>
            <w:vAlign w:val="center"/>
          </w:tcPr>
          <w:p w:rsidR="007D0677" w:rsidRPr="00D56C60" w:rsidRDefault="007D0677" w:rsidP="00FD6678">
            <w:pPr>
              <w:pStyle w:val="af"/>
              <w:bidi w:val="0"/>
              <w:spacing w:before="0" w:after="0" w:line="180" w:lineRule="exact"/>
              <w:jc w:val="center"/>
              <w:rPr>
                <w:rFonts w:ascii="Arial" w:hAnsi="Arial" w:cs="Arial"/>
                <w:sz w:val="24"/>
                <w:szCs w:val="24"/>
                <w:rtl/>
              </w:rPr>
            </w:pPr>
          </w:p>
        </w:tc>
        <w:tc>
          <w:tcPr>
            <w:tcW w:w="284" w:type="dxa"/>
          </w:tcPr>
          <w:p w:rsidR="007D0677" w:rsidRPr="00D56C60" w:rsidRDefault="007D0677" w:rsidP="00FD6678">
            <w:pPr>
              <w:pStyle w:val="af"/>
              <w:bidi w:val="0"/>
              <w:spacing w:before="0" w:after="0" w:line="180" w:lineRule="exact"/>
              <w:jc w:val="center"/>
              <w:rPr>
                <w:rFonts w:ascii="Arial" w:hAnsi="Arial" w:cs="Arial"/>
                <w:sz w:val="24"/>
                <w:szCs w:val="24"/>
                <w:rtl/>
              </w:rPr>
            </w:pPr>
          </w:p>
        </w:tc>
        <w:tc>
          <w:tcPr>
            <w:tcW w:w="708" w:type="dxa"/>
            <w:tcBorders>
              <w:bottom w:val="single" w:sz="2" w:space="0" w:color="BFBFBF"/>
            </w:tcBorders>
          </w:tcPr>
          <w:p w:rsidR="007D0677" w:rsidRPr="009E149B" w:rsidRDefault="007D0677" w:rsidP="00FD6678">
            <w:pPr>
              <w:pStyle w:val="af"/>
              <w:bidi w:val="0"/>
              <w:spacing w:before="0" w:after="0" w:line="180" w:lineRule="exact"/>
              <w:jc w:val="center"/>
              <w:rPr>
                <w:rFonts w:ascii="Arial" w:hAnsi="Arial" w:cs="Arial"/>
                <w:sz w:val="16"/>
                <w:szCs w:val="16"/>
                <w:rtl/>
              </w:rPr>
            </w:pPr>
          </w:p>
        </w:tc>
        <w:tc>
          <w:tcPr>
            <w:tcW w:w="2127" w:type="dxa"/>
            <w:tcBorders>
              <w:bottom w:val="single" w:sz="2" w:space="0" w:color="BFBFBF"/>
            </w:tcBorders>
            <w:vAlign w:val="center"/>
          </w:tcPr>
          <w:p w:rsidR="007D0677" w:rsidRPr="00D56C60" w:rsidRDefault="007D0677" w:rsidP="00FD6678">
            <w:pPr>
              <w:pStyle w:val="af"/>
              <w:bidi w:val="0"/>
              <w:spacing w:before="0" w:after="0" w:line="180" w:lineRule="exact"/>
              <w:jc w:val="center"/>
              <w:rPr>
                <w:rFonts w:ascii="Arial" w:hAnsi="Arial" w:cs="Arial"/>
                <w:color w:val="FF0000"/>
                <w:sz w:val="24"/>
                <w:szCs w:val="24"/>
                <w:rtl/>
              </w:rPr>
            </w:pPr>
            <w:r>
              <w:rPr>
                <w:rFonts w:ascii="Arial" w:hAnsi="Arial" w:cs="Arial"/>
                <w:color w:val="FF0000"/>
                <w:sz w:val="24"/>
                <w:szCs w:val="24"/>
              </w:rPr>
              <w:t>Science</w:t>
            </w:r>
          </w:p>
        </w:tc>
        <w:tc>
          <w:tcPr>
            <w:tcW w:w="567" w:type="dxa"/>
            <w:tcBorders>
              <w:bottom w:val="single" w:sz="2" w:space="0" w:color="BFBFBF"/>
            </w:tcBorders>
            <w:vAlign w:val="center"/>
          </w:tcPr>
          <w:p w:rsidR="007D0677" w:rsidRPr="007C1A19" w:rsidRDefault="007D0677" w:rsidP="00FD6678">
            <w:pPr>
              <w:pStyle w:val="af"/>
              <w:bidi w:val="0"/>
              <w:spacing w:before="0" w:after="0" w:line="180" w:lineRule="exact"/>
              <w:jc w:val="center"/>
              <w:rPr>
                <w:rFonts w:ascii="Arial" w:hAnsi="Arial" w:cs="Arial"/>
                <w:b w:val="0"/>
                <w:bCs w:val="0"/>
                <w:sz w:val="16"/>
                <w:szCs w:val="16"/>
                <w:rtl/>
              </w:rPr>
            </w:pP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E8EDE5"/>
            <w:vAlign w:val="center"/>
          </w:tcPr>
          <w:p w:rsidR="007D0677" w:rsidRPr="009E149B" w:rsidRDefault="007D0677" w:rsidP="00FD6678">
            <w:pPr>
              <w:pStyle w:val="af"/>
              <w:bidi w:val="0"/>
              <w:spacing w:before="0" w:after="0" w:line="180" w:lineRule="exact"/>
              <w:jc w:val="center"/>
              <w:rPr>
                <w:rFonts w:ascii="Arial" w:hAnsi="Arial" w:cs="Arial"/>
                <w:b w:val="0"/>
                <w:bCs w:val="0"/>
                <w:sz w:val="12"/>
                <w:szCs w:val="12"/>
              </w:rPr>
            </w:pPr>
            <w:r>
              <w:rPr>
                <w:rFonts w:ascii="Arial" w:hAnsi="Arial" w:cs="Arial"/>
                <w:b w:val="0"/>
                <w:bCs w:val="0"/>
                <w:sz w:val="12"/>
                <w:szCs w:val="12"/>
              </w:rPr>
              <w:t>Ranking</w:t>
            </w:r>
          </w:p>
        </w:tc>
        <w:tc>
          <w:tcPr>
            <w:tcW w:w="2141" w:type="dxa"/>
            <w:tcBorders>
              <w:top w:val="single" w:sz="2" w:space="0" w:color="BFBFBF"/>
              <w:left w:val="single" w:sz="2" w:space="0" w:color="BFBFBF"/>
              <w:bottom w:val="single" w:sz="2" w:space="0" w:color="BFBFBF"/>
              <w:right w:val="single" w:sz="2" w:space="0" w:color="BFBFBF"/>
            </w:tcBorders>
            <w:shd w:val="clear" w:color="auto" w:fill="E8EDE5"/>
            <w:vAlign w:val="center"/>
          </w:tcPr>
          <w:p w:rsidR="007D0677" w:rsidRPr="007C1A19" w:rsidRDefault="007D0677" w:rsidP="00FD6678">
            <w:pPr>
              <w:pStyle w:val="af"/>
              <w:bidi w:val="0"/>
              <w:spacing w:before="0" w:after="0" w:line="180" w:lineRule="exact"/>
              <w:jc w:val="center"/>
              <w:rPr>
                <w:rFonts w:ascii="Arial" w:hAnsi="Arial" w:cs="Arial"/>
                <w:b w:val="0"/>
                <w:bCs w:val="0"/>
                <w:sz w:val="16"/>
                <w:szCs w:val="16"/>
              </w:rPr>
            </w:pPr>
            <w:r>
              <w:rPr>
                <w:rFonts w:ascii="Arial" w:hAnsi="Arial" w:cs="Arial"/>
                <w:b w:val="0"/>
                <w:bCs w:val="0"/>
                <w:sz w:val="16"/>
                <w:szCs w:val="16"/>
              </w:rPr>
              <w:t>Country</w:t>
            </w:r>
          </w:p>
        </w:tc>
        <w:tc>
          <w:tcPr>
            <w:tcW w:w="633" w:type="dxa"/>
            <w:tcBorders>
              <w:top w:val="single" w:sz="2" w:space="0" w:color="BFBFBF"/>
              <w:left w:val="single" w:sz="2" w:space="0" w:color="BFBFBF"/>
              <w:bottom w:val="single" w:sz="2" w:space="0" w:color="BFBFBF"/>
              <w:right w:val="single" w:sz="2" w:space="0" w:color="BFBFBF"/>
            </w:tcBorders>
            <w:shd w:val="clear" w:color="auto" w:fill="E8EDE5"/>
            <w:vAlign w:val="center"/>
          </w:tcPr>
          <w:p w:rsidR="007D0677" w:rsidRPr="007C1A19" w:rsidRDefault="007D0677" w:rsidP="00FD6678">
            <w:pPr>
              <w:pStyle w:val="af"/>
              <w:bidi w:val="0"/>
              <w:spacing w:before="0" w:after="0" w:line="180" w:lineRule="exact"/>
              <w:jc w:val="center"/>
              <w:rPr>
                <w:rFonts w:ascii="Arial" w:hAnsi="Arial" w:cs="Arial"/>
                <w:b w:val="0"/>
                <w:bCs w:val="0"/>
                <w:sz w:val="16"/>
                <w:szCs w:val="16"/>
              </w:rPr>
            </w:pPr>
            <w:r>
              <w:rPr>
                <w:rFonts w:ascii="Arial" w:hAnsi="Arial" w:cs="Arial"/>
                <w:b w:val="0"/>
                <w:bCs w:val="0"/>
                <w:sz w:val="16"/>
                <w:szCs w:val="16"/>
              </w:rPr>
              <w:t xml:space="preserve">Score </w:t>
            </w:r>
          </w:p>
        </w:tc>
        <w:tc>
          <w:tcPr>
            <w:tcW w:w="236" w:type="dxa"/>
            <w:tcBorders>
              <w:left w:val="single" w:sz="2" w:space="0" w:color="BFBFBF"/>
              <w:right w:val="single" w:sz="2" w:space="0" w:color="BFBFBF"/>
            </w:tcBorders>
            <w:shd w:val="clear" w:color="auto" w:fill="E8EDE5"/>
          </w:tcPr>
          <w:p w:rsidR="007D0677" w:rsidRPr="007C1A19" w:rsidRDefault="007D0677" w:rsidP="00FD6678">
            <w:pPr>
              <w:pStyle w:val="af"/>
              <w:bidi w:val="0"/>
              <w:spacing w:before="0" w:after="0" w:line="180" w:lineRule="exact"/>
              <w:jc w:val="center"/>
              <w:rPr>
                <w:rFonts w:ascii="Arial" w:hAnsi="Arial" w:cs="Arial"/>
                <w:b w:val="0"/>
                <w:bCs w:val="0"/>
                <w:sz w:val="16"/>
                <w:szCs w:val="16"/>
                <w:rtl/>
              </w:rPr>
            </w:pPr>
          </w:p>
        </w:tc>
        <w:tc>
          <w:tcPr>
            <w:tcW w:w="656" w:type="dxa"/>
            <w:tcBorders>
              <w:top w:val="single" w:sz="2" w:space="0" w:color="BFBFBF"/>
              <w:left w:val="single" w:sz="2" w:space="0" w:color="BFBFBF"/>
              <w:bottom w:val="single" w:sz="2" w:space="0" w:color="BFBFBF"/>
              <w:right w:val="single" w:sz="2" w:space="0" w:color="BFBFBF"/>
            </w:tcBorders>
            <w:shd w:val="clear" w:color="auto" w:fill="E8EDE5"/>
            <w:vAlign w:val="center"/>
          </w:tcPr>
          <w:p w:rsidR="007D0677" w:rsidRPr="009E149B" w:rsidRDefault="007D0677" w:rsidP="00FD6678">
            <w:pPr>
              <w:pStyle w:val="af"/>
              <w:bidi w:val="0"/>
              <w:spacing w:before="0" w:after="0" w:line="180" w:lineRule="exact"/>
              <w:jc w:val="center"/>
              <w:rPr>
                <w:rFonts w:ascii="Arial" w:hAnsi="Arial" w:cs="Arial"/>
                <w:b w:val="0"/>
                <w:bCs w:val="0"/>
                <w:sz w:val="12"/>
                <w:szCs w:val="12"/>
              </w:rPr>
            </w:pPr>
            <w:r>
              <w:rPr>
                <w:rFonts w:ascii="Arial" w:hAnsi="Arial" w:cs="Arial"/>
                <w:b w:val="0"/>
                <w:bCs w:val="0"/>
                <w:sz w:val="12"/>
                <w:szCs w:val="12"/>
              </w:rPr>
              <w:t>Ranking</w:t>
            </w:r>
          </w:p>
        </w:tc>
        <w:tc>
          <w:tcPr>
            <w:tcW w:w="2146" w:type="dxa"/>
            <w:tcBorders>
              <w:top w:val="single" w:sz="2" w:space="0" w:color="BFBFBF"/>
              <w:left w:val="single" w:sz="2" w:space="0" w:color="BFBFBF"/>
              <w:bottom w:val="single" w:sz="2" w:space="0" w:color="BFBFBF"/>
              <w:right w:val="single" w:sz="2" w:space="0" w:color="BFBFBF"/>
            </w:tcBorders>
            <w:shd w:val="clear" w:color="auto" w:fill="E8EDE5"/>
            <w:vAlign w:val="center"/>
          </w:tcPr>
          <w:p w:rsidR="007D0677" w:rsidRPr="007C1A19" w:rsidRDefault="007D0677" w:rsidP="00FD6678">
            <w:pPr>
              <w:pStyle w:val="af"/>
              <w:bidi w:val="0"/>
              <w:spacing w:before="0" w:after="0" w:line="180" w:lineRule="exact"/>
              <w:jc w:val="center"/>
              <w:rPr>
                <w:rFonts w:ascii="Arial" w:hAnsi="Arial" w:cs="Arial"/>
                <w:b w:val="0"/>
                <w:bCs w:val="0"/>
                <w:sz w:val="16"/>
                <w:szCs w:val="16"/>
              </w:rPr>
            </w:pPr>
            <w:r>
              <w:rPr>
                <w:rFonts w:ascii="Arial" w:hAnsi="Arial" w:cs="Arial"/>
                <w:b w:val="0"/>
                <w:bCs w:val="0"/>
                <w:sz w:val="16"/>
                <w:szCs w:val="16"/>
              </w:rPr>
              <w:t>Country</w:t>
            </w:r>
          </w:p>
        </w:tc>
        <w:tc>
          <w:tcPr>
            <w:tcW w:w="567" w:type="dxa"/>
            <w:tcBorders>
              <w:top w:val="single" w:sz="2" w:space="0" w:color="BFBFBF"/>
              <w:left w:val="single" w:sz="2" w:space="0" w:color="BFBFBF"/>
              <w:bottom w:val="single" w:sz="2" w:space="0" w:color="BFBFBF"/>
              <w:right w:val="single" w:sz="2" w:space="0" w:color="BFBFBF"/>
            </w:tcBorders>
            <w:shd w:val="clear" w:color="auto" w:fill="E8EDE5"/>
            <w:vAlign w:val="center"/>
          </w:tcPr>
          <w:p w:rsidR="007D0677" w:rsidRPr="007C1A19" w:rsidRDefault="007D0677" w:rsidP="00FD6678">
            <w:pPr>
              <w:pStyle w:val="af"/>
              <w:bidi w:val="0"/>
              <w:spacing w:before="0" w:after="0" w:line="180" w:lineRule="exact"/>
              <w:jc w:val="center"/>
              <w:rPr>
                <w:rFonts w:ascii="Arial" w:hAnsi="Arial" w:cs="Arial"/>
                <w:b w:val="0"/>
                <w:bCs w:val="0"/>
                <w:sz w:val="16"/>
                <w:szCs w:val="16"/>
              </w:rPr>
            </w:pPr>
            <w:r>
              <w:rPr>
                <w:rFonts w:ascii="Arial" w:hAnsi="Arial" w:cs="Arial"/>
                <w:b w:val="0"/>
                <w:bCs w:val="0"/>
                <w:sz w:val="16"/>
                <w:szCs w:val="16"/>
              </w:rPr>
              <w:t xml:space="preserve">Score </w:t>
            </w:r>
          </w:p>
        </w:tc>
        <w:tc>
          <w:tcPr>
            <w:tcW w:w="284" w:type="dxa"/>
            <w:tcBorders>
              <w:left w:val="single" w:sz="2" w:space="0" w:color="BFBFBF"/>
              <w:right w:val="single" w:sz="2" w:space="0" w:color="BFBFBF"/>
            </w:tcBorders>
            <w:shd w:val="clear" w:color="auto" w:fill="E8EDE5"/>
          </w:tcPr>
          <w:p w:rsidR="007D0677" w:rsidRPr="007C1A19" w:rsidRDefault="007D0677" w:rsidP="00FD6678">
            <w:pPr>
              <w:pStyle w:val="af"/>
              <w:bidi w:val="0"/>
              <w:spacing w:before="0" w:after="0" w:line="180" w:lineRule="exact"/>
              <w:jc w:val="center"/>
              <w:rPr>
                <w:rFonts w:ascii="Arial" w:hAnsi="Arial" w:cs="Arial"/>
                <w:b w:val="0"/>
                <w:bCs w:val="0"/>
                <w:sz w:val="16"/>
                <w:szCs w:val="16"/>
                <w:rtl/>
              </w:rPr>
            </w:pPr>
          </w:p>
        </w:tc>
        <w:tc>
          <w:tcPr>
            <w:tcW w:w="708" w:type="dxa"/>
            <w:tcBorders>
              <w:top w:val="single" w:sz="2" w:space="0" w:color="BFBFBF"/>
              <w:left w:val="single" w:sz="2" w:space="0" w:color="BFBFBF"/>
              <w:bottom w:val="single" w:sz="2" w:space="0" w:color="BFBFBF"/>
              <w:right w:val="single" w:sz="2" w:space="0" w:color="BFBFBF"/>
            </w:tcBorders>
            <w:shd w:val="clear" w:color="auto" w:fill="E8EDE5"/>
          </w:tcPr>
          <w:p w:rsidR="007D0677" w:rsidRPr="009E149B" w:rsidRDefault="007D0677" w:rsidP="00FD6678">
            <w:pPr>
              <w:pStyle w:val="af"/>
              <w:bidi w:val="0"/>
              <w:spacing w:before="0" w:after="0" w:line="180" w:lineRule="exact"/>
              <w:jc w:val="center"/>
              <w:rPr>
                <w:rFonts w:ascii="Arial" w:hAnsi="Arial" w:cs="Arial"/>
                <w:b w:val="0"/>
                <w:bCs w:val="0"/>
                <w:sz w:val="12"/>
                <w:szCs w:val="12"/>
              </w:rPr>
            </w:pPr>
            <w:r>
              <w:rPr>
                <w:rFonts w:ascii="Arial" w:hAnsi="Arial" w:cs="Arial"/>
                <w:b w:val="0"/>
                <w:bCs w:val="0"/>
                <w:sz w:val="12"/>
                <w:szCs w:val="12"/>
              </w:rPr>
              <w:t>Ranking</w:t>
            </w:r>
          </w:p>
        </w:tc>
        <w:tc>
          <w:tcPr>
            <w:tcW w:w="2127" w:type="dxa"/>
            <w:tcBorders>
              <w:top w:val="single" w:sz="2" w:space="0" w:color="BFBFBF"/>
              <w:left w:val="single" w:sz="2" w:space="0" w:color="BFBFBF"/>
              <w:bottom w:val="single" w:sz="2" w:space="0" w:color="BFBFBF"/>
              <w:right w:val="single" w:sz="2" w:space="0" w:color="BFBFBF"/>
            </w:tcBorders>
            <w:shd w:val="clear" w:color="auto" w:fill="E8EDE5"/>
            <w:vAlign w:val="center"/>
          </w:tcPr>
          <w:p w:rsidR="007D0677" w:rsidRPr="007C1A19" w:rsidRDefault="007D0677" w:rsidP="00FD6678">
            <w:pPr>
              <w:pStyle w:val="af"/>
              <w:bidi w:val="0"/>
              <w:spacing w:before="0" w:after="0" w:line="180" w:lineRule="exact"/>
              <w:jc w:val="center"/>
              <w:rPr>
                <w:rFonts w:ascii="Arial" w:hAnsi="Arial" w:cs="Arial"/>
                <w:b w:val="0"/>
                <w:bCs w:val="0"/>
                <w:sz w:val="16"/>
                <w:szCs w:val="16"/>
              </w:rPr>
            </w:pPr>
            <w:r>
              <w:rPr>
                <w:rFonts w:ascii="Arial" w:hAnsi="Arial" w:cs="Arial"/>
                <w:b w:val="0"/>
                <w:bCs w:val="0"/>
                <w:sz w:val="16"/>
                <w:szCs w:val="16"/>
              </w:rPr>
              <w:t>Country</w:t>
            </w:r>
          </w:p>
        </w:tc>
        <w:tc>
          <w:tcPr>
            <w:tcW w:w="567" w:type="dxa"/>
            <w:tcBorders>
              <w:top w:val="single" w:sz="2" w:space="0" w:color="BFBFBF"/>
              <w:left w:val="single" w:sz="2" w:space="0" w:color="BFBFBF"/>
              <w:bottom w:val="single" w:sz="2" w:space="0" w:color="BFBFBF"/>
              <w:right w:val="single" w:sz="2" w:space="0" w:color="BFBFBF"/>
            </w:tcBorders>
            <w:shd w:val="clear" w:color="auto" w:fill="E8EDE5"/>
            <w:vAlign w:val="center"/>
          </w:tcPr>
          <w:p w:rsidR="007D0677" w:rsidRPr="007C1A19" w:rsidRDefault="007D0677" w:rsidP="00FD6678">
            <w:pPr>
              <w:pStyle w:val="af"/>
              <w:bidi w:val="0"/>
              <w:spacing w:before="0" w:after="0" w:line="180" w:lineRule="exact"/>
              <w:jc w:val="center"/>
              <w:rPr>
                <w:rFonts w:ascii="Arial" w:hAnsi="Arial" w:cs="Arial"/>
                <w:b w:val="0"/>
                <w:bCs w:val="0"/>
                <w:sz w:val="16"/>
                <w:szCs w:val="16"/>
              </w:rPr>
            </w:pPr>
            <w:r>
              <w:rPr>
                <w:rFonts w:ascii="Arial" w:hAnsi="Arial" w:cs="Arial"/>
                <w:b w:val="0"/>
                <w:bCs w:val="0"/>
                <w:sz w:val="16"/>
                <w:szCs w:val="16"/>
              </w:rPr>
              <w:t xml:space="preserve">Score </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06403E" w:rsidP="00FD6678">
            <w:pPr>
              <w:bidi w:val="0"/>
              <w:spacing w:before="0" w:after="0" w:line="180" w:lineRule="exact"/>
              <w:jc w:val="center"/>
              <w:rPr>
                <w:rFonts w:ascii="Arial" w:hAnsi="Arial" w:cs="Arial"/>
                <w:sz w:val="16"/>
                <w:szCs w:val="16"/>
                <w:rtl/>
              </w:rPr>
            </w:pPr>
            <w:r>
              <w:rPr>
                <w:rFonts w:ascii="Arial" w:hAnsi="Arial" w:cs="Arial"/>
                <w:sz w:val="16"/>
                <w:szCs w:val="16"/>
              </w:rPr>
              <w:t>-</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tl/>
              </w:rPr>
            </w:pPr>
            <w:r>
              <w:rPr>
                <w:rFonts w:ascii="Arial" w:hAnsi="Arial" w:cs="Arial"/>
                <w:sz w:val="16"/>
                <w:szCs w:val="16"/>
              </w:rPr>
              <w:t>Shanghai (China)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556</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06403E" w:rsidP="00FD6678">
            <w:pPr>
              <w:bidi w:val="0"/>
              <w:spacing w:before="0" w:after="0" w:line="180" w:lineRule="exact"/>
              <w:jc w:val="center"/>
              <w:rPr>
                <w:rFonts w:ascii="Arial" w:hAnsi="Arial" w:cs="Arial"/>
                <w:sz w:val="16"/>
                <w:szCs w:val="16"/>
                <w:rtl/>
              </w:rPr>
            </w:pPr>
            <w:r>
              <w:rPr>
                <w:rFonts w:ascii="Arial" w:hAnsi="Arial" w:cs="Arial"/>
                <w:sz w:val="16"/>
                <w:szCs w:val="16"/>
              </w:rPr>
              <w:t>-</w:t>
            </w:r>
          </w:p>
        </w:tc>
        <w:tc>
          <w:tcPr>
            <w:tcW w:w="2146"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tl/>
              </w:rPr>
            </w:pPr>
            <w:r>
              <w:rPr>
                <w:rFonts w:ascii="Arial" w:hAnsi="Arial" w:cs="Arial"/>
                <w:sz w:val="16"/>
                <w:szCs w:val="16"/>
              </w:rPr>
              <w:t>Shanghai (China)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600</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06403E" w:rsidP="00FD6678">
            <w:pPr>
              <w:bidi w:val="0"/>
              <w:spacing w:before="0" w:after="0" w:line="180" w:lineRule="exact"/>
              <w:jc w:val="center"/>
              <w:rPr>
                <w:rFonts w:ascii="Arial" w:hAnsi="Arial" w:cs="Arial"/>
                <w:sz w:val="16"/>
                <w:szCs w:val="16"/>
                <w:rtl/>
              </w:rPr>
            </w:pPr>
            <w:r>
              <w:rPr>
                <w:rFonts w:ascii="Arial" w:hAnsi="Arial" w:cs="Arial"/>
                <w:sz w:val="16"/>
                <w:szCs w:val="16"/>
              </w:rPr>
              <w:t>-</w:t>
            </w:r>
          </w:p>
        </w:tc>
        <w:tc>
          <w:tcPr>
            <w:tcW w:w="2127"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tl/>
              </w:rPr>
            </w:pPr>
            <w:r>
              <w:rPr>
                <w:rFonts w:ascii="Arial" w:hAnsi="Arial" w:cs="Arial"/>
                <w:sz w:val="16"/>
                <w:szCs w:val="16"/>
              </w:rPr>
              <w:t>Shanghai (China)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575</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Korea*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539</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Singapore</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562</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Finland*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554</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tabs>
                <w:tab w:val="right" w:pos="147"/>
              </w:tabs>
              <w:bidi w:val="0"/>
              <w:spacing w:before="0" w:after="0" w:line="180" w:lineRule="exact"/>
              <w:jc w:val="center"/>
              <w:rPr>
                <w:rFonts w:ascii="Arial" w:hAnsi="Arial" w:cs="Arial"/>
                <w:sz w:val="16"/>
                <w:szCs w:val="16"/>
              </w:rPr>
            </w:pPr>
            <w:r>
              <w:rPr>
                <w:rFonts w:ascii="Arial" w:hAnsi="Arial" w:cs="Arial"/>
                <w:sz w:val="16"/>
                <w:szCs w:val="16"/>
              </w:rPr>
              <w:t>2</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Finland*</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536</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tabs>
                <w:tab w:val="right" w:pos="147"/>
              </w:tabs>
              <w:bidi w:val="0"/>
              <w:spacing w:before="0" w:after="0" w:line="180" w:lineRule="exact"/>
              <w:jc w:val="center"/>
              <w:rPr>
                <w:rFonts w:ascii="Arial" w:hAnsi="Arial" w:cs="Arial"/>
                <w:sz w:val="16"/>
                <w:szCs w:val="16"/>
              </w:rPr>
            </w:pPr>
            <w:r>
              <w:rPr>
                <w:rFonts w:ascii="Arial" w:hAnsi="Arial" w:cs="Arial"/>
                <w:sz w:val="16"/>
                <w:szCs w:val="16"/>
              </w:rPr>
              <w:t>2</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Hong Kong (China)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555</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tabs>
                <w:tab w:val="right" w:pos="147"/>
              </w:tabs>
              <w:bidi w:val="0"/>
              <w:spacing w:before="0" w:after="0" w:line="180" w:lineRule="exact"/>
              <w:jc w:val="center"/>
              <w:rPr>
                <w:rFonts w:ascii="Arial" w:hAnsi="Arial" w:cs="Arial"/>
                <w:sz w:val="16"/>
                <w:szCs w:val="16"/>
                <w:rtl/>
              </w:rPr>
            </w:pPr>
            <w:r>
              <w:rPr>
                <w:rFonts w:ascii="Arial" w:hAnsi="Arial" w:cs="Arial"/>
                <w:sz w:val="16"/>
                <w:szCs w:val="16"/>
              </w:rPr>
              <w:t>2</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Hong Kong (China)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549</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Hong Kong (China)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533</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tl/>
              </w:rPr>
            </w:pPr>
            <w:r>
              <w:rPr>
                <w:rFonts w:ascii="Arial" w:hAnsi="Arial" w:cs="Arial"/>
                <w:sz w:val="16"/>
                <w:szCs w:val="16"/>
              </w:rPr>
              <w:t>Korea*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546</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tl/>
              </w:rPr>
            </w:pPr>
            <w:r>
              <w:rPr>
                <w:rFonts w:ascii="Arial" w:hAnsi="Arial" w:cs="Arial"/>
                <w:sz w:val="16"/>
                <w:szCs w:val="16"/>
              </w:rPr>
              <w:t>3</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Singapore</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542</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Singapore</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526</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Taiwan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543</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Japan*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539</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Canada*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524</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Finland*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541</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Korea*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538</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New Zealand*</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521</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Liechtenstein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536</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New Zealand*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532</w:t>
            </w:r>
          </w:p>
        </w:tc>
      </w:tr>
      <w:tr w:rsidR="00D37402" w:rsidRPr="007C1A19" w:rsidTr="00D37402">
        <w:trPr>
          <w:trHeight w:val="8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7</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Japan*</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520</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7</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Switzerland*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534</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7</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Canada*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529</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8</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Australia*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515</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8</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Japan*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529</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8</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Estonia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528</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9</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Holland*</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508</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9</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Canada*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527</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9</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Australia*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527</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tl/>
              </w:rPr>
            </w:pPr>
            <w:r>
              <w:rPr>
                <w:rFonts w:ascii="Arial" w:hAnsi="Arial" w:cs="Arial"/>
                <w:sz w:val="16"/>
                <w:szCs w:val="16"/>
              </w:rPr>
              <w:t>10</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Belgium*</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506</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10</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Holland*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526</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10</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Holland*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522</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11</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Norway*</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503</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11</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Macau (China)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525</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11</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Taiwan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520</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12</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Estonia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501</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12</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New Zealand*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519</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12</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Germany*</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520</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13</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Switzerland*</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501</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13</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Belgium*</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515</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13</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Liechtenstein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520</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14</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Poland*</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500</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14</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Australia*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514</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14</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Switzerland*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517</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15</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Iceland*</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500</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15</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Germany*</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513</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15</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Britain*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514</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16</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USA*</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500</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16</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Estonia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512</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16</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Slovenia*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512</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17</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Liechtenstein</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499</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17</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Iceland*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507</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17</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Macau (China)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511</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color w:val="FF0000"/>
                <w:sz w:val="16"/>
                <w:szCs w:val="16"/>
              </w:rPr>
            </w:pPr>
            <w:r>
              <w:rPr>
                <w:rFonts w:ascii="Arial" w:hAnsi="Arial" w:cs="Arial"/>
                <w:color w:val="FF0000"/>
                <w:sz w:val="16"/>
                <w:szCs w:val="16"/>
              </w:rPr>
              <w:t>(17a)</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EF538F" w:rsidRDefault="007D0677" w:rsidP="00FD6678">
            <w:pPr>
              <w:bidi w:val="0"/>
              <w:spacing w:before="0" w:after="0" w:line="180" w:lineRule="exact"/>
              <w:rPr>
                <w:rFonts w:ascii="Arial" w:hAnsi="Arial" w:cs="Arial"/>
                <w:color w:val="FF0000"/>
                <w:sz w:val="16"/>
                <w:szCs w:val="16"/>
              </w:rPr>
            </w:pPr>
            <w:r>
              <w:rPr>
                <w:rFonts w:ascii="Arial" w:hAnsi="Arial" w:cs="Arial"/>
                <w:color w:val="FF0000"/>
                <w:sz w:val="16"/>
                <w:szCs w:val="16"/>
              </w:rPr>
              <w:t xml:space="preserve">Israel </w:t>
            </w:r>
            <w:r w:rsidR="00555614">
              <w:rPr>
                <w:rFonts w:ascii="Arial" w:hAnsi="Arial" w:cs="Arial"/>
                <w:color w:val="FF0000"/>
                <w:sz w:val="16"/>
                <w:szCs w:val="16"/>
              </w:rPr>
              <w:t>–</w:t>
            </w:r>
            <w:r>
              <w:rPr>
                <w:rFonts w:ascii="Arial" w:hAnsi="Arial" w:cs="Arial"/>
                <w:color w:val="FF0000"/>
                <w:sz w:val="16"/>
                <w:szCs w:val="16"/>
              </w:rPr>
              <w:t xml:space="preserve"> Hebrew speak</w:t>
            </w:r>
            <w:r w:rsidR="00555614">
              <w:rPr>
                <w:rFonts w:ascii="Arial" w:hAnsi="Arial" w:cs="Arial"/>
                <w:color w:val="FF0000"/>
                <w:sz w:val="16"/>
                <w:szCs w:val="16"/>
              </w:rPr>
              <w:t>ers</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EF538F" w:rsidRDefault="007D0677" w:rsidP="00FD6678">
            <w:pPr>
              <w:bidi w:val="0"/>
              <w:spacing w:before="0" w:after="0" w:line="180" w:lineRule="exact"/>
              <w:jc w:val="center"/>
              <w:rPr>
                <w:rFonts w:ascii="Arial" w:hAnsi="Arial" w:cs="Arial"/>
                <w:color w:val="FF0000"/>
                <w:sz w:val="16"/>
                <w:szCs w:val="16"/>
              </w:rPr>
            </w:pPr>
            <w:r>
              <w:rPr>
                <w:rFonts w:ascii="Arial" w:hAnsi="Arial" w:cs="Arial"/>
                <w:color w:val="FF0000"/>
                <w:sz w:val="16"/>
                <w:szCs w:val="16"/>
              </w:rPr>
              <w:t>498</w:t>
            </w:r>
          </w:p>
        </w:tc>
        <w:tc>
          <w:tcPr>
            <w:tcW w:w="236" w:type="dxa"/>
            <w:tcBorders>
              <w:left w:val="single" w:sz="2" w:space="0" w:color="BFBFBF"/>
              <w:right w:val="single" w:sz="2" w:space="0" w:color="BFBFBF"/>
            </w:tcBorders>
          </w:tcPr>
          <w:p w:rsidR="007D0677" w:rsidRPr="00EF538F" w:rsidRDefault="007D0677" w:rsidP="00FD6678">
            <w:pPr>
              <w:bidi w:val="0"/>
              <w:spacing w:before="0" w:after="0" w:line="180" w:lineRule="exact"/>
              <w:jc w:val="center"/>
              <w:rPr>
                <w:rFonts w:ascii="Arial" w:hAnsi="Arial" w:cs="Arial"/>
                <w:color w:val="FF0000"/>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18</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Denmark*</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503</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18</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Poland*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508</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18</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Sweden*</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497</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19</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Slovenia*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501</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19</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Ireland*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508</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19</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Germany*</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497</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20</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Norway*</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498</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20</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Belgium*</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507</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20</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Ireland*</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496</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21</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France*</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497</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21</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Hungary*</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503</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21</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France*</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496</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22</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Slovakia*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497</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22</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USA*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502</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22</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tl/>
              </w:rPr>
            </w:pPr>
            <w:r>
              <w:rPr>
                <w:rFonts w:ascii="Arial" w:hAnsi="Arial" w:cs="Arial"/>
                <w:sz w:val="16"/>
                <w:szCs w:val="16"/>
              </w:rPr>
              <w:t>Taiwan</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495</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23</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Austria*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496</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shd w:val="clear" w:color="auto" w:fill="8DB3E2"/>
          </w:tcPr>
          <w:p w:rsidR="007D0677" w:rsidRPr="009E149B" w:rsidRDefault="007D0677" w:rsidP="00FD6678">
            <w:pPr>
              <w:bidi w:val="0"/>
              <w:spacing w:before="0" w:after="0" w:line="180" w:lineRule="exact"/>
              <w:jc w:val="center"/>
              <w:rPr>
                <w:rFonts w:ascii="Arial" w:hAnsi="Arial" w:cs="Arial"/>
                <w:sz w:val="16"/>
                <w:szCs w:val="16"/>
              </w:rPr>
            </w:pPr>
          </w:p>
        </w:tc>
        <w:tc>
          <w:tcPr>
            <w:tcW w:w="2127" w:type="dxa"/>
            <w:tcBorders>
              <w:top w:val="single" w:sz="2" w:space="0" w:color="BFBFBF"/>
              <w:left w:val="single" w:sz="2" w:space="0" w:color="BFBFBF"/>
              <w:bottom w:val="single" w:sz="2" w:space="0" w:color="BFBFBF"/>
              <w:right w:val="single" w:sz="2" w:space="0" w:color="BFBFBF"/>
            </w:tcBorders>
            <w:shd w:val="clear" w:color="auto" w:fill="8DB3E2"/>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OECD average</w:t>
            </w:r>
          </w:p>
        </w:tc>
        <w:tc>
          <w:tcPr>
            <w:tcW w:w="567" w:type="dxa"/>
            <w:tcBorders>
              <w:top w:val="single" w:sz="2" w:space="0" w:color="BFBFBF"/>
              <w:left w:val="single" w:sz="2" w:space="0" w:color="BFBFBF"/>
              <w:bottom w:val="single" w:sz="2" w:space="0" w:color="BFBFBF"/>
              <w:right w:val="single" w:sz="2" w:space="0" w:color="BFBFBF"/>
            </w:tcBorders>
            <w:shd w:val="clear" w:color="auto" w:fill="8DB3E2"/>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501</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23</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Denmark*</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495</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8DB3E2"/>
            <w:vAlign w:val="center"/>
          </w:tcPr>
          <w:p w:rsidR="007D0677" w:rsidRPr="009E149B" w:rsidRDefault="007D0677" w:rsidP="00FD6678">
            <w:pPr>
              <w:bidi w:val="0"/>
              <w:spacing w:before="0" w:after="0" w:line="180" w:lineRule="exact"/>
              <w:jc w:val="center"/>
              <w:rPr>
                <w:rFonts w:ascii="Arial" w:hAnsi="Arial" w:cs="Arial"/>
                <w:sz w:val="16"/>
                <w:szCs w:val="16"/>
              </w:rPr>
            </w:pPr>
          </w:p>
        </w:tc>
        <w:tc>
          <w:tcPr>
            <w:tcW w:w="2146" w:type="dxa"/>
            <w:tcBorders>
              <w:top w:val="single" w:sz="2" w:space="0" w:color="BFBFBF"/>
              <w:left w:val="single" w:sz="2" w:space="0" w:color="BFBFBF"/>
              <w:bottom w:val="single" w:sz="2" w:space="0" w:color="BFBFBF"/>
              <w:right w:val="single" w:sz="2" w:space="0" w:color="BFBFBF"/>
            </w:tcBorders>
            <w:shd w:val="clear" w:color="auto" w:fill="8DB3E2"/>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OECD average</w:t>
            </w:r>
          </w:p>
        </w:tc>
        <w:tc>
          <w:tcPr>
            <w:tcW w:w="567" w:type="dxa"/>
            <w:tcBorders>
              <w:top w:val="single" w:sz="2" w:space="0" w:color="BFBFBF"/>
              <w:left w:val="single" w:sz="2" w:space="0" w:color="BFBFBF"/>
              <w:bottom w:val="single" w:sz="2" w:space="0" w:color="BFBFBF"/>
              <w:right w:val="single" w:sz="2" w:space="0" w:color="BFBFBF"/>
            </w:tcBorders>
            <w:shd w:val="clear" w:color="auto" w:fill="8DB3E2"/>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496</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23</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tl/>
              </w:rPr>
            </w:pPr>
            <w:r>
              <w:rPr>
                <w:rFonts w:ascii="Arial" w:hAnsi="Arial" w:cs="Arial"/>
                <w:sz w:val="16"/>
                <w:szCs w:val="16"/>
              </w:rPr>
              <w:t>Czech*</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500</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24</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Britain*</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494</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24</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tl/>
              </w:rPr>
            </w:pPr>
            <w:r>
              <w:rPr>
                <w:rFonts w:ascii="Arial" w:hAnsi="Arial" w:cs="Arial"/>
                <w:sz w:val="16"/>
                <w:szCs w:val="16"/>
              </w:rPr>
              <w:t>Poland*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495</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24</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Norway*</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500</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25</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Hungary*</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494</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25</w:t>
            </w:r>
          </w:p>
        </w:tc>
        <w:tc>
          <w:tcPr>
            <w:tcW w:w="214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Sweden*</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494</w:t>
            </w:r>
          </w:p>
        </w:tc>
        <w:tc>
          <w:tcPr>
            <w:tcW w:w="284"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tl/>
              </w:rPr>
            </w:pPr>
          </w:p>
        </w:tc>
        <w:tc>
          <w:tcPr>
            <w:tcW w:w="708" w:type="dxa"/>
            <w:tcBorders>
              <w:top w:val="single" w:sz="2" w:space="0" w:color="BFBFBF"/>
              <w:left w:val="single" w:sz="2" w:space="0" w:color="BFBFBF"/>
              <w:bottom w:val="single" w:sz="2" w:space="0" w:color="BFBFBF"/>
              <w:right w:val="single" w:sz="2" w:space="0" w:color="BFBFBF"/>
            </w:tcBorders>
            <w:shd w:val="clear" w:color="auto" w:fill="auto"/>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25</w:t>
            </w:r>
          </w:p>
        </w:tc>
        <w:tc>
          <w:tcPr>
            <w:tcW w:w="212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Denmark*</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499</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8DB3E2"/>
            <w:vAlign w:val="center"/>
          </w:tcPr>
          <w:p w:rsidR="007D0677" w:rsidRPr="009E149B" w:rsidRDefault="007D0677" w:rsidP="00FD6678">
            <w:pPr>
              <w:bidi w:val="0"/>
              <w:spacing w:before="0" w:after="0" w:line="180" w:lineRule="exact"/>
              <w:jc w:val="center"/>
              <w:rPr>
                <w:rFonts w:ascii="Arial" w:hAnsi="Arial" w:cs="Arial"/>
                <w:sz w:val="16"/>
                <w:szCs w:val="16"/>
              </w:rPr>
            </w:pPr>
          </w:p>
        </w:tc>
        <w:tc>
          <w:tcPr>
            <w:tcW w:w="2141" w:type="dxa"/>
            <w:tcBorders>
              <w:top w:val="single" w:sz="2" w:space="0" w:color="BFBFBF"/>
              <w:left w:val="single" w:sz="2" w:space="0" w:color="BFBFBF"/>
              <w:bottom w:val="single" w:sz="2" w:space="0" w:color="BFBFBF"/>
              <w:right w:val="single" w:sz="2" w:space="0" w:color="BFBFBF"/>
            </w:tcBorders>
            <w:shd w:val="clear" w:color="auto" w:fill="8DB3E2"/>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OECD average</w:t>
            </w:r>
          </w:p>
        </w:tc>
        <w:tc>
          <w:tcPr>
            <w:tcW w:w="633" w:type="dxa"/>
            <w:tcBorders>
              <w:top w:val="single" w:sz="2" w:space="0" w:color="BFBFBF"/>
              <w:left w:val="single" w:sz="2" w:space="0" w:color="BFBFBF"/>
              <w:bottom w:val="single" w:sz="2" w:space="0" w:color="BFBFBF"/>
              <w:right w:val="single" w:sz="2" w:space="0" w:color="BFBFBF"/>
            </w:tcBorders>
            <w:shd w:val="clear" w:color="auto" w:fill="8DB3E2"/>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493</w:t>
            </w:r>
          </w:p>
        </w:tc>
        <w:tc>
          <w:tcPr>
            <w:tcW w:w="236"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tl/>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26</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Czech*</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493</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26</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France*</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498</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26</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tl/>
              </w:rPr>
            </w:pPr>
            <w:r>
              <w:rPr>
                <w:rFonts w:ascii="Arial" w:hAnsi="Arial" w:cs="Arial"/>
                <w:sz w:val="16"/>
                <w:szCs w:val="16"/>
              </w:rPr>
              <w:t>Portugal*</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489</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27</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Britain*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492</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27</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Iceland*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496</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27</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Macau (China)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487</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28</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Hungary*</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490</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28</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Sweden*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495</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28</w:t>
            </w:r>
          </w:p>
        </w:tc>
        <w:tc>
          <w:tcPr>
            <w:tcW w:w="2141" w:type="dxa"/>
            <w:tcBorders>
              <w:top w:val="single" w:sz="2" w:space="0" w:color="BFBFBF"/>
              <w:left w:val="single" w:sz="2" w:space="0" w:color="BFBFBF"/>
              <w:bottom w:val="single" w:sz="2" w:space="0" w:color="BFBFBF"/>
              <w:right w:val="single" w:sz="2" w:space="0" w:color="BFBFBF"/>
            </w:tcBorders>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Italy*</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486</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29</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Luxembourg*</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489</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29</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Austria*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494</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29</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Latvia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484</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30</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USA*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487</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30</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Latvia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494</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30</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Slovenia*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483</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31</w:t>
            </w:r>
          </w:p>
        </w:tc>
        <w:tc>
          <w:tcPr>
            <w:tcW w:w="214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Ireland*</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487</w:t>
            </w:r>
          </w:p>
        </w:tc>
        <w:tc>
          <w:tcPr>
            <w:tcW w:w="284"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shd w:val="clear" w:color="auto" w:fill="auto"/>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31</w:t>
            </w:r>
          </w:p>
        </w:tc>
        <w:tc>
          <w:tcPr>
            <w:tcW w:w="212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Portugal*</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493</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31</w:t>
            </w:r>
          </w:p>
        </w:tc>
        <w:tc>
          <w:tcPr>
            <w:tcW w:w="2141" w:type="dxa"/>
            <w:tcBorders>
              <w:top w:val="single" w:sz="2" w:space="0" w:color="BFBFBF"/>
              <w:left w:val="single" w:sz="2" w:space="0" w:color="BFBFBF"/>
              <w:bottom w:val="single" w:sz="2" w:space="0" w:color="BFBFBF"/>
              <w:right w:val="single" w:sz="2" w:space="0" w:color="BFBFBF"/>
            </w:tcBorders>
            <w:shd w:val="clear" w:color="auto" w:fill="D9D9D9"/>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Greece*</w:t>
            </w:r>
          </w:p>
        </w:tc>
        <w:tc>
          <w:tcPr>
            <w:tcW w:w="633"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483</w:t>
            </w:r>
          </w:p>
        </w:tc>
        <w:tc>
          <w:tcPr>
            <w:tcW w:w="236"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32</w:t>
            </w:r>
          </w:p>
        </w:tc>
        <w:tc>
          <w:tcPr>
            <w:tcW w:w="214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Portugal*</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487</w:t>
            </w:r>
          </w:p>
        </w:tc>
        <w:tc>
          <w:tcPr>
            <w:tcW w:w="284"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shd w:val="clear" w:color="auto" w:fill="auto"/>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32</w:t>
            </w:r>
          </w:p>
        </w:tc>
        <w:tc>
          <w:tcPr>
            <w:tcW w:w="212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tl/>
              </w:rPr>
            </w:pPr>
            <w:r>
              <w:rPr>
                <w:rFonts w:ascii="Arial" w:hAnsi="Arial" w:cs="Arial"/>
                <w:sz w:val="16"/>
                <w:szCs w:val="16"/>
              </w:rPr>
              <w:t>Lithuania</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491</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32</w:t>
            </w:r>
          </w:p>
        </w:tc>
        <w:tc>
          <w:tcPr>
            <w:tcW w:w="2141" w:type="dxa"/>
            <w:tcBorders>
              <w:top w:val="single" w:sz="2" w:space="0" w:color="BFBFBF"/>
              <w:left w:val="single" w:sz="2" w:space="0" w:color="BFBFBF"/>
              <w:bottom w:val="single" w:sz="2" w:space="0" w:color="BFBFBF"/>
              <w:right w:val="single" w:sz="2" w:space="0" w:color="BFBFBF"/>
            </w:tcBorders>
            <w:shd w:val="clear" w:color="auto" w:fill="D9D9D9"/>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Spain*</w:t>
            </w:r>
          </w:p>
        </w:tc>
        <w:tc>
          <w:tcPr>
            <w:tcW w:w="633"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481</w:t>
            </w:r>
          </w:p>
        </w:tc>
        <w:tc>
          <w:tcPr>
            <w:tcW w:w="236"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33</w:t>
            </w:r>
          </w:p>
        </w:tc>
        <w:tc>
          <w:tcPr>
            <w:tcW w:w="214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Spain*</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483</w:t>
            </w:r>
          </w:p>
        </w:tc>
        <w:tc>
          <w:tcPr>
            <w:tcW w:w="284"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shd w:val="clear" w:color="auto" w:fill="auto"/>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33</w:t>
            </w:r>
          </w:p>
        </w:tc>
        <w:tc>
          <w:tcPr>
            <w:tcW w:w="212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Slovakia*</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490</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33</w:t>
            </w:r>
          </w:p>
        </w:tc>
        <w:tc>
          <w:tcPr>
            <w:tcW w:w="2141" w:type="dxa"/>
            <w:tcBorders>
              <w:top w:val="single" w:sz="2" w:space="0" w:color="BFBFBF"/>
              <w:left w:val="single" w:sz="2" w:space="0" w:color="BFBFBF"/>
              <w:bottom w:val="single" w:sz="2" w:space="0" w:color="BFBFBF"/>
              <w:right w:val="single" w:sz="2" w:space="0" w:color="BFBFBF"/>
            </w:tcBorders>
            <w:shd w:val="clear" w:color="auto" w:fill="D9D9D9"/>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Czech*</w:t>
            </w:r>
          </w:p>
        </w:tc>
        <w:tc>
          <w:tcPr>
            <w:tcW w:w="633"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478</w:t>
            </w:r>
          </w:p>
        </w:tc>
        <w:tc>
          <w:tcPr>
            <w:tcW w:w="236"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34</w:t>
            </w:r>
          </w:p>
        </w:tc>
        <w:tc>
          <w:tcPr>
            <w:tcW w:w="214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Italy*</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483</w:t>
            </w:r>
          </w:p>
        </w:tc>
        <w:tc>
          <w:tcPr>
            <w:tcW w:w="284"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shd w:val="clear" w:color="auto" w:fill="auto"/>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34</w:t>
            </w:r>
          </w:p>
        </w:tc>
        <w:tc>
          <w:tcPr>
            <w:tcW w:w="212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tl/>
              </w:rPr>
            </w:pPr>
            <w:r>
              <w:rPr>
                <w:rFonts w:ascii="Arial" w:hAnsi="Arial" w:cs="Arial"/>
                <w:sz w:val="16"/>
                <w:szCs w:val="16"/>
              </w:rPr>
              <w:t>Italy*</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489</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34</w:t>
            </w:r>
          </w:p>
        </w:tc>
        <w:tc>
          <w:tcPr>
            <w:tcW w:w="2141" w:type="dxa"/>
            <w:tcBorders>
              <w:top w:val="single" w:sz="2" w:space="0" w:color="BFBFBF"/>
              <w:left w:val="single" w:sz="2" w:space="0" w:color="BFBFBF"/>
              <w:bottom w:val="single" w:sz="2" w:space="0" w:color="BFBFBF"/>
              <w:right w:val="single" w:sz="2" w:space="0" w:color="BFBFBF"/>
            </w:tcBorders>
            <w:shd w:val="clear" w:color="auto" w:fill="D9D9D9"/>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Slovakia*</w:t>
            </w:r>
          </w:p>
        </w:tc>
        <w:tc>
          <w:tcPr>
            <w:tcW w:w="633"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477</w:t>
            </w:r>
          </w:p>
        </w:tc>
        <w:tc>
          <w:tcPr>
            <w:tcW w:w="236"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35</w:t>
            </w:r>
          </w:p>
        </w:tc>
        <w:tc>
          <w:tcPr>
            <w:tcW w:w="214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Latvia</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482</w:t>
            </w:r>
          </w:p>
        </w:tc>
        <w:tc>
          <w:tcPr>
            <w:tcW w:w="284"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shd w:val="clear" w:color="auto" w:fill="auto"/>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35</w:t>
            </w:r>
          </w:p>
        </w:tc>
        <w:tc>
          <w:tcPr>
            <w:tcW w:w="212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Spain*</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488</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9E149B" w:rsidRDefault="007D0677" w:rsidP="00FD6678">
            <w:pPr>
              <w:bidi w:val="0"/>
              <w:spacing w:before="0" w:after="0" w:line="180" w:lineRule="exact"/>
              <w:jc w:val="center"/>
              <w:rPr>
                <w:rFonts w:ascii="Arial" w:hAnsi="Arial" w:cs="Arial"/>
                <w:sz w:val="16"/>
                <w:szCs w:val="16"/>
                <w:rtl/>
              </w:rPr>
            </w:pPr>
            <w:r>
              <w:rPr>
                <w:rFonts w:ascii="Arial" w:hAnsi="Arial" w:cs="Arial"/>
                <w:sz w:val="16"/>
                <w:szCs w:val="16"/>
              </w:rPr>
              <w:t>35</w:t>
            </w:r>
          </w:p>
        </w:tc>
        <w:tc>
          <w:tcPr>
            <w:tcW w:w="2141" w:type="dxa"/>
            <w:tcBorders>
              <w:top w:val="single" w:sz="2" w:space="0" w:color="BFBFBF"/>
              <w:left w:val="single" w:sz="2" w:space="0" w:color="BFBFBF"/>
              <w:bottom w:val="single" w:sz="2" w:space="0" w:color="BFBFBF"/>
              <w:right w:val="single" w:sz="2" w:space="0" w:color="BFBFBF"/>
            </w:tcBorders>
            <w:shd w:val="clear" w:color="auto" w:fill="D9D9D9"/>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Croatia</w:t>
            </w:r>
          </w:p>
        </w:tc>
        <w:tc>
          <w:tcPr>
            <w:tcW w:w="633"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476</w:t>
            </w:r>
          </w:p>
        </w:tc>
        <w:tc>
          <w:tcPr>
            <w:tcW w:w="236"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36</w:t>
            </w:r>
          </w:p>
        </w:tc>
        <w:tc>
          <w:tcPr>
            <w:tcW w:w="214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Lithuania</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477</w:t>
            </w:r>
          </w:p>
        </w:tc>
        <w:tc>
          <w:tcPr>
            <w:tcW w:w="284"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color w:val="0000FF"/>
                <w:sz w:val="16"/>
                <w:szCs w:val="16"/>
                <w:rtl/>
              </w:rPr>
            </w:pPr>
          </w:p>
        </w:tc>
        <w:tc>
          <w:tcPr>
            <w:tcW w:w="708" w:type="dxa"/>
            <w:tcBorders>
              <w:top w:val="single" w:sz="2" w:space="0" w:color="BFBFBF"/>
              <w:left w:val="single" w:sz="2" w:space="0" w:color="BFBFBF"/>
              <w:bottom w:val="single" w:sz="2" w:space="0" w:color="BFBFBF"/>
              <w:right w:val="single" w:sz="2" w:space="0" w:color="BFBFBF"/>
            </w:tcBorders>
            <w:shd w:val="clear" w:color="auto" w:fill="auto"/>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36</w:t>
            </w:r>
          </w:p>
        </w:tc>
        <w:tc>
          <w:tcPr>
            <w:tcW w:w="212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Croatia</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486</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B8CCE4"/>
            <w:vAlign w:val="center"/>
          </w:tcPr>
          <w:p w:rsidR="007D0677" w:rsidRPr="009E149B" w:rsidRDefault="007D0677" w:rsidP="00FD6678">
            <w:pPr>
              <w:bidi w:val="0"/>
              <w:spacing w:before="0" w:after="0" w:line="180" w:lineRule="exact"/>
              <w:jc w:val="center"/>
              <w:rPr>
                <w:rFonts w:ascii="Arial" w:hAnsi="Arial" w:cs="Arial"/>
                <w:b/>
                <w:bCs/>
                <w:color w:val="0000FF"/>
                <w:sz w:val="16"/>
                <w:szCs w:val="16"/>
              </w:rPr>
            </w:pPr>
            <w:r>
              <w:rPr>
                <w:rFonts w:ascii="Arial" w:hAnsi="Arial" w:cs="Arial"/>
                <w:b/>
                <w:bCs/>
                <w:color w:val="0000FF"/>
                <w:sz w:val="16"/>
                <w:szCs w:val="16"/>
              </w:rPr>
              <w:t>36</w:t>
            </w:r>
          </w:p>
        </w:tc>
        <w:tc>
          <w:tcPr>
            <w:tcW w:w="2141" w:type="dxa"/>
            <w:tcBorders>
              <w:top w:val="single" w:sz="2" w:space="0" w:color="BFBFBF"/>
              <w:left w:val="single" w:sz="2" w:space="0" w:color="BFBFBF"/>
              <w:bottom w:val="single" w:sz="2" w:space="0" w:color="BFBFBF"/>
              <w:right w:val="single" w:sz="2" w:space="0" w:color="BFBFBF"/>
            </w:tcBorders>
            <w:shd w:val="clear" w:color="auto" w:fill="B8CCE4"/>
            <w:vAlign w:val="center"/>
          </w:tcPr>
          <w:p w:rsidR="007D0677" w:rsidRPr="00127BAB" w:rsidRDefault="007D0677" w:rsidP="00FD6678">
            <w:pPr>
              <w:bidi w:val="0"/>
              <w:spacing w:before="0" w:after="0" w:line="180" w:lineRule="exact"/>
              <w:rPr>
                <w:rFonts w:ascii="Arial" w:hAnsi="Arial" w:cs="Arial"/>
                <w:b/>
                <w:bCs/>
                <w:color w:val="0000FF"/>
                <w:sz w:val="16"/>
                <w:szCs w:val="16"/>
              </w:rPr>
            </w:pPr>
            <w:r>
              <w:rPr>
                <w:rFonts w:ascii="Arial" w:hAnsi="Arial" w:cs="Arial"/>
                <w:b/>
                <w:bCs/>
                <w:color w:val="0000FF"/>
                <w:sz w:val="16"/>
                <w:szCs w:val="16"/>
              </w:rPr>
              <w:t>Israel*</w:t>
            </w:r>
          </w:p>
        </w:tc>
        <w:tc>
          <w:tcPr>
            <w:tcW w:w="633" w:type="dxa"/>
            <w:tcBorders>
              <w:top w:val="single" w:sz="2" w:space="0" w:color="BFBFBF"/>
              <w:left w:val="single" w:sz="2" w:space="0" w:color="BFBFBF"/>
              <w:bottom w:val="single" w:sz="2" w:space="0" w:color="BFBFBF"/>
              <w:right w:val="single" w:sz="2" w:space="0" w:color="BFBFBF"/>
            </w:tcBorders>
            <w:shd w:val="clear" w:color="auto" w:fill="B8CCE4"/>
            <w:vAlign w:val="center"/>
          </w:tcPr>
          <w:p w:rsidR="007D0677" w:rsidRPr="00127BAB" w:rsidRDefault="007D0677" w:rsidP="00FD6678">
            <w:pPr>
              <w:bidi w:val="0"/>
              <w:spacing w:before="0" w:after="0" w:line="180" w:lineRule="exact"/>
              <w:jc w:val="center"/>
              <w:rPr>
                <w:rFonts w:ascii="Arial" w:hAnsi="Arial" w:cs="Arial"/>
                <w:b/>
                <w:bCs/>
                <w:color w:val="0000FF"/>
                <w:sz w:val="16"/>
                <w:szCs w:val="16"/>
              </w:rPr>
            </w:pPr>
            <w:r>
              <w:rPr>
                <w:rFonts w:ascii="Arial" w:hAnsi="Arial" w:cs="Arial"/>
                <w:b/>
                <w:bCs/>
                <w:color w:val="0000FF"/>
                <w:sz w:val="16"/>
                <w:szCs w:val="16"/>
              </w:rPr>
              <w:t>474</w:t>
            </w:r>
          </w:p>
        </w:tc>
        <w:tc>
          <w:tcPr>
            <w:tcW w:w="236"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color w:val="0000FF"/>
                <w:sz w:val="16"/>
                <w:szCs w:val="16"/>
                <w:rtl/>
              </w:rPr>
            </w:pP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color w:val="FF0000"/>
                <w:sz w:val="16"/>
                <w:szCs w:val="16"/>
              </w:rPr>
            </w:pPr>
            <w:r>
              <w:rPr>
                <w:rFonts w:ascii="Arial" w:hAnsi="Arial" w:cs="Arial"/>
                <w:color w:val="FF0000"/>
                <w:sz w:val="16"/>
                <w:szCs w:val="16"/>
              </w:rPr>
              <w:t>(36a)</w:t>
            </w:r>
          </w:p>
        </w:tc>
        <w:tc>
          <w:tcPr>
            <w:tcW w:w="2146" w:type="dxa"/>
            <w:tcBorders>
              <w:top w:val="single" w:sz="2" w:space="0" w:color="BFBFBF"/>
              <w:left w:val="single" w:sz="2" w:space="0" w:color="BFBFBF"/>
              <w:bottom w:val="single" w:sz="2" w:space="0" w:color="BFBFBF"/>
              <w:right w:val="single" w:sz="2" w:space="0" w:color="BFBFBF"/>
            </w:tcBorders>
            <w:shd w:val="clear" w:color="auto" w:fill="auto"/>
          </w:tcPr>
          <w:p w:rsidR="007D0677" w:rsidRPr="00EF538F" w:rsidRDefault="007D0677" w:rsidP="00FD6678">
            <w:pPr>
              <w:bidi w:val="0"/>
              <w:spacing w:before="0" w:after="0" w:line="180" w:lineRule="exact"/>
              <w:rPr>
                <w:rFonts w:ascii="Arial" w:hAnsi="Arial" w:cs="Arial"/>
                <w:color w:val="FF0000"/>
                <w:sz w:val="16"/>
                <w:szCs w:val="16"/>
              </w:rPr>
            </w:pPr>
            <w:r>
              <w:rPr>
                <w:rFonts w:ascii="Arial" w:hAnsi="Arial" w:cs="Arial"/>
                <w:color w:val="FF0000"/>
                <w:sz w:val="16"/>
                <w:szCs w:val="16"/>
              </w:rPr>
              <w:t xml:space="preserve">Israel </w:t>
            </w:r>
            <w:r w:rsidR="00555614">
              <w:rPr>
                <w:rFonts w:ascii="Arial" w:hAnsi="Arial" w:cs="Arial"/>
                <w:color w:val="FF0000"/>
                <w:sz w:val="16"/>
                <w:szCs w:val="16"/>
              </w:rPr>
              <w:t>–</w:t>
            </w:r>
            <w:r>
              <w:rPr>
                <w:rFonts w:ascii="Arial" w:hAnsi="Arial" w:cs="Arial"/>
                <w:color w:val="FF0000"/>
                <w:sz w:val="16"/>
                <w:szCs w:val="16"/>
              </w:rPr>
              <w:t xml:space="preserve"> Hebrew speakers</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EF538F" w:rsidRDefault="007D0677" w:rsidP="00FD6678">
            <w:pPr>
              <w:bidi w:val="0"/>
              <w:spacing w:before="0" w:after="0" w:line="180" w:lineRule="exact"/>
              <w:jc w:val="center"/>
              <w:rPr>
                <w:rFonts w:ascii="Arial" w:hAnsi="Arial" w:cs="Arial"/>
                <w:color w:val="FF0000"/>
                <w:sz w:val="16"/>
                <w:szCs w:val="16"/>
              </w:rPr>
            </w:pPr>
            <w:r>
              <w:rPr>
                <w:rFonts w:ascii="Arial" w:hAnsi="Arial" w:cs="Arial"/>
                <w:color w:val="FF0000"/>
                <w:sz w:val="16"/>
                <w:szCs w:val="16"/>
              </w:rPr>
              <w:t>470</w:t>
            </w:r>
          </w:p>
        </w:tc>
        <w:tc>
          <w:tcPr>
            <w:tcW w:w="284"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shd w:val="clear" w:color="auto" w:fill="auto"/>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37</w:t>
            </w:r>
          </w:p>
        </w:tc>
        <w:tc>
          <w:tcPr>
            <w:tcW w:w="212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Luxembourg*</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484</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37</w:t>
            </w:r>
          </w:p>
        </w:tc>
        <w:tc>
          <w:tcPr>
            <w:tcW w:w="2141" w:type="dxa"/>
            <w:tcBorders>
              <w:top w:val="single" w:sz="2" w:space="0" w:color="BFBFBF"/>
              <w:left w:val="single" w:sz="2" w:space="0" w:color="BFBFBF"/>
              <w:bottom w:val="single" w:sz="2" w:space="0" w:color="BFBFBF"/>
              <w:right w:val="single" w:sz="2" w:space="0" w:color="BFBFBF"/>
            </w:tcBorders>
            <w:shd w:val="clear" w:color="auto" w:fill="D9D9D9"/>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Luxembourg*</w:t>
            </w:r>
          </w:p>
        </w:tc>
        <w:tc>
          <w:tcPr>
            <w:tcW w:w="633"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472</w:t>
            </w:r>
          </w:p>
        </w:tc>
        <w:tc>
          <w:tcPr>
            <w:tcW w:w="236" w:type="dxa"/>
            <w:tcBorders>
              <w:left w:val="single" w:sz="2" w:space="0" w:color="BFBFBF"/>
              <w:right w:val="single" w:sz="2" w:space="0" w:color="BFBFBF"/>
            </w:tcBorders>
            <w:shd w:val="clear" w:color="auto" w:fill="auto"/>
          </w:tcPr>
          <w:p w:rsidR="00D37402" w:rsidRPr="007C1A19" w:rsidRDefault="00D37402" w:rsidP="00D37402">
            <w:pPr>
              <w:bidi w:val="0"/>
              <w:spacing w:before="0" w:after="0" w:line="180" w:lineRule="exact"/>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37</w:t>
            </w:r>
          </w:p>
        </w:tc>
        <w:tc>
          <w:tcPr>
            <w:tcW w:w="214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Russia</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468</w:t>
            </w:r>
          </w:p>
        </w:tc>
        <w:tc>
          <w:tcPr>
            <w:tcW w:w="284"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shd w:val="clear" w:color="auto" w:fill="auto"/>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38</w:t>
            </w:r>
          </w:p>
        </w:tc>
        <w:tc>
          <w:tcPr>
            <w:tcW w:w="212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Russia</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478</w:t>
            </w:r>
          </w:p>
        </w:tc>
      </w:tr>
      <w:tr w:rsidR="00D37402" w:rsidRPr="007C1A19" w:rsidTr="00D37402">
        <w:trPr>
          <w:trHeight w:val="282"/>
        </w:trPr>
        <w:tc>
          <w:tcPr>
            <w:tcW w:w="709"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38</w:t>
            </w:r>
          </w:p>
        </w:tc>
        <w:tc>
          <w:tcPr>
            <w:tcW w:w="2141" w:type="dxa"/>
            <w:tcBorders>
              <w:top w:val="single" w:sz="2" w:space="0" w:color="BFBFBF"/>
              <w:left w:val="single" w:sz="2" w:space="0" w:color="BFBFBF"/>
              <w:bottom w:val="single" w:sz="2" w:space="0" w:color="BFBFBF"/>
              <w:right w:val="single" w:sz="2" w:space="0" w:color="BFBFBF"/>
            </w:tcBorders>
            <w:shd w:val="clear" w:color="auto" w:fill="D9D9D9"/>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Austria*</w:t>
            </w:r>
          </w:p>
        </w:tc>
        <w:tc>
          <w:tcPr>
            <w:tcW w:w="633"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470‎</w:t>
            </w:r>
          </w:p>
        </w:tc>
        <w:tc>
          <w:tcPr>
            <w:tcW w:w="236" w:type="dxa"/>
            <w:tcBorders>
              <w:left w:val="single" w:sz="2" w:space="0" w:color="BFBFBF"/>
              <w:right w:val="single" w:sz="2" w:space="0" w:color="BFBFBF"/>
            </w:tcBorders>
            <w:shd w:val="clear" w:color="auto" w:fill="auto"/>
          </w:tcPr>
          <w:p w:rsidR="007D0677" w:rsidRPr="007C1A19" w:rsidRDefault="007D0677" w:rsidP="00D37402">
            <w:pPr>
              <w:bidi w:val="0"/>
              <w:spacing w:before="0" w:after="0" w:line="180" w:lineRule="exact"/>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38</w:t>
            </w:r>
          </w:p>
        </w:tc>
        <w:tc>
          <w:tcPr>
            <w:tcW w:w="214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Greece*</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466‎</w:t>
            </w:r>
          </w:p>
        </w:tc>
        <w:tc>
          <w:tcPr>
            <w:tcW w:w="284"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color w:val="FF0000"/>
                <w:sz w:val="16"/>
                <w:szCs w:val="16"/>
              </w:rPr>
            </w:pPr>
            <w:r>
              <w:rPr>
                <w:rFonts w:ascii="Arial" w:hAnsi="Arial" w:cs="Arial"/>
                <w:color w:val="FF0000"/>
                <w:sz w:val="16"/>
                <w:szCs w:val="16"/>
              </w:rPr>
              <w:t>(</w:t>
            </w:r>
            <w:r>
              <w:rPr>
                <w:rFonts w:ascii="Arial" w:hAnsi="Arial" w:cs="Arial"/>
                <w:color w:val="FF0000"/>
                <w:sz w:val="16"/>
                <w:szCs w:val="16"/>
                <w:rtl/>
              </w:rPr>
              <w:t>‏</w:t>
            </w:r>
            <w:r>
              <w:rPr>
                <w:rFonts w:ascii="Arial" w:hAnsi="Arial" w:cs="Arial"/>
                <w:color w:val="FF0000"/>
                <w:sz w:val="16"/>
                <w:szCs w:val="16"/>
              </w:rPr>
              <w:t>38a</w:t>
            </w:r>
            <w:r>
              <w:rPr>
                <w:rFonts w:ascii="Arial" w:hAnsi="Arial" w:cs="Arial"/>
                <w:color w:val="FF0000"/>
                <w:sz w:val="16"/>
                <w:szCs w:val="16"/>
                <w:rtl/>
              </w:rPr>
              <w:t>‏</w:t>
            </w:r>
            <w:r>
              <w:rPr>
                <w:rFonts w:ascii="Arial" w:hAnsi="Arial" w:cs="Arial"/>
                <w:color w:val="FF0000"/>
                <w:sz w:val="16"/>
                <w:szCs w:val="16"/>
              </w:rPr>
              <w:t>)</w:t>
            </w:r>
          </w:p>
        </w:tc>
        <w:tc>
          <w:tcPr>
            <w:tcW w:w="2127" w:type="dxa"/>
            <w:tcBorders>
              <w:top w:val="single" w:sz="2" w:space="0" w:color="BFBFBF"/>
              <w:left w:val="single" w:sz="2" w:space="0" w:color="BFBFBF"/>
              <w:bottom w:val="single" w:sz="2" w:space="0" w:color="BFBFBF"/>
              <w:right w:val="single" w:sz="2" w:space="0" w:color="BFBFBF"/>
            </w:tcBorders>
            <w:shd w:val="clear" w:color="auto" w:fill="auto"/>
          </w:tcPr>
          <w:p w:rsidR="007D0677" w:rsidRPr="00EF538F" w:rsidRDefault="007D0677" w:rsidP="00FD6678">
            <w:pPr>
              <w:bidi w:val="0"/>
              <w:spacing w:before="0" w:after="0" w:line="180" w:lineRule="exact"/>
              <w:rPr>
                <w:rFonts w:ascii="Arial" w:hAnsi="Arial" w:cs="Arial"/>
                <w:color w:val="FF0000"/>
                <w:sz w:val="16"/>
                <w:szCs w:val="16"/>
              </w:rPr>
            </w:pPr>
            <w:r>
              <w:rPr>
                <w:rFonts w:ascii="Arial" w:hAnsi="Arial" w:cs="Arial"/>
                <w:color w:val="FF0000"/>
                <w:sz w:val="16"/>
                <w:szCs w:val="16"/>
              </w:rPr>
              <w:t xml:space="preserve">Israel </w:t>
            </w:r>
            <w:r w:rsidR="00555614">
              <w:rPr>
                <w:rFonts w:ascii="Arial" w:hAnsi="Arial" w:cs="Arial"/>
                <w:color w:val="FF0000"/>
                <w:sz w:val="16"/>
                <w:szCs w:val="16"/>
              </w:rPr>
              <w:t>–</w:t>
            </w:r>
            <w:r>
              <w:rPr>
                <w:rFonts w:ascii="Arial" w:hAnsi="Arial" w:cs="Arial"/>
                <w:color w:val="FF0000"/>
                <w:sz w:val="16"/>
                <w:szCs w:val="16"/>
              </w:rPr>
              <w:t xml:space="preserve"> Hebrew speakers</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EF538F" w:rsidRDefault="007D0677" w:rsidP="00FD6678">
            <w:pPr>
              <w:bidi w:val="0"/>
              <w:spacing w:before="0" w:after="0" w:line="180" w:lineRule="exact"/>
              <w:jc w:val="center"/>
              <w:rPr>
                <w:rFonts w:ascii="Arial" w:hAnsi="Arial" w:cs="Arial"/>
                <w:color w:val="FF0000"/>
                <w:sz w:val="16"/>
                <w:szCs w:val="16"/>
              </w:rPr>
            </w:pPr>
            <w:r>
              <w:rPr>
                <w:rFonts w:ascii="Arial" w:hAnsi="Arial" w:cs="Arial"/>
                <w:color w:val="FF0000"/>
                <w:sz w:val="16"/>
                <w:szCs w:val="16"/>
              </w:rPr>
              <w:t>476</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9E149B" w:rsidRDefault="007D0677" w:rsidP="00FD6678">
            <w:pPr>
              <w:bidi w:val="0"/>
              <w:spacing w:before="0" w:after="0" w:line="180" w:lineRule="exact"/>
              <w:jc w:val="center"/>
              <w:rPr>
                <w:rFonts w:ascii="Arial" w:hAnsi="Arial" w:cs="Arial"/>
                <w:sz w:val="16"/>
                <w:szCs w:val="16"/>
                <w:rtl/>
              </w:rPr>
            </w:pPr>
            <w:r>
              <w:rPr>
                <w:rFonts w:ascii="Arial" w:hAnsi="Arial" w:cs="Arial"/>
                <w:sz w:val="16"/>
                <w:szCs w:val="16"/>
              </w:rPr>
              <w:t>39</w:t>
            </w:r>
          </w:p>
        </w:tc>
        <w:tc>
          <w:tcPr>
            <w:tcW w:w="2141" w:type="dxa"/>
            <w:tcBorders>
              <w:top w:val="single" w:sz="2" w:space="0" w:color="BFBFBF"/>
              <w:left w:val="single" w:sz="2" w:space="0" w:color="BFBFBF"/>
              <w:bottom w:val="single" w:sz="2" w:space="0" w:color="BFBFBF"/>
              <w:right w:val="single" w:sz="2" w:space="0" w:color="BFBFBF"/>
            </w:tcBorders>
            <w:shd w:val="clear" w:color="auto" w:fill="D9D9D9"/>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Lithuania</w:t>
            </w:r>
          </w:p>
        </w:tc>
        <w:tc>
          <w:tcPr>
            <w:tcW w:w="633"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468</w:t>
            </w:r>
          </w:p>
        </w:tc>
        <w:tc>
          <w:tcPr>
            <w:tcW w:w="236"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39</w:t>
            </w:r>
          </w:p>
        </w:tc>
        <w:tc>
          <w:tcPr>
            <w:tcW w:w="2146"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Croatia</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460‎</w:t>
            </w:r>
          </w:p>
        </w:tc>
        <w:tc>
          <w:tcPr>
            <w:tcW w:w="284"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shd w:val="clear" w:color="auto" w:fill="auto"/>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39</w:t>
            </w:r>
          </w:p>
        </w:tc>
        <w:tc>
          <w:tcPr>
            <w:tcW w:w="212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Greece*</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470‎</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40</w:t>
            </w:r>
          </w:p>
        </w:tc>
        <w:tc>
          <w:tcPr>
            <w:tcW w:w="2141" w:type="dxa"/>
            <w:tcBorders>
              <w:top w:val="single" w:sz="2" w:space="0" w:color="BFBFBF"/>
              <w:left w:val="single" w:sz="2" w:space="0" w:color="BFBFBF"/>
              <w:bottom w:val="single" w:sz="2" w:space="0" w:color="BFBFBF"/>
              <w:right w:val="single" w:sz="2" w:space="0" w:color="BFBFBF"/>
            </w:tcBorders>
            <w:shd w:val="clear" w:color="auto" w:fill="D9D9D9"/>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Turkey*</w:t>
            </w:r>
          </w:p>
        </w:tc>
        <w:tc>
          <w:tcPr>
            <w:tcW w:w="633"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464‎</w:t>
            </w:r>
          </w:p>
        </w:tc>
        <w:tc>
          <w:tcPr>
            <w:tcW w:w="236"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40</w:t>
            </w:r>
          </w:p>
        </w:tc>
        <w:tc>
          <w:tcPr>
            <w:tcW w:w="2146"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Dubai</w:t>
            </w:r>
          </w:p>
        </w:tc>
        <w:tc>
          <w:tcPr>
            <w:tcW w:w="567"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453‎</w:t>
            </w:r>
          </w:p>
        </w:tc>
        <w:tc>
          <w:tcPr>
            <w:tcW w:w="284" w:type="dxa"/>
            <w:tcBorders>
              <w:left w:val="single" w:sz="2" w:space="0" w:color="BFBFBF"/>
              <w:right w:val="single" w:sz="2" w:space="0" w:color="BFBFBF"/>
            </w:tcBorders>
          </w:tcPr>
          <w:p w:rsidR="007D0677" w:rsidRPr="00127BAB" w:rsidRDefault="007D0677" w:rsidP="00FD6678">
            <w:pPr>
              <w:bidi w:val="0"/>
              <w:spacing w:before="0" w:after="0" w:line="180" w:lineRule="exact"/>
              <w:jc w:val="center"/>
              <w:rPr>
                <w:rFonts w:ascii="Arial" w:hAnsi="Arial" w:cs="Arial"/>
                <w:b/>
                <w:bCs/>
                <w:sz w:val="16"/>
                <w:szCs w:val="16"/>
              </w:rPr>
            </w:pPr>
          </w:p>
        </w:tc>
        <w:tc>
          <w:tcPr>
            <w:tcW w:w="708" w:type="dxa"/>
            <w:tcBorders>
              <w:top w:val="single" w:sz="2" w:space="0" w:color="BFBFBF"/>
              <w:left w:val="single" w:sz="2" w:space="0" w:color="BFBFBF"/>
              <w:bottom w:val="single" w:sz="2" w:space="0" w:color="BFBFBF"/>
              <w:right w:val="single" w:sz="2" w:space="0" w:color="BFBFBF"/>
            </w:tcBorders>
            <w:shd w:val="clear" w:color="auto" w:fill="auto"/>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40</w:t>
            </w:r>
          </w:p>
        </w:tc>
        <w:tc>
          <w:tcPr>
            <w:tcW w:w="212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Dubai</w:t>
            </w:r>
          </w:p>
        </w:tc>
        <w:tc>
          <w:tcPr>
            <w:tcW w:w="567"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466‎</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41</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Dubai</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459‎</w:t>
            </w:r>
          </w:p>
        </w:tc>
        <w:tc>
          <w:tcPr>
            <w:tcW w:w="236" w:type="dxa"/>
            <w:tcBorders>
              <w:left w:val="single" w:sz="2" w:space="0" w:color="BFBFBF"/>
              <w:right w:val="single" w:sz="2" w:space="0" w:color="BFBFBF"/>
            </w:tcBorders>
            <w:shd w:val="clear" w:color="auto" w:fill="auto"/>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B8CCE4"/>
            <w:vAlign w:val="center"/>
          </w:tcPr>
          <w:p w:rsidR="007D0677" w:rsidRPr="009E149B" w:rsidRDefault="007D0677" w:rsidP="00FD6678">
            <w:pPr>
              <w:bidi w:val="0"/>
              <w:spacing w:before="0" w:after="0" w:line="180" w:lineRule="exact"/>
              <w:jc w:val="center"/>
              <w:rPr>
                <w:rFonts w:ascii="Arial" w:hAnsi="Arial" w:cs="Arial"/>
                <w:b/>
                <w:bCs/>
                <w:color w:val="0000FF"/>
                <w:sz w:val="16"/>
                <w:szCs w:val="16"/>
              </w:rPr>
            </w:pPr>
            <w:r>
              <w:rPr>
                <w:rFonts w:ascii="Arial" w:hAnsi="Arial" w:cs="Arial"/>
                <w:b/>
                <w:bCs/>
                <w:color w:val="0000FF"/>
                <w:sz w:val="16"/>
                <w:szCs w:val="16"/>
              </w:rPr>
              <w:t>41</w:t>
            </w:r>
          </w:p>
        </w:tc>
        <w:tc>
          <w:tcPr>
            <w:tcW w:w="2146" w:type="dxa"/>
            <w:tcBorders>
              <w:top w:val="single" w:sz="2" w:space="0" w:color="BFBFBF"/>
              <w:left w:val="single" w:sz="2" w:space="0" w:color="BFBFBF"/>
              <w:bottom w:val="single" w:sz="2" w:space="0" w:color="BFBFBF"/>
              <w:right w:val="single" w:sz="2" w:space="0" w:color="BFBFBF"/>
            </w:tcBorders>
            <w:shd w:val="clear" w:color="auto" w:fill="B8CCE4"/>
            <w:vAlign w:val="center"/>
          </w:tcPr>
          <w:p w:rsidR="007D0677" w:rsidRPr="00127BAB" w:rsidRDefault="007D0677" w:rsidP="00FD6678">
            <w:pPr>
              <w:bidi w:val="0"/>
              <w:spacing w:before="0" w:after="0" w:line="180" w:lineRule="exact"/>
              <w:rPr>
                <w:rFonts w:ascii="Arial" w:hAnsi="Arial" w:cs="Arial"/>
                <w:b/>
                <w:bCs/>
                <w:color w:val="0000FF"/>
                <w:sz w:val="16"/>
                <w:szCs w:val="16"/>
              </w:rPr>
            </w:pPr>
            <w:r>
              <w:rPr>
                <w:rFonts w:ascii="Arial" w:hAnsi="Arial" w:cs="Arial"/>
                <w:b/>
                <w:bCs/>
                <w:color w:val="0000FF"/>
                <w:sz w:val="16"/>
                <w:szCs w:val="16"/>
              </w:rPr>
              <w:t>Israel*</w:t>
            </w:r>
          </w:p>
        </w:tc>
        <w:tc>
          <w:tcPr>
            <w:tcW w:w="567" w:type="dxa"/>
            <w:tcBorders>
              <w:top w:val="single" w:sz="2" w:space="0" w:color="BFBFBF"/>
              <w:left w:val="single" w:sz="2" w:space="0" w:color="BFBFBF"/>
              <w:bottom w:val="single" w:sz="2" w:space="0" w:color="BFBFBF"/>
              <w:right w:val="single" w:sz="2" w:space="0" w:color="BFBFBF"/>
            </w:tcBorders>
            <w:shd w:val="clear" w:color="auto" w:fill="B8CCE4"/>
            <w:vAlign w:val="center"/>
          </w:tcPr>
          <w:p w:rsidR="007D0677" w:rsidRPr="00127BAB" w:rsidRDefault="007D0677" w:rsidP="00FD6678">
            <w:pPr>
              <w:bidi w:val="0"/>
              <w:spacing w:before="0" w:after="0" w:line="180" w:lineRule="exact"/>
              <w:jc w:val="center"/>
              <w:rPr>
                <w:rFonts w:ascii="Arial" w:hAnsi="Arial" w:cs="Arial"/>
                <w:b/>
                <w:bCs/>
                <w:color w:val="0000FF"/>
                <w:sz w:val="16"/>
                <w:szCs w:val="16"/>
                <w:rtl/>
              </w:rPr>
            </w:pPr>
            <w:r>
              <w:rPr>
                <w:rFonts w:ascii="Arial" w:hAnsi="Arial" w:cs="Arial"/>
                <w:b/>
                <w:bCs/>
                <w:color w:val="0000FF"/>
                <w:sz w:val="16"/>
                <w:szCs w:val="16"/>
              </w:rPr>
              <w:t>447</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shd w:val="clear" w:color="auto" w:fill="B8CCE4"/>
          </w:tcPr>
          <w:p w:rsidR="007D0677" w:rsidRPr="009E149B" w:rsidRDefault="007D0677" w:rsidP="00FD6678">
            <w:pPr>
              <w:bidi w:val="0"/>
              <w:spacing w:before="0" w:after="0" w:line="180" w:lineRule="exact"/>
              <w:jc w:val="center"/>
              <w:rPr>
                <w:rFonts w:ascii="Arial" w:hAnsi="Arial" w:cs="Arial"/>
                <w:b/>
                <w:bCs/>
                <w:color w:val="0000FF"/>
                <w:sz w:val="16"/>
                <w:szCs w:val="16"/>
              </w:rPr>
            </w:pPr>
            <w:r>
              <w:rPr>
                <w:rFonts w:ascii="Arial" w:hAnsi="Arial" w:cs="Arial"/>
                <w:b/>
                <w:bCs/>
                <w:color w:val="0000FF"/>
                <w:sz w:val="16"/>
                <w:szCs w:val="16"/>
              </w:rPr>
              <w:t>41</w:t>
            </w:r>
          </w:p>
        </w:tc>
        <w:tc>
          <w:tcPr>
            <w:tcW w:w="2127" w:type="dxa"/>
            <w:tcBorders>
              <w:top w:val="single" w:sz="2" w:space="0" w:color="BFBFBF"/>
              <w:left w:val="single" w:sz="2" w:space="0" w:color="BFBFBF"/>
              <w:bottom w:val="single" w:sz="2" w:space="0" w:color="BFBFBF"/>
              <w:right w:val="single" w:sz="2" w:space="0" w:color="BFBFBF"/>
            </w:tcBorders>
            <w:shd w:val="clear" w:color="auto" w:fill="B8CCE4"/>
            <w:vAlign w:val="center"/>
          </w:tcPr>
          <w:p w:rsidR="007D0677" w:rsidRPr="00127BAB" w:rsidRDefault="007D0677" w:rsidP="00FD6678">
            <w:pPr>
              <w:bidi w:val="0"/>
              <w:spacing w:before="0" w:after="0" w:line="180" w:lineRule="exact"/>
              <w:rPr>
                <w:rFonts w:ascii="Arial" w:hAnsi="Arial" w:cs="Arial"/>
                <w:b/>
                <w:bCs/>
                <w:color w:val="0000FF"/>
                <w:sz w:val="16"/>
                <w:szCs w:val="16"/>
              </w:rPr>
            </w:pPr>
            <w:r>
              <w:rPr>
                <w:rFonts w:ascii="Arial" w:hAnsi="Arial" w:cs="Arial"/>
                <w:b/>
                <w:bCs/>
                <w:color w:val="0000FF"/>
                <w:sz w:val="16"/>
                <w:szCs w:val="16"/>
              </w:rPr>
              <w:t>Israel*</w:t>
            </w:r>
          </w:p>
        </w:tc>
        <w:tc>
          <w:tcPr>
            <w:tcW w:w="567" w:type="dxa"/>
            <w:tcBorders>
              <w:top w:val="single" w:sz="2" w:space="0" w:color="BFBFBF"/>
              <w:left w:val="single" w:sz="2" w:space="0" w:color="BFBFBF"/>
              <w:bottom w:val="single" w:sz="2" w:space="0" w:color="BFBFBF"/>
              <w:right w:val="single" w:sz="2" w:space="0" w:color="BFBFBF"/>
            </w:tcBorders>
            <w:shd w:val="clear" w:color="auto" w:fill="B8CCE4"/>
            <w:vAlign w:val="center"/>
          </w:tcPr>
          <w:p w:rsidR="007D0677" w:rsidRPr="00127BAB" w:rsidRDefault="007D0677" w:rsidP="00FD6678">
            <w:pPr>
              <w:bidi w:val="0"/>
              <w:spacing w:before="0" w:after="0" w:line="180" w:lineRule="exact"/>
              <w:jc w:val="center"/>
              <w:rPr>
                <w:rFonts w:ascii="Arial" w:hAnsi="Arial" w:cs="Arial"/>
                <w:b/>
                <w:bCs/>
                <w:color w:val="0000FF"/>
                <w:sz w:val="16"/>
                <w:szCs w:val="16"/>
              </w:rPr>
            </w:pPr>
            <w:r>
              <w:rPr>
                <w:rFonts w:ascii="Arial" w:hAnsi="Arial" w:cs="Arial"/>
                <w:b/>
                <w:bCs/>
                <w:color w:val="0000FF"/>
                <w:sz w:val="16"/>
                <w:szCs w:val="16"/>
              </w:rPr>
              <w:t>455</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42</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tl/>
              </w:rPr>
            </w:pPr>
            <w:r>
              <w:rPr>
                <w:rFonts w:ascii="Arial" w:hAnsi="Arial" w:cs="Arial"/>
                <w:sz w:val="16"/>
                <w:szCs w:val="16"/>
              </w:rPr>
              <w:t>Russia</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459‎</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42</w:t>
            </w:r>
          </w:p>
        </w:tc>
        <w:tc>
          <w:tcPr>
            <w:tcW w:w="2146"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Turkey*</w:t>
            </w:r>
          </w:p>
        </w:tc>
        <w:tc>
          <w:tcPr>
            <w:tcW w:w="567"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445‎</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shd w:val="clear" w:color="auto" w:fill="D9D9D9"/>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42</w:t>
            </w:r>
          </w:p>
        </w:tc>
        <w:tc>
          <w:tcPr>
            <w:tcW w:w="2127"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rPr>
                <w:rFonts w:ascii="Arial" w:hAnsi="Arial" w:cs="Arial"/>
                <w:sz w:val="16"/>
                <w:szCs w:val="16"/>
                <w:rtl/>
              </w:rPr>
            </w:pPr>
            <w:r>
              <w:rPr>
                <w:rFonts w:ascii="Arial" w:hAnsi="Arial" w:cs="Arial"/>
                <w:sz w:val="16"/>
                <w:szCs w:val="16"/>
              </w:rPr>
              <w:t>Turkey*</w:t>
            </w:r>
          </w:p>
        </w:tc>
        <w:tc>
          <w:tcPr>
            <w:tcW w:w="567"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454‎</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43</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Chile*</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449‎</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43</w:t>
            </w:r>
          </w:p>
        </w:tc>
        <w:tc>
          <w:tcPr>
            <w:tcW w:w="2146"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Serbia</w:t>
            </w:r>
          </w:p>
        </w:tc>
        <w:tc>
          <w:tcPr>
            <w:tcW w:w="567"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442‎</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shd w:val="clear" w:color="auto" w:fill="D9D9D9"/>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43</w:t>
            </w:r>
          </w:p>
        </w:tc>
        <w:tc>
          <w:tcPr>
            <w:tcW w:w="2127"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Chile*</w:t>
            </w:r>
          </w:p>
        </w:tc>
        <w:tc>
          <w:tcPr>
            <w:tcW w:w="567" w:type="dxa"/>
            <w:tcBorders>
              <w:top w:val="single" w:sz="2" w:space="0" w:color="BFBFBF"/>
              <w:left w:val="single" w:sz="2" w:space="0" w:color="BFBFBF"/>
              <w:bottom w:val="single" w:sz="2" w:space="0" w:color="BFBFBF"/>
              <w:right w:val="single" w:sz="2" w:space="0" w:color="BFBFBF"/>
            </w:tcBorders>
            <w:shd w:val="clear" w:color="auto" w:fill="D9D9D9"/>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447‎</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44</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Serbia</w:t>
            </w:r>
          </w:p>
        </w:tc>
        <w:tc>
          <w:tcPr>
            <w:tcW w:w="633" w:type="dxa"/>
            <w:tcBorders>
              <w:top w:val="single" w:sz="2" w:space="0" w:color="BFBFBF"/>
              <w:left w:val="single" w:sz="2" w:space="0" w:color="BFBFBF"/>
              <w:bottom w:val="single" w:sz="2" w:space="0" w:color="BFBFBF"/>
              <w:right w:val="single" w:sz="2" w:space="0" w:color="BFBFBF"/>
            </w:tcBorders>
            <w:shd w:val="clear" w:color="auto" w:fill="auto"/>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442‎</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44</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Azerbaijan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431‎</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44</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Serbia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443‎</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45</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Bulgaria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429‎</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45</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Bulgaria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428‎</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45</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Bulgaria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439‎</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46</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Uruguay</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426‎</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46</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Romania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427‎</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46</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Romania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428‎</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47</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Mexico*</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425‎</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47</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Uruguay</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427‎</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47</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Uruguay</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427‎</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Romania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424‎</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Chile*</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421‎</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48</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Thailand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425‎</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Thailand</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421‎</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Thailand</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419‎</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49</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Mexico*</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416‎</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Trinidad and Tobago</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416‎</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Mexico*</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419‎</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50</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Jordan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415‎</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51</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Columbia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413‎</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51</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Trinidad and Tobago</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414‎</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51</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Trinidad and Tobago</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410‎</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Brazil</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412‎</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Kazakhstan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405</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52</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Brazil</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405</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53</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Montenegro</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408‎</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53</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Montenegro</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403‎</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53</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Columbia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402‎</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54</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Jordan</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405</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54</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Argentina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388‎</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54</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Montenegro</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401‎</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55</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Tunisia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404‎</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55</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Jordan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387‎</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55</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Argentina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401‎</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56</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Indonesia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402‎</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56</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Brazil</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386</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56</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Tunisia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401‎</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57</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Argentina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398‎</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57</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Columbia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381‎</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57</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Kazakhstan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400‎</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color w:val="FF0000"/>
                <w:sz w:val="16"/>
                <w:szCs w:val="16"/>
              </w:rPr>
            </w:pPr>
            <w:r>
              <w:rPr>
                <w:rFonts w:ascii="Arial" w:hAnsi="Arial" w:cs="Arial"/>
                <w:color w:val="FF0000"/>
                <w:sz w:val="16"/>
                <w:szCs w:val="16"/>
              </w:rPr>
              <w:t>(</w:t>
            </w:r>
            <w:r>
              <w:rPr>
                <w:rFonts w:ascii="Arial" w:hAnsi="Arial" w:cs="Arial"/>
                <w:color w:val="FF0000"/>
                <w:sz w:val="16"/>
                <w:szCs w:val="16"/>
                <w:rtl/>
              </w:rPr>
              <w:t>‏</w:t>
            </w:r>
            <w:r>
              <w:rPr>
                <w:rFonts w:ascii="Arial" w:hAnsi="Arial" w:cs="Arial"/>
                <w:color w:val="FF0000"/>
                <w:sz w:val="16"/>
                <w:szCs w:val="16"/>
              </w:rPr>
              <w:t>57a</w:t>
            </w:r>
            <w:r>
              <w:rPr>
                <w:rFonts w:ascii="Arial" w:hAnsi="Arial" w:cs="Arial"/>
                <w:color w:val="FF0000"/>
                <w:sz w:val="16"/>
                <w:szCs w:val="16"/>
                <w:rtl/>
              </w:rPr>
              <w:t>‏</w:t>
            </w:r>
            <w:r>
              <w:rPr>
                <w:rFonts w:ascii="Arial" w:hAnsi="Arial" w:cs="Arial"/>
                <w:color w:val="FF0000"/>
                <w:sz w:val="16"/>
                <w:szCs w:val="16"/>
              </w:rPr>
              <w:t>)</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EF538F" w:rsidRDefault="007D0677" w:rsidP="00FD6678">
            <w:pPr>
              <w:bidi w:val="0"/>
              <w:spacing w:before="0" w:after="0" w:line="180" w:lineRule="exact"/>
              <w:rPr>
                <w:rFonts w:ascii="Arial" w:hAnsi="Arial" w:cs="Arial"/>
                <w:color w:val="FF0000"/>
                <w:sz w:val="16"/>
                <w:szCs w:val="16"/>
              </w:rPr>
            </w:pPr>
            <w:r>
              <w:rPr>
                <w:rFonts w:ascii="Arial" w:hAnsi="Arial" w:cs="Arial"/>
                <w:color w:val="FF0000"/>
                <w:sz w:val="16"/>
                <w:szCs w:val="16"/>
              </w:rPr>
              <w:t xml:space="preserve">Israel </w:t>
            </w:r>
            <w:r w:rsidR="00555614">
              <w:rPr>
                <w:rFonts w:ascii="Arial" w:hAnsi="Arial" w:cs="Arial"/>
                <w:color w:val="FF0000"/>
                <w:sz w:val="16"/>
                <w:szCs w:val="16"/>
              </w:rPr>
              <w:t>–</w:t>
            </w:r>
            <w:r>
              <w:rPr>
                <w:rFonts w:ascii="Arial" w:hAnsi="Arial" w:cs="Arial"/>
                <w:color w:val="FF0000"/>
                <w:sz w:val="16"/>
                <w:szCs w:val="16"/>
              </w:rPr>
              <w:t xml:space="preserve"> Arabic speakers</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EF538F" w:rsidRDefault="007D0677" w:rsidP="00FD6678">
            <w:pPr>
              <w:bidi w:val="0"/>
              <w:spacing w:before="0" w:after="0" w:line="180" w:lineRule="exact"/>
              <w:jc w:val="center"/>
              <w:rPr>
                <w:rFonts w:ascii="Arial" w:hAnsi="Arial" w:cs="Arial"/>
                <w:color w:val="FF0000"/>
                <w:sz w:val="16"/>
                <w:szCs w:val="16"/>
              </w:rPr>
            </w:pPr>
            <w:r>
              <w:rPr>
                <w:rFonts w:ascii="Arial" w:hAnsi="Arial" w:cs="Arial"/>
                <w:color w:val="FF0000"/>
                <w:sz w:val="16"/>
                <w:szCs w:val="16"/>
              </w:rPr>
              <w:t>392</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58</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Albania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377‎</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58</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Albania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391‎</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58</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Kazakhstan</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390‎</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59</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Tunisia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371‎</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59</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Indonesia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383‎</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59</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Albania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385‎</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60</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Indonesia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371‎</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color w:val="FF0000"/>
                <w:sz w:val="16"/>
                <w:szCs w:val="16"/>
                <w:rtl/>
              </w:rPr>
            </w:pPr>
            <w:r>
              <w:rPr>
                <w:rFonts w:ascii="Arial" w:hAnsi="Arial" w:cs="Arial"/>
                <w:color w:val="FF0000"/>
                <w:sz w:val="16"/>
                <w:szCs w:val="16"/>
              </w:rPr>
              <w:t>(</w:t>
            </w:r>
            <w:r>
              <w:rPr>
                <w:rFonts w:ascii="Arial" w:hAnsi="Arial" w:cs="Arial"/>
                <w:color w:val="FF0000"/>
                <w:sz w:val="16"/>
                <w:szCs w:val="16"/>
                <w:rtl/>
              </w:rPr>
              <w:t>‏</w:t>
            </w:r>
            <w:r>
              <w:rPr>
                <w:rFonts w:ascii="Arial" w:hAnsi="Arial" w:cs="Arial"/>
                <w:color w:val="FF0000"/>
                <w:sz w:val="16"/>
                <w:szCs w:val="16"/>
              </w:rPr>
              <w:t>59a</w:t>
            </w:r>
            <w:r>
              <w:rPr>
                <w:rFonts w:ascii="Arial" w:hAnsi="Arial" w:cs="Arial"/>
                <w:color w:val="FF0000"/>
                <w:sz w:val="16"/>
                <w:szCs w:val="16"/>
                <w:rtl/>
              </w:rPr>
              <w:t>‏‏</w:t>
            </w:r>
            <w:r>
              <w:rPr>
                <w:rFonts w:ascii="Arial" w:hAnsi="Arial" w:cs="Arial"/>
                <w:color w:val="FF0000"/>
                <w:sz w:val="16"/>
                <w:szCs w:val="16"/>
              </w:rPr>
              <w:t>)</w:t>
            </w:r>
          </w:p>
        </w:tc>
        <w:tc>
          <w:tcPr>
            <w:tcW w:w="2127" w:type="dxa"/>
            <w:tcBorders>
              <w:top w:val="single" w:sz="2" w:space="0" w:color="BFBFBF"/>
              <w:left w:val="single" w:sz="2" w:space="0" w:color="BFBFBF"/>
              <w:bottom w:val="single" w:sz="2" w:space="0" w:color="BFBFBF"/>
              <w:right w:val="single" w:sz="2" w:space="0" w:color="BFBFBF"/>
            </w:tcBorders>
          </w:tcPr>
          <w:p w:rsidR="007D0677" w:rsidRPr="00EF538F" w:rsidRDefault="007D0677" w:rsidP="00FD6678">
            <w:pPr>
              <w:bidi w:val="0"/>
              <w:spacing w:before="0" w:after="0" w:line="180" w:lineRule="exact"/>
              <w:rPr>
                <w:rFonts w:ascii="Arial" w:hAnsi="Arial" w:cs="Arial"/>
                <w:color w:val="FF0000"/>
                <w:sz w:val="16"/>
                <w:szCs w:val="16"/>
              </w:rPr>
            </w:pPr>
            <w:r>
              <w:rPr>
                <w:rFonts w:ascii="Arial" w:hAnsi="Arial" w:cs="Arial"/>
                <w:color w:val="FF0000"/>
                <w:sz w:val="16"/>
                <w:szCs w:val="16"/>
              </w:rPr>
              <w:t xml:space="preserve">Israel </w:t>
            </w:r>
            <w:r w:rsidR="00555614">
              <w:rPr>
                <w:rFonts w:ascii="Arial" w:hAnsi="Arial" w:cs="Arial"/>
                <w:color w:val="FF0000"/>
                <w:sz w:val="16"/>
                <w:szCs w:val="16"/>
              </w:rPr>
              <w:t>–</w:t>
            </w:r>
            <w:r>
              <w:rPr>
                <w:rFonts w:ascii="Arial" w:hAnsi="Arial" w:cs="Arial"/>
                <w:color w:val="FF0000"/>
                <w:sz w:val="16"/>
                <w:szCs w:val="16"/>
              </w:rPr>
              <w:t xml:space="preserve"> Arabic speakers</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EF538F" w:rsidRDefault="007D0677" w:rsidP="00FD6678">
            <w:pPr>
              <w:bidi w:val="0"/>
              <w:spacing w:before="0" w:after="0" w:line="180" w:lineRule="exact"/>
              <w:jc w:val="center"/>
              <w:rPr>
                <w:rFonts w:ascii="Arial" w:hAnsi="Arial" w:cs="Arial"/>
                <w:color w:val="FF0000"/>
                <w:sz w:val="16"/>
                <w:szCs w:val="16"/>
              </w:rPr>
            </w:pPr>
            <w:r>
              <w:rPr>
                <w:rFonts w:ascii="Arial" w:hAnsi="Arial" w:cs="Arial"/>
                <w:color w:val="FF0000"/>
                <w:sz w:val="16"/>
                <w:szCs w:val="16"/>
              </w:rPr>
              <w:t>382</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60</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Qatar</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372‎</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61</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Qatar</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368‎</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60</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Qatar</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379‎</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61</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Panama</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371‎</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color w:val="FF0000"/>
                <w:sz w:val="16"/>
                <w:szCs w:val="16"/>
              </w:rPr>
            </w:pPr>
            <w:r>
              <w:rPr>
                <w:rFonts w:ascii="Arial" w:hAnsi="Arial" w:cs="Arial"/>
                <w:color w:val="FF0000"/>
                <w:sz w:val="16"/>
                <w:szCs w:val="16"/>
              </w:rPr>
              <w:t>(</w:t>
            </w:r>
            <w:r>
              <w:rPr>
                <w:rFonts w:ascii="Arial" w:hAnsi="Arial" w:cs="Arial"/>
                <w:color w:val="FF0000"/>
                <w:sz w:val="16"/>
                <w:szCs w:val="16"/>
                <w:rtl/>
              </w:rPr>
              <w:t>‏</w:t>
            </w:r>
            <w:r>
              <w:rPr>
                <w:rFonts w:ascii="Arial" w:hAnsi="Arial" w:cs="Arial"/>
                <w:color w:val="FF0000"/>
                <w:sz w:val="16"/>
                <w:szCs w:val="16"/>
              </w:rPr>
              <w:t>61</w:t>
            </w:r>
            <w:r>
              <w:rPr>
                <w:rFonts w:ascii="Arial" w:hAnsi="Arial" w:cs="Arial"/>
                <w:color w:val="FF0000"/>
                <w:sz w:val="16"/>
                <w:szCs w:val="16"/>
                <w:rtl/>
              </w:rPr>
              <w:t>‏</w:t>
            </w:r>
            <w:r>
              <w:rPr>
                <w:rFonts w:ascii="Arial" w:hAnsi="Arial" w:cs="Arial"/>
                <w:color w:val="FF0000"/>
                <w:sz w:val="16"/>
                <w:szCs w:val="16"/>
              </w:rPr>
              <w:t>a)</w:t>
            </w:r>
          </w:p>
        </w:tc>
        <w:tc>
          <w:tcPr>
            <w:tcW w:w="2146" w:type="dxa"/>
            <w:tcBorders>
              <w:top w:val="single" w:sz="2" w:space="0" w:color="BFBFBF"/>
              <w:left w:val="single" w:sz="2" w:space="0" w:color="BFBFBF"/>
              <w:bottom w:val="single" w:sz="2" w:space="0" w:color="BFBFBF"/>
              <w:right w:val="single" w:sz="2" w:space="0" w:color="BFBFBF"/>
            </w:tcBorders>
          </w:tcPr>
          <w:p w:rsidR="007D0677" w:rsidRPr="00EF538F" w:rsidRDefault="007D0677" w:rsidP="00FD6678">
            <w:pPr>
              <w:bidi w:val="0"/>
              <w:spacing w:before="0" w:after="0" w:line="180" w:lineRule="exact"/>
              <w:rPr>
                <w:rFonts w:ascii="Arial" w:hAnsi="Arial" w:cs="Arial"/>
                <w:color w:val="FF0000"/>
                <w:sz w:val="16"/>
                <w:szCs w:val="16"/>
              </w:rPr>
            </w:pPr>
            <w:r>
              <w:rPr>
                <w:rFonts w:ascii="Arial" w:hAnsi="Arial" w:cs="Arial"/>
                <w:color w:val="FF0000"/>
                <w:sz w:val="16"/>
                <w:szCs w:val="16"/>
              </w:rPr>
              <w:t xml:space="preserve">Israel </w:t>
            </w:r>
            <w:r w:rsidR="00555614">
              <w:rPr>
                <w:rFonts w:ascii="Arial" w:hAnsi="Arial" w:cs="Arial"/>
                <w:color w:val="FF0000"/>
                <w:sz w:val="16"/>
                <w:szCs w:val="16"/>
              </w:rPr>
              <w:t>–</w:t>
            </w:r>
            <w:r>
              <w:rPr>
                <w:rFonts w:ascii="Arial" w:hAnsi="Arial" w:cs="Arial"/>
                <w:color w:val="FF0000"/>
                <w:sz w:val="16"/>
                <w:szCs w:val="16"/>
              </w:rPr>
              <w:t xml:space="preserve"> Arabic speakers</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D464E" w:rsidRDefault="007D0677" w:rsidP="00FD6678">
            <w:pPr>
              <w:bidi w:val="0"/>
              <w:spacing w:before="0" w:after="0" w:line="180" w:lineRule="exact"/>
              <w:jc w:val="center"/>
              <w:rPr>
                <w:rFonts w:ascii="Arial" w:hAnsi="Arial" w:cs="Arial"/>
                <w:color w:val="FF0000"/>
                <w:sz w:val="16"/>
                <w:szCs w:val="16"/>
              </w:rPr>
            </w:pPr>
            <w:r>
              <w:rPr>
                <w:rFonts w:ascii="Arial" w:hAnsi="Arial" w:cs="Arial"/>
                <w:color w:val="FF0000"/>
                <w:sz w:val="16"/>
                <w:szCs w:val="16"/>
              </w:rPr>
              <w:t>367</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61</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Panama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376‎</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62</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Peru</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370‎</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62</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Peru</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365‎</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tl/>
              </w:rPr>
            </w:pPr>
            <w:r>
              <w:rPr>
                <w:rFonts w:ascii="Arial" w:hAnsi="Arial" w:cs="Arial"/>
                <w:sz w:val="16"/>
                <w:szCs w:val="16"/>
              </w:rPr>
              <w:t>62</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Azerbaijan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373‎</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63</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Azerbaijan</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362‎</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63</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Panama</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360‎</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63</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Peru</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369‎</w:t>
            </w:r>
          </w:p>
        </w:tc>
      </w:tr>
      <w:tr w:rsidR="00D37402" w:rsidRPr="007C1A19" w:rsidTr="00D37402">
        <w:trPr>
          <w:trHeight w:val="20"/>
        </w:trPr>
        <w:tc>
          <w:tcPr>
            <w:tcW w:w="709"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64</w:t>
            </w:r>
          </w:p>
        </w:tc>
        <w:tc>
          <w:tcPr>
            <w:tcW w:w="2141" w:type="dxa"/>
            <w:tcBorders>
              <w:top w:val="single" w:sz="2" w:space="0" w:color="BFBFBF"/>
              <w:left w:val="single" w:sz="2" w:space="0" w:color="BFBFBF"/>
              <w:bottom w:val="single" w:sz="2" w:space="0" w:color="BFBFBF"/>
              <w:right w:val="single" w:sz="2" w:space="0" w:color="BFBFBF"/>
            </w:tcBorders>
            <w:shd w:val="clear" w:color="auto" w:fill="auto"/>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Kirghizstan</w:t>
            </w:r>
          </w:p>
        </w:tc>
        <w:tc>
          <w:tcPr>
            <w:tcW w:w="633"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314‎</w:t>
            </w:r>
          </w:p>
        </w:tc>
        <w:tc>
          <w:tcPr>
            <w:tcW w:w="236"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656" w:type="dxa"/>
            <w:tcBorders>
              <w:top w:val="single" w:sz="2" w:space="0" w:color="BFBFBF"/>
              <w:left w:val="single" w:sz="2" w:space="0" w:color="BFBFBF"/>
              <w:bottom w:val="single" w:sz="2" w:space="0" w:color="BFBFBF"/>
              <w:right w:val="single" w:sz="2" w:space="0" w:color="BFBFBF"/>
            </w:tcBorders>
            <w:vAlign w:val="bottom"/>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64</w:t>
            </w:r>
          </w:p>
        </w:tc>
        <w:tc>
          <w:tcPr>
            <w:tcW w:w="2146"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rPr>
                <w:rFonts w:ascii="Arial" w:hAnsi="Arial" w:cs="Arial"/>
                <w:sz w:val="16"/>
                <w:szCs w:val="16"/>
              </w:rPr>
            </w:pPr>
            <w:r>
              <w:rPr>
                <w:rFonts w:ascii="Arial" w:hAnsi="Arial" w:cs="Arial"/>
                <w:sz w:val="16"/>
                <w:szCs w:val="16"/>
              </w:rPr>
              <w:t>Kirghizstan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331‎</w:t>
            </w:r>
          </w:p>
        </w:tc>
        <w:tc>
          <w:tcPr>
            <w:tcW w:w="284" w:type="dxa"/>
            <w:tcBorders>
              <w:left w:val="single" w:sz="2" w:space="0" w:color="BFBFBF"/>
              <w:right w:val="single" w:sz="2" w:space="0" w:color="BFBFBF"/>
            </w:tcBorders>
          </w:tcPr>
          <w:p w:rsidR="007D0677" w:rsidRPr="007C1A19" w:rsidRDefault="007D0677" w:rsidP="00FD6678">
            <w:pPr>
              <w:bidi w:val="0"/>
              <w:spacing w:before="0" w:after="0" w:line="180" w:lineRule="exact"/>
              <w:jc w:val="center"/>
              <w:rPr>
                <w:rFonts w:ascii="Arial" w:hAnsi="Arial" w:cs="Arial"/>
                <w:sz w:val="16"/>
                <w:szCs w:val="16"/>
              </w:rPr>
            </w:pPr>
          </w:p>
        </w:tc>
        <w:tc>
          <w:tcPr>
            <w:tcW w:w="708" w:type="dxa"/>
            <w:tcBorders>
              <w:top w:val="single" w:sz="2" w:space="0" w:color="BFBFBF"/>
              <w:left w:val="single" w:sz="2" w:space="0" w:color="BFBFBF"/>
              <w:bottom w:val="single" w:sz="2" w:space="0" w:color="BFBFBF"/>
              <w:right w:val="single" w:sz="2" w:space="0" w:color="BFBFBF"/>
            </w:tcBorders>
          </w:tcPr>
          <w:p w:rsidR="007D0677" w:rsidRPr="009E149B" w:rsidRDefault="007D0677" w:rsidP="00FD6678">
            <w:pPr>
              <w:bidi w:val="0"/>
              <w:spacing w:before="0" w:after="0" w:line="180" w:lineRule="exact"/>
              <w:jc w:val="center"/>
              <w:rPr>
                <w:rFonts w:ascii="Arial" w:hAnsi="Arial" w:cs="Arial"/>
                <w:sz w:val="16"/>
                <w:szCs w:val="16"/>
              </w:rPr>
            </w:pPr>
            <w:r>
              <w:rPr>
                <w:rFonts w:ascii="Arial" w:hAnsi="Arial" w:cs="Arial"/>
                <w:sz w:val="16"/>
                <w:szCs w:val="16"/>
              </w:rPr>
              <w:t>64</w:t>
            </w:r>
          </w:p>
        </w:tc>
        <w:tc>
          <w:tcPr>
            <w:tcW w:w="212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4E33F9" w:rsidP="00FD6678">
            <w:pPr>
              <w:bidi w:val="0"/>
              <w:spacing w:before="0" w:after="0" w:line="180" w:lineRule="exact"/>
              <w:rPr>
                <w:rFonts w:ascii="Arial" w:hAnsi="Arial" w:cs="Arial"/>
                <w:sz w:val="16"/>
                <w:szCs w:val="16"/>
              </w:rPr>
            </w:pPr>
            <w:r>
              <w:rPr>
                <w:rFonts w:ascii="Arial" w:hAnsi="Arial" w:cs="Arial"/>
                <w:sz w:val="16"/>
                <w:szCs w:val="16"/>
              </w:rPr>
              <w:t>Kirghizstan</w:t>
            </w:r>
          </w:p>
        </w:tc>
        <w:tc>
          <w:tcPr>
            <w:tcW w:w="567" w:type="dxa"/>
            <w:tcBorders>
              <w:top w:val="single" w:sz="2" w:space="0" w:color="BFBFBF"/>
              <w:left w:val="single" w:sz="2" w:space="0" w:color="BFBFBF"/>
              <w:bottom w:val="single" w:sz="2" w:space="0" w:color="BFBFBF"/>
              <w:right w:val="single" w:sz="2" w:space="0" w:color="BFBFBF"/>
            </w:tcBorders>
            <w:vAlign w:val="bottom"/>
          </w:tcPr>
          <w:p w:rsidR="007D0677" w:rsidRPr="007C1A19" w:rsidRDefault="007D0677" w:rsidP="00FD6678">
            <w:pPr>
              <w:bidi w:val="0"/>
              <w:spacing w:before="0" w:after="0" w:line="180" w:lineRule="exact"/>
              <w:jc w:val="center"/>
              <w:rPr>
                <w:rFonts w:ascii="Arial" w:hAnsi="Arial" w:cs="Arial"/>
                <w:sz w:val="16"/>
                <w:szCs w:val="16"/>
              </w:rPr>
            </w:pPr>
            <w:r>
              <w:rPr>
                <w:rFonts w:ascii="Arial" w:hAnsi="Arial" w:cs="Arial"/>
                <w:sz w:val="16"/>
                <w:szCs w:val="16"/>
                <w:cs/>
              </w:rPr>
              <w:t>‎</w:t>
            </w:r>
            <w:r>
              <w:rPr>
                <w:rFonts w:ascii="Arial" w:hAnsi="Arial" w:cs="Arial"/>
                <w:sz w:val="16"/>
                <w:szCs w:val="16"/>
                <w:rtl/>
                <w:cs/>
              </w:rPr>
              <w:t>330‎</w:t>
            </w:r>
          </w:p>
        </w:tc>
      </w:tr>
    </w:tbl>
    <w:p w:rsidR="003D46F3" w:rsidRDefault="003D46F3" w:rsidP="00FD6678">
      <w:pPr>
        <w:pStyle w:val="af8"/>
        <w:tabs>
          <w:tab w:val="left" w:pos="567"/>
        </w:tabs>
        <w:bidi w:val="0"/>
        <w:spacing w:before="0" w:after="0" w:line="240" w:lineRule="auto"/>
        <w:rPr>
          <w:rFonts w:ascii="Arial" w:hAnsi="Arial" w:cs="Arial"/>
          <w:noProof w:val="0"/>
        </w:rPr>
      </w:pPr>
    </w:p>
    <w:p w:rsidR="007D0677" w:rsidRDefault="007D0677" w:rsidP="00FD6678">
      <w:pPr>
        <w:pStyle w:val="af8"/>
        <w:tabs>
          <w:tab w:val="left" w:pos="567"/>
        </w:tabs>
        <w:bidi w:val="0"/>
        <w:spacing w:before="0" w:after="0" w:line="240" w:lineRule="auto"/>
        <w:rPr>
          <w:rFonts w:ascii="Arial" w:hAnsi="Arial" w:cs="Arial"/>
          <w:noProof w:val="0"/>
          <w:rtl/>
        </w:rPr>
      </w:pPr>
      <w:r>
        <w:rPr>
          <w:rFonts w:ascii="Arial" w:hAnsi="Arial" w:cs="Arial"/>
          <w:noProof w:val="0"/>
        </w:rPr>
        <w:t>Remarks:</w:t>
      </w:r>
    </w:p>
    <w:p w:rsidR="007D0677" w:rsidRDefault="007D0677" w:rsidP="00FD6678">
      <w:pPr>
        <w:pStyle w:val="af8"/>
        <w:numPr>
          <w:ilvl w:val="0"/>
          <w:numId w:val="17"/>
        </w:numPr>
        <w:tabs>
          <w:tab w:val="left" w:pos="567"/>
        </w:tabs>
        <w:bidi w:val="0"/>
        <w:spacing w:before="0" w:after="0" w:line="240" w:lineRule="auto"/>
        <w:rPr>
          <w:rFonts w:ascii="Arial" w:hAnsi="Arial" w:cs="Arial"/>
          <w:noProof w:val="0"/>
        </w:rPr>
      </w:pPr>
      <w:r>
        <w:rPr>
          <w:rFonts w:ascii="Arial" w:hAnsi="Arial" w:cs="Arial"/>
          <w:noProof w:val="0"/>
        </w:rPr>
        <w:t>The countries marked in grey are not noticeably different from Israel.</w:t>
      </w:r>
    </w:p>
    <w:p w:rsidR="007D0677" w:rsidRPr="00773A74" w:rsidRDefault="007D0677" w:rsidP="00FD6678">
      <w:pPr>
        <w:pStyle w:val="af8"/>
        <w:numPr>
          <w:ilvl w:val="0"/>
          <w:numId w:val="17"/>
        </w:numPr>
        <w:tabs>
          <w:tab w:val="left" w:pos="567"/>
        </w:tabs>
        <w:bidi w:val="0"/>
        <w:spacing w:before="0" w:after="0" w:line="240" w:lineRule="auto"/>
        <w:rPr>
          <w:rFonts w:ascii="Arial" w:hAnsi="Arial" w:cs="Arial"/>
          <w:noProof w:val="0"/>
        </w:rPr>
      </w:pPr>
      <w:r>
        <w:rPr>
          <w:rFonts w:ascii="Arial" w:hAnsi="Arial" w:cs="Arial"/>
          <w:noProof w:val="0"/>
        </w:rPr>
        <w:t>*OECD member states</w:t>
      </w:r>
    </w:p>
    <w:sectPr w:rsidR="007D0677" w:rsidRPr="00773A74" w:rsidSect="006F1140">
      <w:headerReference w:type="first" r:id="rId13"/>
      <w:pgSz w:w="11907" w:h="16839" w:code="9"/>
      <w:pgMar w:top="1134" w:right="1418" w:bottom="1134" w:left="1418" w:header="22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28D" w:rsidRDefault="00DA228D">
      <w:pPr>
        <w:bidi w:val="0"/>
      </w:pPr>
      <w:r>
        <w:separator/>
      </w:r>
    </w:p>
  </w:endnote>
  <w:endnote w:type="continuationSeparator" w:id="0">
    <w:p w:rsidR="00DA228D" w:rsidRDefault="00DA228D">
      <w:pPr>
        <w:bidi w:val="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8D" w:rsidRDefault="00DA228D" w:rsidP="0061178A">
    <w:pPr>
      <w:pStyle w:val="a5"/>
      <w:framePr w:wrap="around" w:vAnchor="text" w:hAnchor="margin" w:y="1"/>
      <w:bidi w:val="0"/>
      <w:rPr>
        <w:rStyle w:val="a9"/>
      </w:rPr>
    </w:pPr>
    <w:r>
      <w:rPr>
        <w:rStyle w:val="a9"/>
        <w:rtl/>
      </w:rPr>
      <w:fldChar w:fldCharType="begin"/>
    </w:r>
    <w:r>
      <w:rPr>
        <w:rStyle w:val="a9"/>
      </w:rPr>
      <w:instrText xml:space="preserve">PAGE  </w:instrText>
    </w:r>
    <w:r>
      <w:rPr>
        <w:rStyle w:val="a9"/>
        <w:rtl/>
      </w:rPr>
      <w:fldChar w:fldCharType="end"/>
    </w:r>
  </w:p>
  <w:p w:rsidR="00DA228D" w:rsidRDefault="00DA228D">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8D" w:rsidRDefault="00DA228D" w:rsidP="00A827B5">
    <w:pPr>
      <w:pStyle w:val="a5"/>
      <w:bidi w:val="0"/>
      <w:jc w:val="center"/>
      <w:rPr>
        <w:rFonts w:ascii="Arial" w:hAnsi="Arial" w:cs="Arial"/>
        <w:w w:val="80"/>
        <w:sz w:val="20"/>
        <w:szCs w:val="20"/>
        <w:rtl/>
      </w:rPr>
    </w:pPr>
    <w:r>
      <w:fldChar w:fldCharType="begin"/>
    </w:r>
    <w:r>
      <w:instrText xml:space="preserve"> PAGE   \* MERGEFORMAT </w:instrText>
    </w:r>
    <w:r>
      <w:fldChar w:fldCharType="separate"/>
    </w:r>
    <w:r w:rsidR="00A64D54" w:rsidRPr="00A64D54">
      <w:rPr>
        <w:rFonts w:cs="Calibri"/>
        <w:noProof/>
      </w:rPr>
      <w:t>2</w:t>
    </w:r>
    <w:r>
      <w:rPr>
        <w:rFonts w:cs="Calibri"/>
        <w:noProof/>
      </w:rPr>
      <w:fldChar w:fldCharType="end"/>
    </w:r>
  </w:p>
  <w:p w:rsidR="00DA228D" w:rsidRDefault="00DA228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8D" w:rsidRDefault="00DA228D" w:rsidP="00E66FC9">
    <w:pPr>
      <w:pStyle w:val="a5"/>
      <w:bidi w:val="0"/>
      <w:jc w:val="center"/>
      <w:rPr>
        <w:rtl/>
      </w:rPr>
    </w:pPr>
    <w:r>
      <w:fldChar w:fldCharType="begin"/>
    </w:r>
    <w:r>
      <w:instrText xml:space="preserve"> PAGE   \* MERGEFORMAT </w:instrText>
    </w:r>
    <w:r>
      <w:fldChar w:fldCharType="separate"/>
    </w:r>
    <w:r w:rsidR="00A64D54" w:rsidRPr="00A64D54">
      <w:rPr>
        <w:rFonts w:cs="Calibri"/>
        <w:noProof/>
      </w:rPr>
      <w:t>1</w:t>
    </w:r>
    <w:r>
      <w:rPr>
        <w:rFonts w:cs="Calibr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28D" w:rsidRDefault="00DA228D">
      <w:pPr>
        <w:bidi w:val="0"/>
      </w:pPr>
      <w:r>
        <w:separator/>
      </w:r>
    </w:p>
  </w:footnote>
  <w:footnote w:type="continuationSeparator" w:id="0">
    <w:p w:rsidR="00DA228D" w:rsidRDefault="00DA228D">
      <w:pPr>
        <w:bidi w:val="0"/>
      </w:pPr>
      <w:r>
        <w:continuationSeparator/>
      </w:r>
    </w:p>
  </w:footnote>
  <w:footnote w:id="1">
    <w:p w:rsidR="00DA228D" w:rsidRPr="00240263" w:rsidRDefault="00DA228D" w:rsidP="00EF5998">
      <w:pPr>
        <w:pStyle w:val="aa"/>
        <w:bidi w:val="0"/>
        <w:spacing w:line="240" w:lineRule="auto"/>
        <w:rPr>
          <w:rFonts w:ascii="Arial" w:hAnsi="Arial" w:cs="Arial"/>
          <w:rtl/>
        </w:rPr>
      </w:pPr>
      <w:r>
        <w:rPr>
          <w:rStyle w:val="ac"/>
        </w:rPr>
        <w:footnoteRef/>
      </w:r>
      <w:r>
        <w:t xml:space="preserve"> </w:t>
      </w:r>
      <w:r>
        <w:rPr>
          <w:rFonts w:ascii="Arial" w:hAnsi="Arial" w:cs="Arial"/>
        </w:rPr>
        <w:t xml:space="preserve">The OECD average is calculated as a simple average of the scores for the OECD countries (with    each country having equal weight). </w:t>
      </w:r>
    </w:p>
  </w:footnote>
  <w:footnote w:id="2">
    <w:p w:rsidR="00DA228D" w:rsidRPr="00BE33DE" w:rsidRDefault="00DA228D" w:rsidP="00415C22">
      <w:pPr>
        <w:pStyle w:val="aa"/>
        <w:tabs>
          <w:tab w:val="left" w:pos="191"/>
        </w:tabs>
        <w:bidi w:val="0"/>
        <w:spacing w:before="0" w:after="0" w:line="240" w:lineRule="auto"/>
        <w:ind w:left="191" w:hanging="240"/>
        <w:rPr>
          <w:rFonts w:ascii="Arial" w:hAnsi="Arial" w:cs="Arial"/>
          <w:rtl/>
        </w:rPr>
      </w:pPr>
      <w:r>
        <w:rPr>
          <w:rStyle w:val="ac"/>
        </w:rPr>
        <w:footnoteRef/>
      </w:r>
      <w:r>
        <w:rPr>
          <w:rFonts w:ascii="Arial" w:hAnsi="Arial" w:cs="Arial"/>
        </w:rPr>
        <w:tab/>
        <w:t>The countries selected for comparison were: Finland and Canada which had the highest ranks on the achievement ranking and the provision of social services; New Zealand and Spain, which have a similar GNP to Israel; Mexico, which ranked the lowest on the achievement ranking.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8D" w:rsidRDefault="00DA228D" w:rsidP="00DC2B94">
    <w:pPr>
      <w:pStyle w:val="a3"/>
      <w:spacing w:before="0" w:after="0" w:line="240" w:lineRule="auto"/>
      <w:rPr>
        <w:rFonts w:hint="cs"/>
        <w:rtl/>
      </w:rPr>
    </w:pPr>
  </w:p>
  <w:tbl>
    <w:tblPr>
      <w:tblW w:w="9832" w:type="dxa"/>
      <w:tblLook w:val="01E0" w:firstRow="1" w:lastRow="1" w:firstColumn="1" w:lastColumn="1" w:noHBand="0" w:noVBand="0"/>
    </w:tblPr>
    <w:tblGrid>
      <w:gridCol w:w="3129"/>
      <w:gridCol w:w="3157"/>
      <w:gridCol w:w="3546"/>
    </w:tblGrid>
    <w:tr w:rsidR="00DA228D" w:rsidRPr="00CC52FF" w:rsidTr="00086F0C">
      <w:trPr>
        <w:trHeight w:val="1220"/>
      </w:trPr>
      <w:tc>
        <w:tcPr>
          <w:tcW w:w="3129" w:type="dxa"/>
        </w:tcPr>
        <w:p w:rsidR="00DA228D" w:rsidRPr="00A64D54" w:rsidRDefault="00DA228D" w:rsidP="00DC2B94">
          <w:pPr>
            <w:pStyle w:val="a3"/>
            <w:bidi w:val="0"/>
            <w:spacing w:before="0" w:after="0" w:line="240" w:lineRule="auto"/>
            <w:rPr>
              <w:rFonts w:cs="David"/>
              <w:b/>
              <w:bCs/>
              <w:color w:val="333399"/>
              <w:sz w:val="22"/>
              <w:szCs w:val="22"/>
              <w:rtl/>
            </w:rPr>
          </w:pPr>
          <w:r w:rsidRPr="00A64D54">
            <w:rPr>
              <w:rFonts w:cs="David"/>
              <w:color w:val="333399"/>
              <w:sz w:val="22"/>
              <w:szCs w:val="22"/>
            </w:rPr>
            <w:t xml:space="preserve">RAMA </w:t>
          </w:r>
        </w:p>
        <w:p w:rsidR="00DA228D" w:rsidRPr="00A64D54" w:rsidRDefault="00DA228D" w:rsidP="00DC2B94">
          <w:pPr>
            <w:pStyle w:val="a3"/>
            <w:bidi w:val="0"/>
            <w:spacing w:before="0" w:after="0" w:line="240" w:lineRule="auto"/>
            <w:rPr>
              <w:rFonts w:cs="David"/>
              <w:b/>
              <w:bCs/>
              <w:color w:val="333399"/>
              <w:sz w:val="20"/>
              <w:szCs w:val="20"/>
              <w:rtl/>
            </w:rPr>
          </w:pPr>
          <w:r w:rsidRPr="00A64D54">
            <w:rPr>
              <w:rFonts w:cs="David"/>
              <w:b/>
              <w:bCs/>
              <w:color w:val="333399"/>
              <w:sz w:val="20"/>
              <w:szCs w:val="20"/>
            </w:rPr>
            <w:t>National Authority</w:t>
          </w:r>
          <w:r w:rsidRPr="00A64D54">
            <w:rPr>
              <w:rFonts w:cs="David"/>
              <w:color w:val="333399"/>
              <w:sz w:val="20"/>
              <w:szCs w:val="20"/>
            </w:rPr>
            <w:t xml:space="preserve"> </w:t>
          </w:r>
        </w:p>
        <w:p w:rsidR="00DA228D" w:rsidRPr="00120460" w:rsidRDefault="00DA228D" w:rsidP="00DC2B94">
          <w:pPr>
            <w:pStyle w:val="a3"/>
            <w:bidi w:val="0"/>
            <w:spacing w:before="0" w:after="0" w:line="240" w:lineRule="auto"/>
            <w:rPr>
              <w:rFonts w:cs="David"/>
              <w:b/>
              <w:bCs/>
              <w:color w:val="333399"/>
              <w:sz w:val="28"/>
              <w:szCs w:val="28"/>
              <w:rtl/>
            </w:rPr>
          </w:pPr>
          <w:r w:rsidRPr="00A64D54">
            <w:rPr>
              <w:rFonts w:cs="David"/>
              <w:b/>
              <w:bCs/>
              <w:color w:val="333399"/>
              <w:sz w:val="20"/>
              <w:szCs w:val="20"/>
            </w:rPr>
            <w:t>for Measurement and Evaluation in Education</w:t>
          </w:r>
        </w:p>
        <w:p w:rsidR="00DA228D" w:rsidRPr="00CC52FF" w:rsidRDefault="00DA228D" w:rsidP="00DC2B94">
          <w:pPr>
            <w:spacing w:before="0" w:after="0" w:line="240" w:lineRule="auto"/>
            <w:rPr>
              <w:sz w:val="28"/>
              <w:rtl/>
            </w:rPr>
          </w:pPr>
        </w:p>
      </w:tc>
      <w:tc>
        <w:tcPr>
          <w:tcW w:w="3157" w:type="dxa"/>
        </w:tcPr>
        <w:p w:rsidR="00DA228D" w:rsidRPr="00CC52FF" w:rsidRDefault="00DA228D" w:rsidP="00DC2B94">
          <w:pPr>
            <w:bidi w:val="0"/>
            <w:spacing w:before="0" w:after="0" w:line="240" w:lineRule="auto"/>
            <w:jc w:val="center"/>
            <w:rPr>
              <w:sz w:val="28"/>
              <w:rtl/>
            </w:rPr>
          </w:pPr>
          <w:r>
            <w:rPr>
              <w:rFonts w:ascii="Arial" w:hAnsi="Arial" w:cs="Arial"/>
              <w:noProof/>
              <w:color w:val="091F3E"/>
              <w:sz w:val="18"/>
              <w:szCs w:val="18"/>
              <w:lang w:eastAsia="en-US"/>
            </w:rPr>
            <w:drawing>
              <wp:inline distT="0" distB="0" distL="0" distR="0" wp14:anchorId="361278F3" wp14:editId="7DB6D119">
                <wp:extent cx="638175" cy="676275"/>
                <wp:effectExtent l="19050" t="0" r="9525" b="0"/>
                <wp:docPr id="1" name="Picture 1" descr="סמל 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סמל מדינה"/>
                        <pic:cNvPicPr>
                          <a:picLocks noChangeAspect="1" noChangeArrowheads="1"/>
                        </pic:cNvPicPr>
                      </pic:nvPicPr>
                      <pic:blipFill>
                        <a:blip r:embed="rId1"/>
                        <a:srcRect/>
                        <a:stretch>
                          <a:fillRect/>
                        </a:stretch>
                      </pic:blipFill>
                      <pic:spPr bwMode="auto">
                        <a:xfrm>
                          <a:off x="0" y="0"/>
                          <a:ext cx="638175" cy="676275"/>
                        </a:xfrm>
                        <a:prstGeom prst="rect">
                          <a:avLst/>
                        </a:prstGeom>
                        <a:noFill/>
                        <a:ln w="9525">
                          <a:noFill/>
                          <a:miter lim="800000"/>
                          <a:headEnd/>
                          <a:tailEnd/>
                        </a:ln>
                      </pic:spPr>
                    </pic:pic>
                  </a:graphicData>
                </a:graphic>
              </wp:inline>
            </w:drawing>
          </w:r>
        </w:p>
      </w:tc>
      <w:tc>
        <w:tcPr>
          <w:tcW w:w="3546" w:type="dxa"/>
        </w:tcPr>
        <w:p w:rsidR="00DA228D" w:rsidRPr="00A64D54" w:rsidRDefault="00DA228D" w:rsidP="00DC2B94">
          <w:pPr>
            <w:pStyle w:val="a5"/>
            <w:bidi w:val="0"/>
            <w:spacing w:before="0" w:after="0" w:line="240" w:lineRule="auto"/>
            <w:jc w:val="right"/>
            <w:rPr>
              <w:rFonts w:cs="David"/>
              <w:b/>
              <w:bCs/>
              <w:color w:val="333399"/>
              <w:rtl/>
            </w:rPr>
          </w:pPr>
          <w:r w:rsidRPr="00A64D54">
            <w:rPr>
              <w:rFonts w:cs="David"/>
              <w:b/>
              <w:bCs/>
              <w:color w:val="333399"/>
            </w:rPr>
            <w:t>The Ministry of Education</w:t>
          </w:r>
        </w:p>
        <w:p w:rsidR="00DA228D" w:rsidRPr="00A64D54" w:rsidRDefault="00DA228D" w:rsidP="00DC2B94">
          <w:pPr>
            <w:pStyle w:val="a5"/>
            <w:bidi w:val="0"/>
            <w:spacing w:before="0" w:after="0" w:line="240" w:lineRule="auto"/>
            <w:jc w:val="right"/>
            <w:rPr>
              <w:rFonts w:cs="David"/>
              <w:b/>
              <w:bCs/>
              <w:color w:val="333399"/>
              <w:rtl/>
            </w:rPr>
          </w:pPr>
          <w:r w:rsidRPr="00A64D54">
            <w:rPr>
              <w:rFonts w:cs="David"/>
              <w:color w:val="333399"/>
            </w:rPr>
            <w:t>Ministry Of Education</w:t>
          </w:r>
        </w:p>
        <w:p w:rsidR="00DA228D" w:rsidRPr="00A64D54" w:rsidRDefault="00DA228D" w:rsidP="00DC2B94">
          <w:pPr>
            <w:bidi w:val="0"/>
            <w:spacing w:before="0" w:after="0" w:line="240" w:lineRule="auto"/>
            <w:jc w:val="right"/>
            <w:rPr>
              <w:rtl/>
            </w:rPr>
          </w:pPr>
          <w:r w:rsidRPr="00A64D54">
            <w:rPr>
              <w:color w:val="333399"/>
            </w:rPr>
            <w:t>RAMA</w:t>
          </w:r>
        </w:p>
      </w:tc>
    </w:tr>
  </w:tbl>
  <w:p w:rsidR="00DA228D" w:rsidRDefault="00DA228D" w:rsidP="00DC2B94">
    <w:pPr>
      <w:pStyle w:val="a3"/>
      <w:spacing w:before="0" w:after="0" w:line="240" w:lineRule="auto"/>
      <w:rPr>
        <w:rFonts w:hint="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8D" w:rsidRDefault="00DA228D" w:rsidP="00DC2B94">
    <w:pPr>
      <w:pStyle w:val="a3"/>
      <w:spacing w:before="0" w:after="0" w:line="240" w:lineRule="auto"/>
      <w:rPr>
        <w:rtl/>
      </w:rPr>
    </w:pPr>
  </w:p>
  <w:p w:rsidR="00DA228D" w:rsidRDefault="00DA228D" w:rsidP="00DC2B94">
    <w:pPr>
      <w:pStyle w:val="a3"/>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91016"/>
    <w:multiLevelType w:val="hybridMultilevel"/>
    <w:tmpl w:val="C06C626C"/>
    <w:lvl w:ilvl="0" w:tplc="66D21A8E">
      <w:start w:val="1"/>
      <w:numFmt w:val="bullet"/>
      <w:lvlText w:val=""/>
      <w:lvlJc w:val="left"/>
      <w:pPr>
        <w:tabs>
          <w:tab w:val="num" w:pos="720"/>
        </w:tabs>
        <w:ind w:left="720" w:hanging="360"/>
      </w:pPr>
      <w:rPr>
        <w:rFonts w:ascii="Wingdings" w:hAnsi="Wingdings" w:hint="default"/>
      </w:rPr>
    </w:lvl>
    <w:lvl w:ilvl="1" w:tplc="42F885C0" w:tentative="1">
      <w:start w:val="1"/>
      <w:numFmt w:val="bullet"/>
      <w:lvlText w:val=""/>
      <w:lvlJc w:val="left"/>
      <w:pPr>
        <w:tabs>
          <w:tab w:val="num" w:pos="1440"/>
        </w:tabs>
        <w:ind w:left="1440" w:hanging="360"/>
      </w:pPr>
      <w:rPr>
        <w:rFonts w:ascii="Wingdings" w:hAnsi="Wingdings" w:hint="default"/>
      </w:rPr>
    </w:lvl>
    <w:lvl w:ilvl="2" w:tplc="B818E262" w:tentative="1">
      <w:start w:val="1"/>
      <w:numFmt w:val="bullet"/>
      <w:lvlText w:val=""/>
      <w:lvlJc w:val="left"/>
      <w:pPr>
        <w:tabs>
          <w:tab w:val="num" w:pos="2160"/>
        </w:tabs>
        <w:ind w:left="2160" w:hanging="360"/>
      </w:pPr>
      <w:rPr>
        <w:rFonts w:ascii="Wingdings" w:hAnsi="Wingdings" w:hint="default"/>
      </w:rPr>
    </w:lvl>
    <w:lvl w:ilvl="3" w:tplc="58B690C6" w:tentative="1">
      <w:start w:val="1"/>
      <w:numFmt w:val="bullet"/>
      <w:lvlText w:val=""/>
      <w:lvlJc w:val="left"/>
      <w:pPr>
        <w:tabs>
          <w:tab w:val="num" w:pos="2880"/>
        </w:tabs>
        <w:ind w:left="2880" w:hanging="360"/>
      </w:pPr>
      <w:rPr>
        <w:rFonts w:ascii="Wingdings" w:hAnsi="Wingdings" w:hint="default"/>
      </w:rPr>
    </w:lvl>
    <w:lvl w:ilvl="4" w:tplc="84F2A660" w:tentative="1">
      <w:start w:val="1"/>
      <w:numFmt w:val="bullet"/>
      <w:lvlText w:val=""/>
      <w:lvlJc w:val="left"/>
      <w:pPr>
        <w:tabs>
          <w:tab w:val="num" w:pos="3600"/>
        </w:tabs>
        <w:ind w:left="3600" w:hanging="360"/>
      </w:pPr>
      <w:rPr>
        <w:rFonts w:ascii="Wingdings" w:hAnsi="Wingdings" w:hint="default"/>
      </w:rPr>
    </w:lvl>
    <w:lvl w:ilvl="5" w:tplc="58A40C88" w:tentative="1">
      <w:start w:val="1"/>
      <w:numFmt w:val="bullet"/>
      <w:lvlText w:val=""/>
      <w:lvlJc w:val="left"/>
      <w:pPr>
        <w:tabs>
          <w:tab w:val="num" w:pos="4320"/>
        </w:tabs>
        <w:ind w:left="4320" w:hanging="360"/>
      </w:pPr>
      <w:rPr>
        <w:rFonts w:ascii="Wingdings" w:hAnsi="Wingdings" w:hint="default"/>
      </w:rPr>
    </w:lvl>
    <w:lvl w:ilvl="6" w:tplc="0A62A190" w:tentative="1">
      <w:start w:val="1"/>
      <w:numFmt w:val="bullet"/>
      <w:lvlText w:val=""/>
      <w:lvlJc w:val="left"/>
      <w:pPr>
        <w:tabs>
          <w:tab w:val="num" w:pos="5040"/>
        </w:tabs>
        <w:ind w:left="5040" w:hanging="360"/>
      </w:pPr>
      <w:rPr>
        <w:rFonts w:ascii="Wingdings" w:hAnsi="Wingdings" w:hint="default"/>
      </w:rPr>
    </w:lvl>
    <w:lvl w:ilvl="7" w:tplc="8FAAD804" w:tentative="1">
      <w:start w:val="1"/>
      <w:numFmt w:val="bullet"/>
      <w:lvlText w:val=""/>
      <w:lvlJc w:val="left"/>
      <w:pPr>
        <w:tabs>
          <w:tab w:val="num" w:pos="5760"/>
        </w:tabs>
        <w:ind w:left="5760" w:hanging="360"/>
      </w:pPr>
      <w:rPr>
        <w:rFonts w:ascii="Wingdings" w:hAnsi="Wingdings" w:hint="default"/>
      </w:rPr>
    </w:lvl>
    <w:lvl w:ilvl="8" w:tplc="D0AAA7E8" w:tentative="1">
      <w:start w:val="1"/>
      <w:numFmt w:val="bullet"/>
      <w:lvlText w:val=""/>
      <w:lvlJc w:val="left"/>
      <w:pPr>
        <w:tabs>
          <w:tab w:val="num" w:pos="6480"/>
        </w:tabs>
        <w:ind w:left="6480" w:hanging="360"/>
      </w:pPr>
      <w:rPr>
        <w:rFonts w:ascii="Wingdings" w:hAnsi="Wingdings" w:hint="default"/>
      </w:rPr>
    </w:lvl>
  </w:abstractNum>
  <w:abstractNum w:abstractNumId="1">
    <w:nsid w:val="12A44FB1"/>
    <w:multiLevelType w:val="hybridMultilevel"/>
    <w:tmpl w:val="6DBA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24FA4"/>
    <w:multiLevelType w:val="hybridMultilevel"/>
    <w:tmpl w:val="0F7201EE"/>
    <w:lvl w:ilvl="0" w:tplc="5F500BB4">
      <w:start w:val="1"/>
      <w:numFmt w:val="bullet"/>
      <w:lvlText w:val="•"/>
      <w:lvlJc w:val="left"/>
      <w:pPr>
        <w:tabs>
          <w:tab w:val="num" w:pos="720"/>
        </w:tabs>
        <w:ind w:left="720" w:hanging="360"/>
      </w:pPr>
      <w:rPr>
        <w:rFonts w:ascii="Times New Roman" w:hAnsi="Times New Roman" w:hint="default"/>
      </w:rPr>
    </w:lvl>
    <w:lvl w:ilvl="1" w:tplc="4C5250C0" w:tentative="1">
      <w:start w:val="1"/>
      <w:numFmt w:val="bullet"/>
      <w:lvlText w:val="•"/>
      <w:lvlJc w:val="left"/>
      <w:pPr>
        <w:tabs>
          <w:tab w:val="num" w:pos="1440"/>
        </w:tabs>
        <w:ind w:left="1440" w:hanging="360"/>
      </w:pPr>
      <w:rPr>
        <w:rFonts w:ascii="Times New Roman" w:hAnsi="Times New Roman" w:hint="default"/>
      </w:rPr>
    </w:lvl>
    <w:lvl w:ilvl="2" w:tplc="3CA62504" w:tentative="1">
      <w:start w:val="1"/>
      <w:numFmt w:val="bullet"/>
      <w:lvlText w:val="•"/>
      <w:lvlJc w:val="left"/>
      <w:pPr>
        <w:tabs>
          <w:tab w:val="num" w:pos="2160"/>
        </w:tabs>
        <w:ind w:left="2160" w:hanging="360"/>
      </w:pPr>
      <w:rPr>
        <w:rFonts w:ascii="Times New Roman" w:hAnsi="Times New Roman" w:hint="default"/>
      </w:rPr>
    </w:lvl>
    <w:lvl w:ilvl="3" w:tplc="828A6968" w:tentative="1">
      <w:start w:val="1"/>
      <w:numFmt w:val="bullet"/>
      <w:lvlText w:val="•"/>
      <w:lvlJc w:val="left"/>
      <w:pPr>
        <w:tabs>
          <w:tab w:val="num" w:pos="2880"/>
        </w:tabs>
        <w:ind w:left="2880" w:hanging="360"/>
      </w:pPr>
      <w:rPr>
        <w:rFonts w:ascii="Times New Roman" w:hAnsi="Times New Roman" w:hint="default"/>
      </w:rPr>
    </w:lvl>
    <w:lvl w:ilvl="4" w:tplc="28B88BD2" w:tentative="1">
      <w:start w:val="1"/>
      <w:numFmt w:val="bullet"/>
      <w:lvlText w:val="•"/>
      <w:lvlJc w:val="left"/>
      <w:pPr>
        <w:tabs>
          <w:tab w:val="num" w:pos="3600"/>
        </w:tabs>
        <w:ind w:left="3600" w:hanging="360"/>
      </w:pPr>
      <w:rPr>
        <w:rFonts w:ascii="Times New Roman" w:hAnsi="Times New Roman" w:hint="default"/>
      </w:rPr>
    </w:lvl>
    <w:lvl w:ilvl="5" w:tplc="6E96ED34" w:tentative="1">
      <w:start w:val="1"/>
      <w:numFmt w:val="bullet"/>
      <w:lvlText w:val="•"/>
      <w:lvlJc w:val="left"/>
      <w:pPr>
        <w:tabs>
          <w:tab w:val="num" w:pos="4320"/>
        </w:tabs>
        <w:ind w:left="4320" w:hanging="360"/>
      </w:pPr>
      <w:rPr>
        <w:rFonts w:ascii="Times New Roman" w:hAnsi="Times New Roman" w:hint="default"/>
      </w:rPr>
    </w:lvl>
    <w:lvl w:ilvl="6" w:tplc="943C402E" w:tentative="1">
      <w:start w:val="1"/>
      <w:numFmt w:val="bullet"/>
      <w:lvlText w:val="•"/>
      <w:lvlJc w:val="left"/>
      <w:pPr>
        <w:tabs>
          <w:tab w:val="num" w:pos="5040"/>
        </w:tabs>
        <w:ind w:left="5040" w:hanging="360"/>
      </w:pPr>
      <w:rPr>
        <w:rFonts w:ascii="Times New Roman" w:hAnsi="Times New Roman" w:hint="default"/>
      </w:rPr>
    </w:lvl>
    <w:lvl w:ilvl="7" w:tplc="AE4E6EFA" w:tentative="1">
      <w:start w:val="1"/>
      <w:numFmt w:val="bullet"/>
      <w:lvlText w:val="•"/>
      <w:lvlJc w:val="left"/>
      <w:pPr>
        <w:tabs>
          <w:tab w:val="num" w:pos="5760"/>
        </w:tabs>
        <w:ind w:left="5760" w:hanging="360"/>
      </w:pPr>
      <w:rPr>
        <w:rFonts w:ascii="Times New Roman" w:hAnsi="Times New Roman" w:hint="default"/>
      </w:rPr>
    </w:lvl>
    <w:lvl w:ilvl="8" w:tplc="E96C9B0A" w:tentative="1">
      <w:start w:val="1"/>
      <w:numFmt w:val="bullet"/>
      <w:lvlText w:val="•"/>
      <w:lvlJc w:val="left"/>
      <w:pPr>
        <w:tabs>
          <w:tab w:val="num" w:pos="6480"/>
        </w:tabs>
        <w:ind w:left="6480" w:hanging="360"/>
      </w:pPr>
      <w:rPr>
        <w:rFonts w:ascii="Times New Roman" w:hAnsi="Times New Roman" w:hint="default"/>
      </w:rPr>
    </w:lvl>
  </w:abstractNum>
  <w:abstractNum w:abstractNumId="3">
    <w:nsid w:val="217E2209"/>
    <w:multiLevelType w:val="hybridMultilevel"/>
    <w:tmpl w:val="C83E7B5E"/>
    <w:lvl w:ilvl="0" w:tplc="C382DBBC">
      <w:start w:val="1"/>
      <w:numFmt w:val="bullet"/>
      <w:lvlText w:val=""/>
      <w:lvlJc w:val="left"/>
      <w:pPr>
        <w:tabs>
          <w:tab w:val="num" w:pos="360"/>
        </w:tabs>
        <w:ind w:left="360" w:right="360" w:hanging="360"/>
      </w:pPr>
      <w:rPr>
        <w:rFonts w:ascii="Symbol" w:hAnsi="Symbol" w:hint="default"/>
      </w:rPr>
    </w:lvl>
    <w:lvl w:ilvl="1" w:tplc="04090003">
      <w:start w:val="1"/>
      <w:numFmt w:val="bullet"/>
      <w:lvlText w:val="o"/>
      <w:lvlJc w:val="left"/>
      <w:pPr>
        <w:tabs>
          <w:tab w:val="num" w:pos="1080"/>
        </w:tabs>
        <w:ind w:left="1080" w:right="1080" w:hanging="360"/>
      </w:pPr>
      <w:rPr>
        <w:rFonts w:ascii="Courier New" w:hAnsi="Courier New" w:cs="Courier New"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4">
    <w:nsid w:val="298A5E0C"/>
    <w:multiLevelType w:val="hybridMultilevel"/>
    <w:tmpl w:val="E784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BA79F2"/>
    <w:multiLevelType w:val="hybridMultilevel"/>
    <w:tmpl w:val="03B6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E5526"/>
    <w:multiLevelType w:val="hybridMultilevel"/>
    <w:tmpl w:val="D7F8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10D53"/>
    <w:multiLevelType w:val="hybridMultilevel"/>
    <w:tmpl w:val="6E760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FC3249"/>
    <w:multiLevelType w:val="hybridMultilevel"/>
    <w:tmpl w:val="6DBA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415255"/>
    <w:multiLevelType w:val="hybridMultilevel"/>
    <w:tmpl w:val="5218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651F7C"/>
    <w:multiLevelType w:val="hybridMultilevel"/>
    <w:tmpl w:val="BACE2518"/>
    <w:lvl w:ilvl="0" w:tplc="04090001">
      <w:start w:val="1"/>
      <w:numFmt w:val="bullet"/>
      <w:lvlText w:val=""/>
      <w:lvlJc w:val="left"/>
      <w:pPr>
        <w:tabs>
          <w:tab w:val="num" w:pos="643"/>
        </w:tabs>
        <w:ind w:left="643" w:right="720" w:hanging="360"/>
      </w:pPr>
      <w:rPr>
        <w:rFonts w:ascii="Symbol" w:hAnsi="Symbol" w:hint="default"/>
        <w:color w:val="auto"/>
        <w:lang w:bidi="he-IL"/>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nsid w:val="69566649"/>
    <w:multiLevelType w:val="hybridMultilevel"/>
    <w:tmpl w:val="6DBA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8649B9"/>
    <w:multiLevelType w:val="hybridMultilevel"/>
    <w:tmpl w:val="A3208C70"/>
    <w:lvl w:ilvl="0" w:tplc="28A48720">
      <w:start w:val="1"/>
      <w:numFmt w:val="bullet"/>
      <w:lvlText w:val=""/>
      <w:lvlJc w:val="left"/>
      <w:pPr>
        <w:tabs>
          <w:tab w:val="num" w:pos="720"/>
        </w:tabs>
        <w:ind w:left="720" w:hanging="360"/>
      </w:pPr>
      <w:rPr>
        <w:rFonts w:ascii="Wingdings" w:hAnsi="Wingdings" w:hint="default"/>
      </w:rPr>
    </w:lvl>
    <w:lvl w:ilvl="1" w:tplc="4F40DCF8" w:tentative="1">
      <w:start w:val="1"/>
      <w:numFmt w:val="bullet"/>
      <w:lvlText w:val=""/>
      <w:lvlJc w:val="left"/>
      <w:pPr>
        <w:tabs>
          <w:tab w:val="num" w:pos="1440"/>
        </w:tabs>
        <w:ind w:left="1440" w:hanging="360"/>
      </w:pPr>
      <w:rPr>
        <w:rFonts w:ascii="Wingdings" w:hAnsi="Wingdings" w:hint="default"/>
      </w:rPr>
    </w:lvl>
    <w:lvl w:ilvl="2" w:tplc="B9D6BDD0" w:tentative="1">
      <w:start w:val="1"/>
      <w:numFmt w:val="bullet"/>
      <w:lvlText w:val=""/>
      <w:lvlJc w:val="left"/>
      <w:pPr>
        <w:tabs>
          <w:tab w:val="num" w:pos="2160"/>
        </w:tabs>
        <w:ind w:left="2160" w:hanging="360"/>
      </w:pPr>
      <w:rPr>
        <w:rFonts w:ascii="Wingdings" w:hAnsi="Wingdings" w:hint="default"/>
      </w:rPr>
    </w:lvl>
    <w:lvl w:ilvl="3" w:tplc="59F0A500" w:tentative="1">
      <w:start w:val="1"/>
      <w:numFmt w:val="bullet"/>
      <w:lvlText w:val=""/>
      <w:lvlJc w:val="left"/>
      <w:pPr>
        <w:tabs>
          <w:tab w:val="num" w:pos="2880"/>
        </w:tabs>
        <w:ind w:left="2880" w:hanging="360"/>
      </w:pPr>
      <w:rPr>
        <w:rFonts w:ascii="Wingdings" w:hAnsi="Wingdings" w:hint="default"/>
      </w:rPr>
    </w:lvl>
    <w:lvl w:ilvl="4" w:tplc="6322654E" w:tentative="1">
      <w:start w:val="1"/>
      <w:numFmt w:val="bullet"/>
      <w:lvlText w:val=""/>
      <w:lvlJc w:val="left"/>
      <w:pPr>
        <w:tabs>
          <w:tab w:val="num" w:pos="3600"/>
        </w:tabs>
        <w:ind w:left="3600" w:hanging="360"/>
      </w:pPr>
      <w:rPr>
        <w:rFonts w:ascii="Wingdings" w:hAnsi="Wingdings" w:hint="default"/>
      </w:rPr>
    </w:lvl>
    <w:lvl w:ilvl="5" w:tplc="CEECB526" w:tentative="1">
      <w:start w:val="1"/>
      <w:numFmt w:val="bullet"/>
      <w:lvlText w:val=""/>
      <w:lvlJc w:val="left"/>
      <w:pPr>
        <w:tabs>
          <w:tab w:val="num" w:pos="4320"/>
        </w:tabs>
        <w:ind w:left="4320" w:hanging="360"/>
      </w:pPr>
      <w:rPr>
        <w:rFonts w:ascii="Wingdings" w:hAnsi="Wingdings" w:hint="default"/>
      </w:rPr>
    </w:lvl>
    <w:lvl w:ilvl="6" w:tplc="F78678CE" w:tentative="1">
      <w:start w:val="1"/>
      <w:numFmt w:val="bullet"/>
      <w:lvlText w:val=""/>
      <w:lvlJc w:val="left"/>
      <w:pPr>
        <w:tabs>
          <w:tab w:val="num" w:pos="5040"/>
        </w:tabs>
        <w:ind w:left="5040" w:hanging="360"/>
      </w:pPr>
      <w:rPr>
        <w:rFonts w:ascii="Wingdings" w:hAnsi="Wingdings" w:hint="default"/>
      </w:rPr>
    </w:lvl>
    <w:lvl w:ilvl="7" w:tplc="09B84368" w:tentative="1">
      <w:start w:val="1"/>
      <w:numFmt w:val="bullet"/>
      <w:lvlText w:val=""/>
      <w:lvlJc w:val="left"/>
      <w:pPr>
        <w:tabs>
          <w:tab w:val="num" w:pos="5760"/>
        </w:tabs>
        <w:ind w:left="5760" w:hanging="360"/>
      </w:pPr>
      <w:rPr>
        <w:rFonts w:ascii="Wingdings" w:hAnsi="Wingdings" w:hint="default"/>
      </w:rPr>
    </w:lvl>
    <w:lvl w:ilvl="8" w:tplc="6ED0A7BC" w:tentative="1">
      <w:start w:val="1"/>
      <w:numFmt w:val="bullet"/>
      <w:lvlText w:val=""/>
      <w:lvlJc w:val="left"/>
      <w:pPr>
        <w:tabs>
          <w:tab w:val="num" w:pos="6480"/>
        </w:tabs>
        <w:ind w:left="6480" w:hanging="360"/>
      </w:pPr>
      <w:rPr>
        <w:rFonts w:ascii="Wingdings" w:hAnsi="Wingdings" w:hint="default"/>
      </w:rPr>
    </w:lvl>
  </w:abstractNum>
  <w:abstractNum w:abstractNumId="13">
    <w:nsid w:val="6BE45493"/>
    <w:multiLevelType w:val="hybridMultilevel"/>
    <w:tmpl w:val="E784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396B62"/>
    <w:multiLevelType w:val="hybridMultilevel"/>
    <w:tmpl w:val="146018EA"/>
    <w:lvl w:ilvl="0" w:tplc="C8C84400">
      <w:start w:val="1"/>
      <w:numFmt w:val="bullet"/>
      <w:lvlText w:val=""/>
      <w:lvlJc w:val="left"/>
      <w:pPr>
        <w:tabs>
          <w:tab w:val="num" w:pos="540"/>
        </w:tabs>
        <w:ind w:left="540" w:right="540" w:hanging="360"/>
      </w:pPr>
      <w:rPr>
        <w:rFonts w:ascii="Symbol" w:hAnsi="Symbol" w:hint="default"/>
      </w:rPr>
    </w:lvl>
    <w:lvl w:ilvl="1" w:tplc="C382DBBC">
      <w:start w:val="1"/>
      <w:numFmt w:val="bullet"/>
      <w:lvlText w:val="o"/>
      <w:lvlJc w:val="left"/>
      <w:pPr>
        <w:tabs>
          <w:tab w:val="num" w:pos="360"/>
        </w:tabs>
        <w:ind w:left="360" w:right="360" w:hanging="360"/>
      </w:pPr>
      <w:rPr>
        <w:rFonts w:ascii="Courier New" w:hAnsi="Courier New" w:cs="Courier New" w:hint="default"/>
      </w:rPr>
    </w:lvl>
    <w:lvl w:ilvl="2" w:tplc="04090003">
      <w:start w:val="1"/>
      <w:numFmt w:val="bullet"/>
      <w:lvlText w:val="o"/>
      <w:lvlJc w:val="left"/>
      <w:pPr>
        <w:tabs>
          <w:tab w:val="num" w:pos="1080"/>
        </w:tabs>
        <w:ind w:left="1080" w:right="1080" w:hanging="360"/>
      </w:pPr>
      <w:rPr>
        <w:rFonts w:ascii="Courier New" w:hAnsi="Courier New" w:cs="Courier New" w:hint="default"/>
      </w:rPr>
    </w:lvl>
    <w:lvl w:ilvl="3" w:tplc="04090001" w:tentative="1">
      <w:start w:val="1"/>
      <w:numFmt w:val="bullet"/>
      <w:lvlText w:val=""/>
      <w:lvlJc w:val="left"/>
      <w:pPr>
        <w:tabs>
          <w:tab w:val="num" w:pos="1800"/>
        </w:tabs>
        <w:ind w:left="1800" w:right="1800" w:hanging="360"/>
      </w:pPr>
      <w:rPr>
        <w:rFonts w:ascii="Symbol" w:hAnsi="Symbol" w:hint="default"/>
      </w:rPr>
    </w:lvl>
    <w:lvl w:ilvl="4" w:tplc="04090003">
      <w:start w:val="1"/>
      <w:numFmt w:val="bullet"/>
      <w:lvlText w:val="o"/>
      <w:lvlJc w:val="left"/>
      <w:pPr>
        <w:tabs>
          <w:tab w:val="num" w:pos="2520"/>
        </w:tabs>
        <w:ind w:left="2520" w:right="2520" w:hanging="360"/>
      </w:pPr>
      <w:rPr>
        <w:rFonts w:ascii="Courier New" w:hAnsi="Courier New" w:cs="Courier New" w:hint="default"/>
      </w:rPr>
    </w:lvl>
    <w:lvl w:ilvl="5" w:tplc="04090005" w:tentative="1">
      <w:start w:val="1"/>
      <w:numFmt w:val="bullet"/>
      <w:lvlText w:val=""/>
      <w:lvlJc w:val="left"/>
      <w:pPr>
        <w:tabs>
          <w:tab w:val="num" w:pos="3240"/>
        </w:tabs>
        <w:ind w:left="3240" w:right="3240" w:hanging="360"/>
      </w:pPr>
      <w:rPr>
        <w:rFonts w:ascii="Wingdings" w:hAnsi="Wingdings" w:hint="default"/>
      </w:rPr>
    </w:lvl>
    <w:lvl w:ilvl="6" w:tplc="04090001" w:tentative="1">
      <w:start w:val="1"/>
      <w:numFmt w:val="bullet"/>
      <w:lvlText w:val=""/>
      <w:lvlJc w:val="left"/>
      <w:pPr>
        <w:tabs>
          <w:tab w:val="num" w:pos="3960"/>
        </w:tabs>
        <w:ind w:left="3960" w:right="3960" w:hanging="360"/>
      </w:pPr>
      <w:rPr>
        <w:rFonts w:ascii="Symbol" w:hAnsi="Symbol" w:hint="default"/>
      </w:rPr>
    </w:lvl>
    <w:lvl w:ilvl="7" w:tplc="04090003" w:tentative="1">
      <w:start w:val="1"/>
      <w:numFmt w:val="bullet"/>
      <w:lvlText w:val="o"/>
      <w:lvlJc w:val="left"/>
      <w:pPr>
        <w:tabs>
          <w:tab w:val="num" w:pos="4680"/>
        </w:tabs>
        <w:ind w:left="4680" w:right="4680" w:hanging="360"/>
      </w:pPr>
      <w:rPr>
        <w:rFonts w:ascii="Courier New" w:hAnsi="Courier New" w:cs="Courier New" w:hint="default"/>
      </w:rPr>
    </w:lvl>
    <w:lvl w:ilvl="8" w:tplc="04090005" w:tentative="1">
      <w:start w:val="1"/>
      <w:numFmt w:val="bullet"/>
      <w:lvlText w:val=""/>
      <w:lvlJc w:val="left"/>
      <w:pPr>
        <w:tabs>
          <w:tab w:val="num" w:pos="5400"/>
        </w:tabs>
        <w:ind w:left="5400" w:right="5400" w:hanging="360"/>
      </w:pPr>
      <w:rPr>
        <w:rFonts w:ascii="Wingdings" w:hAnsi="Wingdings" w:hint="default"/>
      </w:rPr>
    </w:lvl>
  </w:abstractNum>
  <w:abstractNum w:abstractNumId="15">
    <w:nsid w:val="75441137"/>
    <w:multiLevelType w:val="hybridMultilevel"/>
    <w:tmpl w:val="A19C8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005290"/>
    <w:multiLevelType w:val="hybridMultilevel"/>
    <w:tmpl w:val="5664ABAE"/>
    <w:lvl w:ilvl="0" w:tplc="2F16D68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7CB45BCE"/>
    <w:multiLevelType w:val="hybridMultilevel"/>
    <w:tmpl w:val="6DBA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16"/>
  </w:num>
  <w:num w:numId="5">
    <w:abstractNumId w:val="13"/>
  </w:num>
  <w:num w:numId="6">
    <w:abstractNumId w:val="15"/>
  </w:num>
  <w:num w:numId="7">
    <w:abstractNumId w:val="17"/>
  </w:num>
  <w:num w:numId="8">
    <w:abstractNumId w:val="11"/>
  </w:num>
  <w:num w:numId="9">
    <w:abstractNumId w:val="8"/>
  </w:num>
  <w:num w:numId="10">
    <w:abstractNumId w:val="1"/>
  </w:num>
  <w:num w:numId="11">
    <w:abstractNumId w:val="4"/>
  </w:num>
  <w:num w:numId="12">
    <w:abstractNumId w:val="7"/>
  </w:num>
  <w:num w:numId="13">
    <w:abstractNumId w:val="5"/>
  </w:num>
  <w:num w:numId="14">
    <w:abstractNumId w:val="6"/>
  </w:num>
  <w:num w:numId="15">
    <w:abstractNumId w:val="12"/>
  </w:num>
  <w:num w:numId="16">
    <w:abstractNumId w:val="0"/>
  </w:num>
  <w:num w:numId="17">
    <w:abstractNumId w:val="9"/>
  </w:num>
  <w:num w:numId="1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083"/>
    <w:rsid w:val="0000127E"/>
    <w:rsid w:val="000023BC"/>
    <w:rsid w:val="00005DAF"/>
    <w:rsid w:val="000074E3"/>
    <w:rsid w:val="00010AD2"/>
    <w:rsid w:val="00010E81"/>
    <w:rsid w:val="00013726"/>
    <w:rsid w:val="00016F9A"/>
    <w:rsid w:val="00017C15"/>
    <w:rsid w:val="00020097"/>
    <w:rsid w:val="00022FD2"/>
    <w:rsid w:val="00024A05"/>
    <w:rsid w:val="00024D72"/>
    <w:rsid w:val="000307A3"/>
    <w:rsid w:val="00037702"/>
    <w:rsid w:val="000475D5"/>
    <w:rsid w:val="0005142E"/>
    <w:rsid w:val="000515AA"/>
    <w:rsid w:val="00053451"/>
    <w:rsid w:val="000570A3"/>
    <w:rsid w:val="00057889"/>
    <w:rsid w:val="0006201B"/>
    <w:rsid w:val="0006403E"/>
    <w:rsid w:val="00064973"/>
    <w:rsid w:val="00065638"/>
    <w:rsid w:val="00065990"/>
    <w:rsid w:val="00065ED3"/>
    <w:rsid w:val="00066B93"/>
    <w:rsid w:val="00070BA6"/>
    <w:rsid w:val="00074BBA"/>
    <w:rsid w:val="000761B3"/>
    <w:rsid w:val="00076261"/>
    <w:rsid w:val="0007630C"/>
    <w:rsid w:val="00076BD5"/>
    <w:rsid w:val="000772DB"/>
    <w:rsid w:val="0008299A"/>
    <w:rsid w:val="00085938"/>
    <w:rsid w:val="00085EEA"/>
    <w:rsid w:val="00086F0C"/>
    <w:rsid w:val="0009178E"/>
    <w:rsid w:val="000934C6"/>
    <w:rsid w:val="00093975"/>
    <w:rsid w:val="000A04C2"/>
    <w:rsid w:val="000A5C26"/>
    <w:rsid w:val="000A7106"/>
    <w:rsid w:val="000A7F70"/>
    <w:rsid w:val="000B1973"/>
    <w:rsid w:val="000C020E"/>
    <w:rsid w:val="000C3F8F"/>
    <w:rsid w:val="000C4E1B"/>
    <w:rsid w:val="000D2B7C"/>
    <w:rsid w:val="000D5FE9"/>
    <w:rsid w:val="000D666F"/>
    <w:rsid w:val="000D72F9"/>
    <w:rsid w:val="000E2846"/>
    <w:rsid w:val="000E4668"/>
    <w:rsid w:val="000E50E0"/>
    <w:rsid w:val="000E7BA6"/>
    <w:rsid w:val="000F2F32"/>
    <w:rsid w:val="000F59FD"/>
    <w:rsid w:val="001016DB"/>
    <w:rsid w:val="001030B4"/>
    <w:rsid w:val="00103124"/>
    <w:rsid w:val="0010572C"/>
    <w:rsid w:val="00110660"/>
    <w:rsid w:val="00111F6C"/>
    <w:rsid w:val="00112D52"/>
    <w:rsid w:val="00114EE5"/>
    <w:rsid w:val="00115627"/>
    <w:rsid w:val="00115700"/>
    <w:rsid w:val="00117821"/>
    <w:rsid w:val="00120202"/>
    <w:rsid w:val="00120460"/>
    <w:rsid w:val="001228C5"/>
    <w:rsid w:val="0012420B"/>
    <w:rsid w:val="00126AAD"/>
    <w:rsid w:val="00127678"/>
    <w:rsid w:val="0013082A"/>
    <w:rsid w:val="00132EF4"/>
    <w:rsid w:val="001413DB"/>
    <w:rsid w:val="0014247C"/>
    <w:rsid w:val="00142F2B"/>
    <w:rsid w:val="00147FB5"/>
    <w:rsid w:val="00155FDE"/>
    <w:rsid w:val="00176227"/>
    <w:rsid w:val="0018127C"/>
    <w:rsid w:val="001813C5"/>
    <w:rsid w:val="00182836"/>
    <w:rsid w:val="0018462D"/>
    <w:rsid w:val="00184EC5"/>
    <w:rsid w:val="00187DBB"/>
    <w:rsid w:val="00190DCA"/>
    <w:rsid w:val="00194DAD"/>
    <w:rsid w:val="001956C8"/>
    <w:rsid w:val="001971A6"/>
    <w:rsid w:val="001A4265"/>
    <w:rsid w:val="001A55FC"/>
    <w:rsid w:val="001A7271"/>
    <w:rsid w:val="001B038F"/>
    <w:rsid w:val="001C1E08"/>
    <w:rsid w:val="001C2EF3"/>
    <w:rsid w:val="001D132D"/>
    <w:rsid w:val="001D3D81"/>
    <w:rsid w:val="001F25E2"/>
    <w:rsid w:val="001F45FD"/>
    <w:rsid w:val="0020319D"/>
    <w:rsid w:val="0020323E"/>
    <w:rsid w:val="00204B7B"/>
    <w:rsid w:val="00206AAB"/>
    <w:rsid w:val="002116EF"/>
    <w:rsid w:val="002120DB"/>
    <w:rsid w:val="00214F5D"/>
    <w:rsid w:val="00216D3F"/>
    <w:rsid w:val="002232AD"/>
    <w:rsid w:val="002233A9"/>
    <w:rsid w:val="0023730A"/>
    <w:rsid w:val="00240263"/>
    <w:rsid w:val="00240651"/>
    <w:rsid w:val="0024527D"/>
    <w:rsid w:val="00246EB7"/>
    <w:rsid w:val="002479ED"/>
    <w:rsid w:val="002518E3"/>
    <w:rsid w:val="00251CCC"/>
    <w:rsid w:val="002551FE"/>
    <w:rsid w:val="00255BD0"/>
    <w:rsid w:val="002571C1"/>
    <w:rsid w:val="00257344"/>
    <w:rsid w:val="0027041D"/>
    <w:rsid w:val="0027099F"/>
    <w:rsid w:val="00275CA4"/>
    <w:rsid w:val="00280BED"/>
    <w:rsid w:val="00286EC8"/>
    <w:rsid w:val="00287AE2"/>
    <w:rsid w:val="00287DD8"/>
    <w:rsid w:val="00291D64"/>
    <w:rsid w:val="00296B0D"/>
    <w:rsid w:val="002970D1"/>
    <w:rsid w:val="00297F37"/>
    <w:rsid w:val="002A7472"/>
    <w:rsid w:val="002B0D9C"/>
    <w:rsid w:val="002B25A7"/>
    <w:rsid w:val="002B3247"/>
    <w:rsid w:val="002B36B5"/>
    <w:rsid w:val="002B3A73"/>
    <w:rsid w:val="002B424A"/>
    <w:rsid w:val="002B543F"/>
    <w:rsid w:val="002B5754"/>
    <w:rsid w:val="002C17F2"/>
    <w:rsid w:val="002C47E6"/>
    <w:rsid w:val="002C5862"/>
    <w:rsid w:val="002C6F1F"/>
    <w:rsid w:val="002D4CA2"/>
    <w:rsid w:val="002D554D"/>
    <w:rsid w:val="002D7626"/>
    <w:rsid w:val="002E7579"/>
    <w:rsid w:val="002F3592"/>
    <w:rsid w:val="002F574F"/>
    <w:rsid w:val="002F7BE2"/>
    <w:rsid w:val="00301A01"/>
    <w:rsid w:val="00305DF7"/>
    <w:rsid w:val="00317EB2"/>
    <w:rsid w:val="00320B0F"/>
    <w:rsid w:val="003228C2"/>
    <w:rsid w:val="00325F21"/>
    <w:rsid w:val="00330852"/>
    <w:rsid w:val="00330BDF"/>
    <w:rsid w:val="003348DB"/>
    <w:rsid w:val="003348F1"/>
    <w:rsid w:val="00335122"/>
    <w:rsid w:val="003369C5"/>
    <w:rsid w:val="00336B0A"/>
    <w:rsid w:val="00337E7F"/>
    <w:rsid w:val="00341A27"/>
    <w:rsid w:val="00344873"/>
    <w:rsid w:val="003449E0"/>
    <w:rsid w:val="00345E78"/>
    <w:rsid w:val="00346731"/>
    <w:rsid w:val="00350282"/>
    <w:rsid w:val="00351983"/>
    <w:rsid w:val="00352E99"/>
    <w:rsid w:val="003558D4"/>
    <w:rsid w:val="003606BE"/>
    <w:rsid w:val="00361008"/>
    <w:rsid w:val="00363FDF"/>
    <w:rsid w:val="00367021"/>
    <w:rsid w:val="00367C8B"/>
    <w:rsid w:val="00375644"/>
    <w:rsid w:val="00380D7E"/>
    <w:rsid w:val="00383C85"/>
    <w:rsid w:val="00385ED8"/>
    <w:rsid w:val="00390D69"/>
    <w:rsid w:val="00391BC2"/>
    <w:rsid w:val="003966EC"/>
    <w:rsid w:val="003A06EF"/>
    <w:rsid w:val="003A1502"/>
    <w:rsid w:val="003A2362"/>
    <w:rsid w:val="003A32E0"/>
    <w:rsid w:val="003A3AA0"/>
    <w:rsid w:val="003B1C54"/>
    <w:rsid w:val="003B39FC"/>
    <w:rsid w:val="003B3ACF"/>
    <w:rsid w:val="003B596F"/>
    <w:rsid w:val="003B764B"/>
    <w:rsid w:val="003C3DA6"/>
    <w:rsid w:val="003D100E"/>
    <w:rsid w:val="003D46F3"/>
    <w:rsid w:val="003D4C7B"/>
    <w:rsid w:val="003D5CEE"/>
    <w:rsid w:val="003D7E8C"/>
    <w:rsid w:val="003D7FA0"/>
    <w:rsid w:val="003E0766"/>
    <w:rsid w:val="003E19FE"/>
    <w:rsid w:val="003E4EDF"/>
    <w:rsid w:val="003E5C5E"/>
    <w:rsid w:val="003E6B3B"/>
    <w:rsid w:val="003E7A70"/>
    <w:rsid w:val="003E7C96"/>
    <w:rsid w:val="003F1588"/>
    <w:rsid w:val="003F279F"/>
    <w:rsid w:val="0040170B"/>
    <w:rsid w:val="00403ADE"/>
    <w:rsid w:val="004112DD"/>
    <w:rsid w:val="004131DA"/>
    <w:rsid w:val="004141EB"/>
    <w:rsid w:val="00415C22"/>
    <w:rsid w:val="00415F9E"/>
    <w:rsid w:val="00417F90"/>
    <w:rsid w:val="004204BA"/>
    <w:rsid w:val="0042156C"/>
    <w:rsid w:val="00426084"/>
    <w:rsid w:val="004274A7"/>
    <w:rsid w:val="00432428"/>
    <w:rsid w:val="00433E25"/>
    <w:rsid w:val="004345C7"/>
    <w:rsid w:val="0043671B"/>
    <w:rsid w:val="004368B5"/>
    <w:rsid w:val="00436BA7"/>
    <w:rsid w:val="00436EAF"/>
    <w:rsid w:val="004400FE"/>
    <w:rsid w:val="00442F2C"/>
    <w:rsid w:val="00443522"/>
    <w:rsid w:val="0044406B"/>
    <w:rsid w:val="00445768"/>
    <w:rsid w:val="004505A7"/>
    <w:rsid w:val="0045266D"/>
    <w:rsid w:val="0045475E"/>
    <w:rsid w:val="00454EC1"/>
    <w:rsid w:val="00456BF5"/>
    <w:rsid w:val="00456D54"/>
    <w:rsid w:val="00457047"/>
    <w:rsid w:val="004608E5"/>
    <w:rsid w:val="00461212"/>
    <w:rsid w:val="00461AF7"/>
    <w:rsid w:val="004658E2"/>
    <w:rsid w:val="00471FDD"/>
    <w:rsid w:val="00474D94"/>
    <w:rsid w:val="00475A7B"/>
    <w:rsid w:val="0048314E"/>
    <w:rsid w:val="00485C67"/>
    <w:rsid w:val="004873E9"/>
    <w:rsid w:val="004911EC"/>
    <w:rsid w:val="00491566"/>
    <w:rsid w:val="004A39C2"/>
    <w:rsid w:val="004A39E3"/>
    <w:rsid w:val="004A3F2A"/>
    <w:rsid w:val="004A4923"/>
    <w:rsid w:val="004A4FDB"/>
    <w:rsid w:val="004A5159"/>
    <w:rsid w:val="004A7700"/>
    <w:rsid w:val="004B34CB"/>
    <w:rsid w:val="004B40BE"/>
    <w:rsid w:val="004B606B"/>
    <w:rsid w:val="004C240F"/>
    <w:rsid w:val="004C370F"/>
    <w:rsid w:val="004C4424"/>
    <w:rsid w:val="004C52C6"/>
    <w:rsid w:val="004D19BB"/>
    <w:rsid w:val="004D4513"/>
    <w:rsid w:val="004D5FEF"/>
    <w:rsid w:val="004D6077"/>
    <w:rsid w:val="004D61E0"/>
    <w:rsid w:val="004D6395"/>
    <w:rsid w:val="004E0850"/>
    <w:rsid w:val="004E33F9"/>
    <w:rsid w:val="004E3581"/>
    <w:rsid w:val="004E63C9"/>
    <w:rsid w:val="004E7B19"/>
    <w:rsid w:val="004F0B05"/>
    <w:rsid w:val="004F0FC4"/>
    <w:rsid w:val="004F21DB"/>
    <w:rsid w:val="004F2B44"/>
    <w:rsid w:val="004F33D8"/>
    <w:rsid w:val="004F378A"/>
    <w:rsid w:val="004F39C3"/>
    <w:rsid w:val="004F552C"/>
    <w:rsid w:val="00501E52"/>
    <w:rsid w:val="00502A03"/>
    <w:rsid w:val="005035E5"/>
    <w:rsid w:val="0050475B"/>
    <w:rsid w:val="00505769"/>
    <w:rsid w:val="005111A6"/>
    <w:rsid w:val="00515661"/>
    <w:rsid w:val="00516746"/>
    <w:rsid w:val="00517C80"/>
    <w:rsid w:val="00520D4C"/>
    <w:rsid w:val="0052225D"/>
    <w:rsid w:val="00523577"/>
    <w:rsid w:val="00526CEC"/>
    <w:rsid w:val="00530E8B"/>
    <w:rsid w:val="0053136A"/>
    <w:rsid w:val="00534C20"/>
    <w:rsid w:val="0053516B"/>
    <w:rsid w:val="00555614"/>
    <w:rsid w:val="00557D39"/>
    <w:rsid w:val="00557E89"/>
    <w:rsid w:val="005608A8"/>
    <w:rsid w:val="00561085"/>
    <w:rsid w:val="00563857"/>
    <w:rsid w:val="005652E1"/>
    <w:rsid w:val="005674D8"/>
    <w:rsid w:val="00572F01"/>
    <w:rsid w:val="00573260"/>
    <w:rsid w:val="005736A9"/>
    <w:rsid w:val="0057395A"/>
    <w:rsid w:val="00573977"/>
    <w:rsid w:val="0058302C"/>
    <w:rsid w:val="0058385D"/>
    <w:rsid w:val="00584411"/>
    <w:rsid w:val="00586B92"/>
    <w:rsid w:val="00586BC6"/>
    <w:rsid w:val="00594F13"/>
    <w:rsid w:val="005A072C"/>
    <w:rsid w:val="005B27A1"/>
    <w:rsid w:val="005B45A2"/>
    <w:rsid w:val="005B4E9C"/>
    <w:rsid w:val="005B6083"/>
    <w:rsid w:val="005B62B5"/>
    <w:rsid w:val="005C0082"/>
    <w:rsid w:val="005C401D"/>
    <w:rsid w:val="005C441A"/>
    <w:rsid w:val="005C4F1B"/>
    <w:rsid w:val="005C55B1"/>
    <w:rsid w:val="005C6423"/>
    <w:rsid w:val="005D0BFF"/>
    <w:rsid w:val="005D1C59"/>
    <w:rsid w:val="005D2CDC"/>
    <w:rsid w:val="005D39B0"/>
    <w:rsid w:val="005D4BF4"/>
    <w:rsid w:val="005E3901"/>
    <w:rsid w:val="005E6175"/>
    <w:rsid w:val="005F21A4"/>
    <w:rsid w:val="005F2390"/>
    <w:rsid w:val="005F2D2D"/>
    <w:rsid w:val="005F3158"/>
    <w:rsid w:val="005F3586"/>
    <w:rsid w:val="005F3631"/>
    <w:rsid w:val="005F4EC2"/>
    <w:rsid w:val="00600698"/>
    <w:rsid w:val="006023C5"/>
    <w:rsid w:val="00605E69"/>
    <w:rsid w:val="006100A7"/>
    <w:rsid w:val="0061178A"/>
    <w:rsid w:val="00620551"/>
    <w:rsid w:val="00620565"/>
    <w:rsid w:val="0062137C"/>
    <w:rsid w:val="00622DCD"/>
    <w:rsid w:val="00623866"/>
    <w:rsid w:val="00623DC5"/>
    <w:rsid w:val="0063198E"/>
    <w:rsid w:val="00636609"/>
    <w:rsid w:val="00636B08"/>
    <w:rsid w:val="00637979"/>
    <w:rsid w:val="00647A3B"/>
    <w:rsid w:val="00650D3C"/>
    <w:rsid w:val="006514FD"/>
    <w:rsid w:val="00654735"/>
    <w:rsid w:val="00660D42"/>
    <w:rsid w:val="00660D50"/>
    <w:rsid w:val="00667800"/>
    <w:rsid w:val="0067045E"/>
    <w:rsid w:val="006707DB"/>
    <w:rsid w:val="00674424"/>
    <w:rsid w:val="00677BFB"/>
    <w:rsid w:val="00680D09"/>
    <w:rsid w:val="00684229"/>
    <w:rsid w:val="00686C10"/>
    <w:rsid w:val="00691066"/>
    <w:rsid w:val="00693674"/>
    <w:rsid w:val="006943FB"/>
    <w:rsid w:val="00694999"/>
    <w:rsid w:val="006A090C"/>
    <w:rsid w:val="006A1A95"/>
    <w:rsid w:val="006A218A"/>
    <w:rsid w:val="006A7948"/>
    <w:rsid w:val="006A7BAB"/>
    <w:rsid w:val="006A7D08"/>
    <w:rsid w:val="006B06D5"/>
    <w:rsid w:val="006B1214"/>
    <w:rsid w:val="006B5462"/>
    <w:rsid w:val="006B7D87"/>
    <w:rsid w:val="006C2BEC"/>
    <w:rsid w:val="006C523C"/>
    <w:rsid w:val="006C6545"/>
    <w:rsid w:val="006D07EA"/>
    <w:rsid w:val="006D37D4"/>
    <w:rsid w:val="006D7996"/>
    <w:rsid w:val="006D7F0D"/>
    <w:rsid w:val="006E228D"/>
    <w:rsid w:val="006F1140"/>
    <w:rsid w:val="006F3136"/>
    <w:rsid w:val="00704370"/>
    <w:rsid w:val="00704AA0"/>
    <w:rsid w:val="007074CE"/>
    <w:rsid w:val="00707B6D"/>
    <w:rsid w:val="00712C2F"/>
    <w:rsid w:val="00712FA2"/>
    <w:rsid w:val="00713328"/>
    <w:rsid w:val="0071491D"/>
    <w:rsid w:val="00723F01"/>
    <w:rsid w:val="0072414A"/>
    <w:rsid w:val="007407E3"/>
    <w:rsid w:val="0074098B"/>
    <w:rsid w:val="00740DC9"/>
    <w:rsid w:val="007428B3"/>
    <w:rsid w:val="007457FE"/>
    <w:rsid w:val="0074622A"/>
    <w:rsid w:val="007523C0"/>
    <w:rsid w:val="0075469B"/>
    <w:rsid w:val="0075523F"/>
    <w:rsid w:val="00756567"/>
    <w:rsid w:val="0076184F"/>
    <w:rsid w:val="00765353"/>
    <w:rsid w:val="00767446"/>
    <w:rsid w:val="00774061"/>
    <w:rsid w:val="0077589C"/>
    <w:rsid w:val="00776926"/>
    <w:rsid w:val="00783DA9"/>
    <w:rsid w:val="00784AF3"/>
    <w:rsid w:val="00785EE2"/>
    <w:rsid w:val="0078665F"/>
    <w:rsid w:val="00786711"/>
    <w:rsid w:val="00787AF0"/>
    <w:rsid w:val="00792A02"/>
    <w:rsid w:val="0079647A"/>
    <w:rsid w:val="007972BD"/>
    <w:rsid w:val="007A362C"/>
    <w:rsid w:val="007A44AD"/>
    <w:rsid w:val="007B34DC"/>
    <w:rsid w:val="007B54F8"/>
    <w:rsid w:val="007B5964"/>
    <w:rsid w:val="007B64E3"/>
    <w:rsid w:val="007C2BE3"/>
    <w:rsid w:val="007C419F"/>
    <w:rsid w:val="007D0677"/>
    <w:rsid w:val="007D162C"/>
    <w:rsid w:val="007D2AD9"/>
    <w:rsid w:val="007D4E94"/>
    <w:rsid w:val="007D6E6A"/>
    <w:rsid w:val="007D702A"/>
    <w:rsid w:val="007D7AB6"/>
    <w:rsid w:val="007E0811"/>
    <w:rsid w:val="007E088B"/>
    <w:rsid w:val="007E115B"/>
    <w:rsid w:val="007E2C75"/>
    <w:rsid w:val="007F2A35"/>
    <w:rsid w:val="007F44A0"/>
    <w:rsid w:val="00802451"/>
    <w:rsid w:val="00803503"/>
    <w:rsid w:val="00805502"/>
    <w:rsid w:val="0080631B"/>
    <w:rsid w:val="00807655"/>
    <w:rsid w:val="00807940"/>
    <w:rsid w:val="00810E8C"/>
    <w:rsid w:val="00811FAB"/>
    <w:rsid w:val="008200FF"/>
    <w:rsid w:val="00822356"/>
    <w:rsid w:val="00823326"/>
    <w:rsid w:val="00827FA3"/>
    <w:rsid w:val="0083029E"/>
    <w:rsid w:val="008367E2"/>
    <w:rsid w:val="0084203C"/>
    <w:rsid w:val="00851BB4"/>
    <w:rsid w:val="008537DE"/>
    <w:rsid w:val="00854940"/>
    <w:rsid w:val="00856740"/>
    <w:rsid w:val="00863558"/>
    <w:rsid w:val="00863818"/>
    <w:rsid w:val="008657CD"/>
    <w:rsid w:val="008710D7"/>
    <w:rsid w:val="0087243A"/>
    <w:rsid w:val="00875B51"/>
    <w:rsid w:val="00882D70"/>
    <w:rsid w:val="008848B1"/>
    <w:rsid w:val="00885F19"/>
    <w:rsid w:val="00890F6F"/>
    <w:rsid w:val="00896B30"/>
    <w:rsid w:val="00896CAE"/>
    <w:rsid w:val="00897576"/>
    <w:rsid w:val="008A001B"/>
    <w:rsid w:val="008A241D"/>
    <w:rsid w:val="008A2603"/>
    <w:rsid w:val="008A7CE1"/>
    <w:rsid w:val="008B1F7F"/>
    <w:rsid w:val="008B7E7E"/>
    <w:rsid w:val="008C1692"/>
    <w:rsid w:val="008C18A5"/>
    <w:rsid w:val="008C58D0"/>
    <w:rsid w:val="008C594D"/>
    <w:rsid w:val="008C5FD0"/>
    <w:rsid w:val="008D286F"/>
    <w:rsid w:val="008D58B6"/>
    <w:rsid w:val="008D68E8"/>
    <w:rsid w:val="008D7ACB"/>
    <w:rsid w:val="008D7B40"/>
    <w:rsid w:val="008E05E7"/>
    <w:rsid w:val="008E1B91"/>
    <w:rsid w:val="008E4C36"/>
    <w:rsid w:val="008E52BF"/>
    <w:rsid w:val="008E638F"/>
    <w:rsid w:val="009008FD"/>
    <w:rsid w:val="00902690"/>
    <w:rsid w:val="00903EFE"/>
    <w:rsid w:val="00905CF4"/>
    <w:rsid w:val="00906F65"/>
    <w:rsid w:val="00910EBE"/>
    <w:rsid w:val="00912FC0"/>
    <w:rsid w:val="009233A4"/>
    <w:rsid w:val="00924A4F"/>
    <w:rsid w:val="00930144"/>
    <w:rsid w:val="009315CE"/>
    <w:rsid w:val="0093652B"/>
    <w:rsid w:val="00936886"/>
    <w:rsid w:val="00940D64"/>
    <w:rsid w:val="00940E73"/>
    <w:rsid w:val="009438FD"/>
    <w:rsid w:val="009451A6"/>
    <w:rsid w:val="009512E8"/>
    <w:rsid w:val="009527CB"/>
    <w:rsid w:val="0095350C"/>
    <w:rsid w:val="009553FD"/>
    <w:rsid w:val="00961BAD"/>
    <w:rsid w:val="009639D0"/>
    <w:rsid w:val="00974CFE"/>
    <w:rsid w:val="009778EE"/>
    <w:rsid w:val="00980530"/>
    <w:rsid w:val="00980E5F"/>
    <w:rsid w:val="00991D62"/>
    <w:rsid w:val="009937D6"/>
    <w:rsid w:val="00994C45"/>
    <w:rsid w:val="009A028E"/>
    <w:rsid w:val="009A24B4"/>
    <w:rsid w:val="009A561C"/>
    <w:rsid w:val="009B060C"/>
    <w:rsid w:val="009B1321"/>
    <w:rsid w:val="009B1AFA"/>
    <w:rsid w:val="009B1DE5"/>
    <w:rsid w:val="009B3D4E"/>
    <w:rsid w:val="009B7DEA"/>
    <w:rsid w:val="009C20B7"/>
    <w:rsid w:val="009C43E0"/>
    <w:rsid w:val="009C4ED1"/>
    <w:rsid w:val="009D1392"/>
    <w:rsid w:val="009D2D6B"/>
    <w:rsid w:val="009D46DE"/>
    <w:rsid w:val="009E06D4"/>
    <w:rsid w:val="009E1250"/>
    <w:rsid w:val="009E2DFF"/>
    <w:rsid w:val="009E3B65"/>
    <w:rsid w:val="009E49C7"/>
    <w:rsid w:val="009E6D4B"/>
    <w:rsid w:val="009E729B"/>
    <w:rsid w:val="00A021F0"/>
    <w:rsid w:val="00A03455"/>
    <w:rsid w:val="00A03545"/>
    <w:rsid w:val="00A06693"/>
    <w:rsid w:val="00A07BA7"/>
    <w:rsid w:val="00A14C99"/>
    <w:rsid w:val="00A17302"/>
    <w:rsid w:val="00A173BD"/>
    <w:rsid w:val="00A20E28"/>
    <w:rsid w:val="00A22263"/>
    <w:rsid w:val="00A33BA2"/>
    <w:rsid w:val="00A41A1C"/>
    <w:rsid w:val="00A42C40"/>
    <w:rsid w:val="00A4364B"/>
    <w:rsid w:val="00A45B1C"/>
    <w:rsid w:val="00A53255"/>
    <w:rsid w:val="00A55068"/>
    <w:rsid w:val="00A55677"/>
    <w:rsid w:val="00A632F0"/>
    <w:rsid w:val="00A64D54"/>
    <w:rsid w:val="00A664C0"/>
    <w:rsid w:val="00A67AC8"/>
    <w:rsid w:val="00A7016F"/>
    <w:rsid w:val="00A7118F"/>
    <w:rsid w:val="00A7137E"/>
    <w:rsid w:val="00A71891"/>
    <w:rsid w:val="00A76E02"/>
    <w:rsid w:val="00A827B5"/>
    <w:rsid w:val="00A83F74"/>
    <w:rsid w:val="00A863B4"/>
    <w:rsid w:val="00A86D56"/>
    <w:rsid w:val="00A8730F"/>
    <w:rsid w:val="00A9042D"/>
    <w:rsid w:val="00A91720"/>
    <w:rsid w:val="00A9187E"/>
    <w:rsid w:val="00A97AE6"/>
    <w:rsid w:val="00AA31BF"/>
    <w:rsid w:val="00AA36BD"/>
    <w:rsid w:val="00AA6674"/>
    <w:rsid w:val="00AA7201"/>
    <w:rsid w:val="00AB0921"/>
    <w:rsid w:val="00AB108A"/>
    <w:rsid w:val="00AB59D4"/>
    <w:rsid w:val="00AC0CE1"/>
    <w:rsid w:val="00AC1168"/>
    <w:rsid w:val="00AC24FA"/>
    <w:rsid w:val="00AC76C3"/>
    <w:rsid w:val="00AD0EF1"/>
    <w:rsid w:val="00AD1977"/>
    <w:rsid w:val="00AD443E"/>
    <w:rsid w:val="00AE3ED4"/>
    <w:rsid w:val="00AE5D18"/>
    <w:rsid w:val="00AE713F"/>
    <w:rsid w:val="00AF1A70"/>
    <w:rsid w:val="00AF6B93"/>
    <w:rsid w:val="00B01C7A"/>
    <w:rsid w:val="00B02EA2"/>
    <w:rsid w:val="00B036F8"/>
    <w:rsid w:val="00B07D60"/>
    <w:rsid w:val="00B13003"/>
    <w:rsid w:val="00B259BC"/>
    <w:rsid w:val="00B2708C"/>
    <w:rsid w:val="00B271E5"/>
    <w:rsid w:val="00B33110"/>
    <w:rsid w:val="00B36816"/>
    <w:rsid w:val="00B40C83"/>
    <w:rsid w:val="00B42A4E"/>
    <w:rsid w:val="00B46331"/>
    <w:rsid w:val="00B47C88"/>
    <w:rsid w:val="00B505EE"/>
    <w:rsid w:val="00B510F9"/>
    <w:rsid w:val="00B55C38"/>
    <w:rsid w:val="00B60CA0"/>
    <w:rsid w:val="00B6254A"/>
    <w:rsid w:val="00B6285B"/>
    <w:rsid w:val="00B6486A"/>
    <w:rsid w:val="00B65DE8"/>
    <w:rsid w:val="00B708E3"/>
    <w:rsid w:val="00B7116E"/>
    <w:rsid w:val="00B73B57"/>
    <w:rsid w:val="00B74C1A"/>
    <w:rsid w:val="00B75558"/>
    <w:rsid w:val="00B768B4"/>
    <w:rsid w:val="00B812EF"/>
    <w:rsid w:val="00B817B3"/>
    <w:rsid w:val="00B81945"/>
    <w:rsid w:val="00B8340F"/>
    <w:rsid w:val="00B84C81"/>
    <w:rsid w:val="00B868B3"/>
    <w:rsid w:val="00B86E1B"/>
    <w:rsid w:val="00B90DF8"/>
    <w:rsid w:val="00B9358C"/>
    <w:rsid w:val="00B9380C"/>
    <w:rsid w:val="00B94C47"/>
    <w:rsid w:val="00BA03F3"/>
    <w:rsid w:val="00BA1338"/>
    <w:rsid w:val="00BA2F03"/>
    <w:rsid w:val="00BA750B"/>
    <w:rsid w:val="00BA7F13"/>
    <w:rsid w:val="00BB09E2"/>
    <w:rsid w:val="00BB1B34"/>
    <w:rsid w:val="00BB5F83"/>
    <w:rsid w:val="00BC188C"/>
    <w:rsid w:val="00BC4830"/>
    <w:rsid w:val="00BC53D0"/>
    <w:rsid w:val="00BD0E09"/>
    <w:rsid w:val="00BD2058"/>
    <w:rsid w:val="00BD35DA"/>
    <w:rsid w:val="00BD3ABF"/>
    <w:rsid w:val="00BD464B"/>
    <w:rsid w:val="00BD4961"/>
    <w:rsid w:val="00BD506E"/>
    <w:rsid w:val="00BD794A"/>
    <w:rsid w:val="00BE0F82"/>
    <w:rsid w:val="00BE14F7"/>
    <w:rsid w:val="00BE33DE"/>
    <w:rsid w:val="00BE4313"/>
    <w:rsid w:val="00BF06A5"/>
    <w:rsid w:val="00BF1B13"/>
    <w:rsid w:val="00BF2764"/>
    <w:rsid w:val="00BF4426"/>
    <w:rsid w:val="00BF720C"/>
    <w:rsid w:val="00BF798A"/>
    <w:rsid w:val="00C031B8"/>
    <w:rsid w:val="00C05829"/>
    <w:rsid w:val="00C078C8"/>
    <w:rsid w:val="00C119EA"/>
    <w:rsid w:val="00C152BA"/>
    <w:rsid w:val="00C1545B"/>
    <w:rsid w:val="00C15654"/>
    <w:rsid w:val="00C16033"/>
    <w:rsid w:val="00C17C3F"/>
    <w:rsid w:val="00C20C63"/>
    <w:rsid w:val="00C22412"/>
    <w:rsid w:val="00C25F9B"/>
    <w:rsid w:val="00C32ABF"/>
    <w:rsid w:val="00C35E77"/>
    <w:rsid w:val="00C36CAA"/>
    <w:rsid w:val="00C37655"/>
    <w:rsid w:val="00C40C27"/>
    <w:rsid w:val="00C460C9"/>
    <w:rsid w:val="00C50909"/>
    <w:rsid w:val="00C50E64"/>
    <w:rsid w:val="00C56BE5"/>
    <w:rsid w:val="00C60587"/>
    <w:rsid w:val="00C61278"/>
    <w:rsid w:val="00C642A4"/>
    <w:rsid w:val="00C67DC4"/>
    <w:rsid w:val="00C70674"/>
    <w:rsid w:val="00C71276"/>
    <w:rsid w:val="00C71708"/>
    <w:rsid w:val="00C72A47"/>
    <w:rsid w:val="00C732B4"/>
    <w:rsid w:val="00C75C9A"/>
    <w:rsid w:val="00C76854"/>
    <w:rsid w:val="00C822EB"/>
    <w:rsid w:val="00C85BA2"/>
    <w:rsid w:val="00C863F7"/>
    <w:rsid w:val="00C865BB"/>
    <w:rsid w:val="00C90B4B"/>
    <w:rsid w:val="00C9279E"/>
    <w:rsid w:val="00C92C9D"/>
    <w:rsid w:val="00C93850"/>
    <w:rsid w:val="00C94DEF"/>
    <w:rsid w:val="00C95F59"/>
    <w:rsid w:val="00CA0E38"/>
    <w:rsid w:val="00CA1645"/>
    <w:rsid w:val="00CA4999"/>
    <w:rsid w:val="00CA581B"/>
    <w:rsid w:val="00CA60E7"/>
    <w:rsid w:val="00CA67E4"/>
    <w:rsid w:val="00CB5695"/>
    <w:rsid w:val="00CC03EB"/>
    <w:rsid w:val="00CC2E3D"/>
    <w:rsid w:val="00CC32A2"/>
    <w:rsid w:val="00CC5976"/>
    <w:rsid w:val="00CD0725"/>
    <w:rsid w:val="00CD4E66"/>
    <w:rsid w:val="00CD58EE"/>
    <w:rsid w:val="00CD65B1"/>
    <w:rsid w:val="00CD707F"/>
    <w:rsid w:val="00CE00C3"/>
    <w:rsid w:val="00CE1480"/>
    <w:rsid w:val="00CE4444"/>
    <w:rsid w:val="00CE51F5"/>
    <w:rsid w:val="00CF0580"/>
    <w:rsid w:val="00CF3E71"/>
    <w:rsid w:val="00CF43DF"/>
    <w:rsid w:val="00CF5A3A"/>
    <w:rsid w:val="00CF643D"/>
    <w:rsid w:val="00D01971"/>
    <w:rsid w:val="00D0302E"/>
    <w:rsid w:val="00D03D77"/>
    <w:rsid w:val="00D07752"/>
    <w:rsid w:val="00D12717"/>
    <w:rsid w:val="00D21048"/>
    <w:rsid w:val="00D25B21"/>
    <w:rsid w:val="00D26FD4"/>
    <w:rsid w:val="00D273B3"/>
    <w:rsid w:val="00D31BB8"/>
    <w:rsid w:val="00D33992"/>
    <w:rsid w:val="00D37402"/>
    <w:rsid w:val="00D377C6"/>
    <w:rsid w:val="00D425A0"/>
    <w:rsid w:val="00D42D2E"/>
    <w:rsid w:val="00D437B2"/>
    <w:rsid w:val="00D50925"/>
    <w:rsid w:val="00D50F82"/>
    <w:rsid w:val="00D534C5"/>
    <w:rsid w:val="00D54431"/>
    <w:rsid w:val="00D55787"/>
    <w:rsid w:val="00D60884"/>
    <w:rsid w:val="00D610B6"/>
    <w:rsid w:val="00D67198"/>
    <w:rsid w:val="00D70E63"/>
    <w:rsid w:val="00D7452D"/>
    <w:rsid w:val="00D748CF"/>
    <w:rsid w:val="00D75AD9"/>
    <w:rsid w:val="00D75EF1"/>
    <w:rsid w:val="00D86014"/>
    <w:rsid w:val="00D90635"/>
    <w:rsid w:val="00D929E0"/>
    <w:rsid w:val="00D97B12"/>
    <w:rsid w:val="00DA228D"/>
    <w:rsid w:val="00DA2F56"/>
    <w:rsid w:val="00DB1704"/>
    <w:rsid w:val="00DB1ED5"/>
    <w:rsid w:val="00DB218E"/>
    <w:rsid w:val="00DB45E8"/>
    <w:rsid w:val="00DB6E9F"/>
    <w:rsid w:val="00DC0D1D"/>
    <w:rsid w:val="00DC1FD4"/>
    <w:rsid w:val="00DC240F"/>
    <w:rsid w:val="00DC2A4A"/>
    <w:rsid w:val="00DC2B94"/>
    <w:rsid w:val="00DC53E9"/>
    <w:rsid w:val="00DC70BD"/>
    <w:rsid w:val="00DC76CA"/>
    <w:rsid w:val="00DD0D2C"/>
    <w:rsid w:val="00DD18D5"/>
    <w:rsid w:val="00DD49E9"/>
    <w:rsid w:val="00DD7E68"/>
    <w:rsid w:val="00DE7036"/>
    <w:rsid w:val="00DF18E9"/>
    <w:rsid w:val="00DF7446"/>
    <w:rsid w:val="00E04638"/>
    <w:rsid w:val="00E0758F"/>
    <w:rsid w:val="00E10E31"/>
    <w:rsid w:val="00E11044"/>
    <w:rsid w:val="00E13696"/>
    <w:rsid w:val="00E15FB7"/>
    <w:rsid w:val="00E205A6"/>
    <w:rsid w:val="00E31B80"/>
    <w:rsid w:val="00E337F3"/>
    <w:rsid w:val="00E41D4A"/>
    <w:rsid w:val="00E435BF"/>
    <w:rsid w:val="00E451A7"/>
    <w:rsid w:val="00E45DC5"/>
    <w:rsid w:val="00E46ABB"/>
    <w:rsid w:val="00E4767F"/>
    <w:rsid w:val="00E505A8"/>
    <w:rsid w:val="00E53806"/>
    <w:rsid w:val="00E5490A"/>
    <w:rsid w:val="00E55A48"/>
    <w:rsid w:val="00E56296"/>
    <w:rsid w:val="00E66FC9"/>
    <w:rsid w:val="00E67525"/>
    <w:rsid w:val="00E708CB"/>
    <w:rsid w:val="00E736FD"/>
    <w:rsid w:val="00E750D5"/>
    <w:rsid w:val="00E774FB"/>
    <w:rsid w:val="00E8415F"/>
    <w:rsid w:val="00E84A47"/>
    <w:rsid w:val="00E858EA"/>
    <w:rsid w:val="00E85F2E"/>
    <w:rsid w:val="00E9424E"/>
    <w:rsid w:val="00E945FD"/>
    <w:rsid w:val="00E9489B"/>
    <w:rsid w:val="00E97391"/>
    <w:rsid w:val="00EA3B20"/>
    <w:rsid w:val="00EB039B"/>
    <w:rsid w:val="00EB5289"/>
    <w:rsid w:val="00EB5F4D"/>
    <w:rsid w:val="00EB75C8"/>
    <w:rsid w:val="00EC0302"/>
    <w:rsid w:val="00EC04A4"/>
    <w:rsid w:val="00EC10DB"/>
    <w:rsid w:val="00EC7A3C"/>
    <w:rsid w:val="00ED1AA2"/>
    <w:rsid w:val="00ED2924"/>
    <w:rsid w:val="00EE02A4"/>
    <w:rsid w:val="00EE5217"/>
    <w:rsid w:val="00EE7285"/>
    <w:rsid w:val="00EF5998"/>
    <w:rsid w:val="00EF74DA"/>
    <w:rsid w:val="00EF7610"/>
    <w:rsid w:val="00F02C14"/>
    <w:rsid w:val="00F04397"/>
    <w:rsid w:val="00F11769"/>
    <w:rsid w:val="00F148A8"/>
    <w:rsid w:val="00F1742C"/>
    <w:rsid w:val="00F23F09"/>
    <w:rsid w:val="00F259EF"/>
    <w:rsid w:val="00F26605"/>
    <w:rsid w:val="00F277B3"/>
    <w:rsid w:val="00F31265"/>
    <w:rsid w:val="00F321F5"/>
    <w:rsid w:val="00F3231F"/>
    <w:rsid w:val="00F32502"/>
    <w:rsid w:val="00F34521"/>
    <w:rsid w:val="00F363FD"/>
    <w:rsid w:val="00F41B92"/>
    <w:rsid w:val="00F42CC0"/>
    <w:rsid w:val="00F50302"/>
    <w:rsid w:val="00F5081A"/>
    <w:rsid w:val="00F513C3"/>
    <w:rsid w:val="00F565F6"/>
    <w:rsid w:val="00F57A46"/>
    <w:rsid w:val="00F628F7"/>
    <w:rsid w:val="00F62CA0"/>
    <w:rsid w:val="00F70848"/>
    <w:rsid w:val="00F70987"/>
    <w:rsid w:val="00F75E53"/>
    <w:rsid w:val="00F863E0"/>
    <w:rsid w:val="00F9205A"/>
    <w:rsid w:val="00F925FB"/>
    <w:rsid w:val="00F936DE"/>
    <w:rsid w:val="00F9707E"/>
    <w:rsid w:val="00F97451"/>
    <w:rsid w:val="00FA2701"/>
    <w:rsid w:val="00FA2DF3"/>
    <w:rsid w:val="00FA30A8"/>
    <w:rsid w:val="00FA739F"/>
    <w:rsid w:val="00FB0E12"/>
    <w:rsid w:val="00FB2311"/>
    <w:rsid w:val="00FB3118"/>
    <w:rsid w:val="00FB5A15"/>
    <w:rsid w:val="00FB609A"/>
    <w:rsid w:val="00FB7F52"/>
    <w:rsid w:val="00FC0D11"/>
    <w:rsid w:val="00FC1195"/>
    <w:rsid w:val="00FC1AE4"/>
    <w:rsid w:val="00FD10E4"/>
    <w:rsid w:val="00FD6678"/>
    <w:rsid w:val="00FD72DF"/>
    <w:rsid w:val="00FE5431"/>
    <w:rsid w:val="00FF5B4A"/>
    <w:rsid w:val="00FF6967"/>
    <w:rsid w:val="00FF6B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10DB"/>
    <w:pPr>
      <w:bidi/>
      <w:spacing w:before="120" w:after="240" w:line="360" w:lineRule="auto"/>
      <w:jc w:val="both"/>
    </w:pPr>
    <w:rPr>
      <w:sz w:val="24"/>
      <w:szCs w:val="24"/>
      <w:lang w:eastAsia="he-IL"/>
    </w:rPr>
  </w:style>
  <w:style w:type="paragraph" w:styleId="1">
    <w:name w:val="heading 1"/>
    <w:basedOn w:val="a"/>
    <w:next w:val="a"/>
    <w:qFormat/>
    <w:rsid w:val="00EC10DB"/>
    <w:pPr>
      <w:keepNext/>
      <w:jc w:val="left"/>
      <w:outlineLvl w:val="0"/>
    </w:pPr>
    <w:rPr>
      <w:rFonts w:cs="David"/>
      <w:sz w:val="20"/>
      <w:lang w:eastAsia="en-US"/>
    </w:rPr>
  </w:style>
  <w:style w:type="paragraph" w:styleId="2">
    <w:name w:val="heading 2"/>
    <w:basedOn w:val="a"/>
    <w:next w:val="a"/>
    <w:qFormat/>
    <w:rsid w:val="00EC10DB"/>
    <w:pPr>
      <w:keepNext/>
      <w:jc w:val="center"/>
      <w:outlineLvl w:val="1"/>
    </w:pPr>
    <w:rPr>
      <w:rFonts w:cs="David"/>
      <w:sz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C10DB"/>
    <w:pPr>
      <w:tabs>
        <w:tab w:val="center" w:pos="4320"/>
        <w:tab w:val="right" w:pos="8640"/>
      </w:tabs>
    </w:pPr>
  </w:style>
  <w:style w:type="paragraph" w:styleId="a5">
    <w:name w:val="footer"/>
    <w:basedOn w:val="a"/>
    <w:link w:val="a6"/>
    <w:uiPriority w:val="99"/>
    <w:rsid w:val="00EC10DB"/>
    <w:pPr>
      <w:tabs>
        <w:tab w:val="center" w:pos="4320"/>
        <w:tab w:val="right" w:pos="8640"/>
      </w:tabs>
    </w:pPr>
  </w:style>
  <w:style w:type="paragraph" w:styleId="20">
    <w:name w:val="Body Text 2"/>
    <w:basedOn w:val="a"/>
    <w:rsid w:val="00EC10DB"/>
    <w:pPr>
      <w:jc w:val="left"/>
    </w:pPr>
    <w:rPr>
      <w:rFonts w:ascii="Arial" w:hAnsi="Arial" w:cs="Arial"/>
      <w:sz w:val="18"/>
      <w:szCs w:val="18"/>
    </w:rPr>
  </w:style>
  <w:style w:type="paragraph" w:styleId="a7">
    <w:name w:val="Body Text"/>
    <w:basedOn w:val="a"/>
    <w:rsid w:val="00EC10DB"/>
    <w:pPr>
      <w:jc w:val="left"/>
    </w:pPr>
    <w:rPr>
      <w:rFonts w:cs="David"/>
      <w:sz w:val="20"/>
      <w:lang w:eastAsia="en-US"/>
    </w:rPr>
  </w:style>
  <w:style w:type="paragraph" w:customStyle="1" w:styleId="a8">
    <w:name w:val="תבליט"/>
    <w:basedOn w:val="a"/>
    <w:rsid w:val="00EC10DB"/>
    <w:pPr>
      <w:tabs>
        <w:tab w:val="left" w:pos="567"/>
      </w:tabs>
      <w:spacing w:after="120" w:line="360" w:lineRule="atLeast"/>
    </w:pPr>
    <w:rPr>
      <w:rFonts w:cs="David"/>
      <w:sz w:val="20"/>
      <w:lang w:eastAsia="en-US"/>
    </w:rPr>
  </w:style>
  <w:style w:type="character" w:styleId="Hyperlink">
    <w:name w:val="Hyperlink"/>
    <w:rsid w:val="00EC10DB"/>
    <w:rPr>
      <w:color w:val="0000FF"/>
      <w:u w:val="single"/>
    </w:rPr>
  </w:style>
  <w:style w:type="paragraph" w:customStyle="1" w:styleId="BalloonText1">
    <w:name w:val="Balloon Text1"/>
    <w:basedOn w:val="a"/>
    <w:semiHidden/>
    <w:rsid w:val="00EC10DB"/>
    <w:pPr>
      <w:jc w:val="left"/>
    </w:pPr>
    <w:rPr>
      <w:rFonts w:ascii="Tahoma" w:hAnsi="Tahoma" w:cs="Tahoma"/>
      <w:sz w:val="16"/>
      <w:szCs w:val="16"/>
    </w:rPr>
  </w:style>
  <w:style w:type="character" w:styleId="a9">
    <w:name w:val="page number"/>
    <w:basedOn w:val="a0"/>
    <w:rsid w:val="00EC10DB"/>
  </w:style>
  <w:style w:type="paragraph" w:styleId="aa">
    <w:name w:val="footnote text"/>
    <w:basedOn w:val="a"/>
    <w:link w:val="ab"/>
    <w:semiHidden/>
    <w:rsid w:val="00EC10DB"/>
    <w:pPr>
      <w:jc w:val="left"/>
    </w:pPr>
    <w:rPr>
      <w:sz w:val="20"/>
      <w:szCs w:val="20"/>
      <w:lang w:eastAsia="en-US"/>
    </w:rPr>
  </w:style>
  <w:style w:type="character" w:styleId="ac">
    <w:name w:val="footnote reference"/>
    <w:semiHidden/>
    <w:rsid w:val="00EC10DB"/>
    <w:rPr>
      <w:vertAlign w:val="superscript"/>
    </w:rPr>
  </w:style>
  <w:style w:type="paragraph" w:styleId="NormalWeb">
    <w:name w:val="Normal (Web)"/>
    <w:basedOn w:val="a"/>
    <w:uiPriority w:val="99"/>
    <w:rsid w:val="00EC10DB"/>
    <w:pPr>
      <w:bidi w:val="0"/>
      <w:spacing w:before="100" w:beforeAutospacing="1" w:after="100" w:afterAutospacing="1"/>
      <w:jc w:val="left"/>
    </w:pPr>
    <w:rPr>
      <w:rFonts w:eastAsia="MS Mincho"/>
      <w:lang w:eastAsia="ja-JP"/>
    </w:rPr>
  </w:style>
  <w:style w:type="paragraph" w:styleId="ad">
    <w:name w:val="Subtitle"/>
    <w:basedOn w:val="1"/>
    <w:qFormat/>
    <w:rsid w:val="00EC10DB"/>
    <w:rPr>
      <w:b/>
      <w:bCs/>
      <w:sz w:val="28"/>
      <w:szCs w:val="28"/>
      <w:lang w:eastAsia="he-IL"/>
    </w:rPr>
  </w:style>
  <w:style w:type="paragraph" w:styleId="ae">
    <w:name w:val="Body Text Indent"/>
    <w:basedOn w:val="a"/>
    <w:rsid w:val="00EC10DB"/>
    <w:pPr>
      <w:spacing w:after="120"/>
      <w:ind w:left="283"/>
      <w:jc w:val="left"/>
    </w:pPr>
  </w:style>
  <w:style w:type="paragraph" w:customStyle="1" w:styleId="af">
    <w:name w:val="כותרות עמודות"/>
    <w:basedOn w:val="a"/>
    <w:rsid w:val="00EC10DB"/>
    <w:pPr>
      <w:jc w:val="left"/>
    </w:pPr>
    <w:rPr>
      <w:rFonts w:cs="David"/>
      <w:b/>
      <w:bCs/>
      <w:sz w:val="20"/>
      <w:szCs w:val="22"/>
    </w:rPr>
  </w:style>
  <w:style w:type="paragraph" w:customStyle="1" w:styleId="af0">
    <w:name w:val="טקסט מספרים בטבלה"/>
    <w:basedOn w:val="a"/>
    <w:rsid w:val="00EC10DB"/>
    <w:pPr>
      <w:jc w:val="center"/>
    </w:pPr>
    <w:rPr>
      <w:rFonts w:cs="David"/>
      <w:sz w:val="22"/>
      <w:szCs w:val="22"/>
    </w:rPr>
  </w:style>
  <w:style w:type="paragraph" w:customStyle="1" w:styleId="af1">
    <w:name w:val="טקסט"/>
    <w:basedOn w:val="a"/>
    <w:rsid w:val="00EC10DB"/>
    <w:rPr>
      <w:rFonts w:cs="David"/>
    </w:rPr>
  </w:style>
  <w:style w:type="paragraph" w:styleId="af2">
    <w:name w:val="Balloon Text"/>
    <w:basedOn w:val="a"/>
    <w:semiHidden/>
    <w:rsid w:val="00C70674"/>
    <w:rPr>
      <w:rFonts w:ascii="Tahoma" w:hAnsi="Tahoma" w:cs="Tahoma"/>
      <w:sz w:val="16"/>
      <w:szCs w:val="16"/>
    </w:rPr>
  </w:style>
  <w:style w:type="character" w:styleId="af3">
    <w:name w:val="annotation reference"/>
    <w:rsid w:val="00CB5695"/>
    <w:rPr>
      <w:sz w:val="16"/>
      <w:szCs w:val="16"/>
    </w:rPr>
  </w:style>
  <w:style w:type="paragraph" w:styleId="af4">
    <w:name w:val="annotation text"/>
    <w:basedOn w:val="a"/>
    <w:link w:val="af5"/>
    <w:rsid w:val="00CB5695"/>
    <w:rPr>
      <w:sz w:val="20"/>
      <w:szCs w:val="20"/>
    </w:rPr>
  </w:style>
  <w:style w:type="character" w:customStyle="1" w:styleId="af5">
    <w:name w:val="טקסט הערה תו"/>
    <w:link w:val="af4"/>
    <w:rsid w:val="00CB5695"/>
    <w:rPr>
      <w:lang w:eastAsia="he-IL"/>
    </w:rPr>
  </w:style>
  <w:style w:type="paragraph" w:styleId="af6">
    <w:name w:val="annotation subject"/>
    <w:basedOn w:val="af4"/>
    <w:next w:val="af4"/>
    <w:link w:val="af7"/>
    <w:rsid w:val="00CB5695"/>
    <w:rPr>
      <w:b/>
      <w:bCs/>
    </w:rPr>
  </w:style>
  <w:style w:type="character" w:customStyle="1" w:styleId="af7">
    <w:name w:val="נושא הערה תו"/>
    <w:link w:val="af6"/>
    <w:rsid w:val="00CB5695"/>
    <w:rPr>
      <w:b/>
      <w:bCs/>
      <w:lang w:eastAsia="he-IL"/>
    </w:rPr>
  </w:style>
  <w:style w:type="character" w:customStyle="1" w:styleId="a6">
    <w:name w:val="כותרת תחתונה תו"/>
    <w:link w:val="a5"/>
    <w:uiPriority w:val="99"/>
    <w:locked/>
    <w:rsid w:val="005652E1"/>
    <w:rPr>
      <w:sz w:val="24"/>
      <w:szCs w:val="24"/>
      <w:lang w:eastAsia="he-IL"/>
    </w:rPr>
  </w:style>
  <w:style w:type="paragraph" w:styleId="af8">
    <w:name w:val="Plain Text"/>
    <w:basedOn w:val="a"/>
    <w:link w:val="af9"/>
    <w:rsid w:val="008E1B91"/>
    <w:rPr>
      <w:rFonts w:ascii="Courier New" w:hAnsi="Courier New"/>
      <w:noProof/>
      <w:sz w:val="20"/>
      <w:szCs w:val="20"/>
    </w:rPr>
  </w:style>
  <w:style w:type="character" w:customStyle="1" w:styleId="af9">
    <w:name w:val="טקסט רגיל תו"/>
    <w:link w:val="af8"/>
    <w:rsid w:val="008E1B91"/>
    <w:rPr>
      <w:rFonts w:ascii="Courier New" w:hAnsi="Courier New" w:cs="Courier New"/>
      <w:noProof/>
      <w:lang w:eastAsia="he-IL"/>
    </w:rPr>
  </w:style>
  <w:style w:type="paragraph" w:customStyle="1" w:styleId="afa">
    <w:name w:val="כותרת לוח פיזה"/>
    <w:basedOn w:val="a"/>
    <w:link w:val="Char"/>
    <w:rsid w:val="00363FDF"/>
    <w:pPr>
      <w:spacing w:before="240" w:after="60"/>
      <w:ind w:left="794" w:hanging="794"/>
      <w:jc w:val="center"/>
    </w:pPr>
    <w:rPr>
      <w:rFonts w:ascii="Arial" w:hAnsi="Arial"/>
      <w:b/>
      <w:bCs/>
      <w:noProof/>
    </w:rPr>
  </w:style>
  <w:style w:type="character" w:customStyle="1" w:styleId="Char">
    <w:name w:val="כותרת לוח פיזה Char"/>
    <w:link w:val="afa"/>
    <w:rsid w:val="0018462D"/>
    <w:rPr>
      <w:rFonts w:ascii="Arial" w:hAnsi="Arial" w:cs="Arial"/>
      <w:b/>
      <w:bCs/>
      <w:noProof/>
      <w:sz w:val="24"/>
      <w:szCs w:val="24"/>
    </w:rPr>
  </w:style>
  <w:style w:type="paragraph" w:customStyle="1" w:styleId="afb">
    <w:name w:val="סגנון גוף טבלה"/>
    <w:basedOn w:val="a"/>
    <w:rsid w:val="0018462D"/>
    <w:rPr>
      <w:rFonts w:ascii="Arial" w:hAnsi="Arial" w:cs="Arial"/>
      <w:b/>
      <w:noProof/>
      <w:color w:val="000000"/>
      <w:sz w:val="20"/>
      <w:szCs w:val="22"/>
      <w:lang w:eastAsia="en-US"/>
    </w:rPr>
  </w:style>
  <w:style w:type="paragraph" w:customStyle="1" w:styleId="4">
    <w:name w:val="סגנון4 פיזה"/>
    <w:basedOn w:val="a"/>
    <w:link w:val="4Char"/>
    <w:rsid w:val="00DB1704"/>
    <w:pPr>
      <w:tabs>
        <w:tab w:val="num" w:pos="0"/>
      </w:tabs>
      <w:spacing w:before="360"/>
    </w:pPr>
    <w:rPr>
      <w:rFonts w:ascii="Arial" w:hAnsi="Arial"/>
      <w:b/>
      <w:bCs/>
      <w:noProof/>
    </w:rPr>
  </w:style>
  <w:style w:type="character" w:customStyle="1" w:styleId="4Char">
    <w:name w:val="סגנון4 פיזה Char"/>
    <w:link w:val="4"/>
    <w:rsid w:val="00DB1704"/>
    <w:rPr>
      <w:rFonts w:ascii="Arial" w:hAnsi="Arial" w:cs="Arial"/>
      <w:b/>
      <w:bCs/>
      <w:noProof/>
      <w:sz w:val="24"/>
      <w:szCs w:val="24"/>
    </w:rPr>
  </w:style>
  <w:style w:type="paragraph" w:customStyle="1" w:styleId="afc">
    <w:name w:val="סגנון רגיל פיזה"/>
    <w:basedOn w:val="a"/>
    <w:link w:val="afd"/>
    <w:rsid w:val="00DB1704"/>
    <w:pPr>
      <w:spacing w:after="120" w:line="320" w:lineRule="exact"/>
    </w:pPr>
    <w:rPr>
      <w:rFonts w:ascii="Arial" w:hAnsi="Arial"/>
      <w:noProof/>
      <w:sz w:val="20"/>
      <w:szCs w:val="22"/>
    </w:rPr>
  </w:style>
  <w:style w:type="character" w:customStyle="1" w:styleId="afd">
    <w:name w:val="סגנון רגיל פיזה תו"/>
    <w:link w:val="afc"/>
    <w:rsid w:val="00DB1704"/>
    <w:rPr>
      <w:rFonts w:ascii="Arial" w:hAnsi="Arial" w:cs="Arial"/>
      <w:noProof/>
      <w:szCs w:val="22"/>
    </w:rPr>
  </w:style>
  <w:style w:type="paragraph" w:styleId="afe">
    <w:name w:val="List Paragraph"/>
    <w:basedOn w:val="a"/>
    <w:uiPriority w:val="34"/>
    <w:qFormat/>
    <w:rsid w:val="00DC2A4A"/>
    <w:pPr>
      <w:bidi w:val="0"/>
      <w:ind w:left="720"/>
      <w:contextualSpacing/>
    </w:pPr>
    <w:rPr>
      <w:lang w:eastAsia="en-US"/>
    </w:rPr>
  </w:style>
  <w:style w:type="character" w:customStyle="1" w:styleId="ab">
    <w:name w:val="טקסט הערת שוליים תו"/>
    <w:basedOn w:val="a0"/>
    <w:link w:val="aa"/>
    <w:semiHidden/>
    <w:rsid w:val="002B3247"/>
  </w:style>
  <w:style w:type="character" w:customStyle="1" w:styleId="a4">
    <w:name w:val="כותרת עליונה תו"/>
    <w:link w:val="a3"/>
    <w:rsid w:val="00114EE5"/>
    <w:rPr>
      <w:sz w:val="24"/>
      <w:szCs w:val="24"/>
      <w:lang w:eastAsia="he-IL"/>
    </w:rPr>
  </w:style>
  <w:style w:type="paragraph" w:styleId="aff">
    <w:name w:val="Revision"/>
    <w:hidden/>
    <w:uiPriority w:val="99"/>
    <w:semiHidden/>
    <w:rsid w:val="00B9380C"/>
    <w:pPr>
      <w:spacing w:before="360" w:after="120" w:line="320" w:lineRule="exact"/>
    </w:pPr>
    <w:rPr>
      <w:sz w:val="24"/>
      <w:szCs w:val="24"/>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10DB"/>
    <w:pPr>
      <w:bidi/>
      <w:spacing w:before="120" w:after="240" w:line="360" w:lineRule="auto"/>
      <w:jc w:val="both"/>
    </w:pPr>
    <w:rPr>
      <w:sz w:val="24"/>
      <w:szCs w:val="24"/>
      <w:lang w:eastAsia="he-IL"/>
    </w:rPr>
  </w:style>
  <w:style w:type="paragraph" w:styleId="1">
    <w:name w:val="heading 1"/>
    <w:basedOn w:val="a"/>
    <w:next w:val="a"/>
    <w:qFormat/>
    <w:rsid w:val="00EC10DB"/>
    <w:pPr>
      <w:keepNext/>
      <w:jc w:val="left"/>
      <w:outlineLvl w:val="0"/>
    </w:pPr>
    <w:rPr>
      <w:rFonts w:cs="David"/>
      <w:sz w:val="20"/>
      <w:lang w:eastAsia="en-US"/>
    </w:rPr>
  </w:style>
  <w:style w:type="paragraph" w:styleId="2">
    <w:name w:val="heading 2"/>
    <w:basedOn w:val="a"/>
    <w:next w:val="a"/>
    <w:qFormat/>
    <w:rsid w:val="00EC10DB"/>
    <w:pPr>
      <w:keepNext/>
      <w:jc w:val="center"/>
      <w:outlineLvl w:val="1"/>
    </w:pPr>
    <w:rPr>
      <w:rFonts w:cs="David"/>
      <w:sz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C10DB"/>
    <w:pPr>
      <w:tabs>
        <w:tab w:val="center" w:pos="4320"/>
        <w:tab w:val="right" w:pos="8640"/>
      </w:tabs>
    </w:pPr>
  </w:style>
  <w:style w:type="paragraph" w:styleId="a5">
    <w:name w:val="footer"/>
    <w:basedOn w:val="a"/>
    <w:link w:val="a6"/>
    <w:uiPriority w:val="99"/>
    <w:rsid w:val="00EC10DB"/>
    <w:pPr>
      <w:tabs>
        <w:tab w:val="center" w:pos="4320"/>
        <w:tab w:val="right" w:pos="8640"/>
      </w:tabs>
    </w:pPr>
  </w:style>
  <w:style w:type="paragraph" w:styleId="20">
    <w:name w:val="Body Text 2"/>
    <w:basedOn w:val="a"/>
    <w:rsid w:val="00EC10DB"/>
    <w:pPr>
      <w:jc w:val="left"/>
    </w:pPr>
    <w:rPr>
      <w:rFonts w:ascii="Arial" w:hAnsi="Arial" w:cs="Arial"/>
      <w:sz w:val="18"/>
      <w:szCs w:val="18"/>
    </w:rPr>
  </w:style>
  <w:style w:type="paragraph" w:styleId="a7">
    <w:name w:val="Body Text"/>
    <w:basedOn w:val="a"/>
    <w:rsid w:val="00EC10DB"/>
    <w:pPr>
      <w:jc w:val="left"/>
    </w:pPr>
    <w:rPr>
      <w:rFonts w:cs="David"/>
      <w:sz w:val="20"/>
      <w:lang w:eastAsia="en-US"/>
    </w:rPr>
  </w:style>
  <w:style w:type="paragraph" w:customStyle="1" w:styleId="a8">
    <w:name w:val="תבליט"/>
    <w:basedOn w:val="a"/>
    <w:rsid w:val="00EC10DB"/>
    <w:pPr>
      <w:tabs>
        <w:tab w:val="left" w:pos="567"/>
      </w:tabs>
      <w:spacing w:after="120" w:line="360" w:lineRule="atLeast"/>
    </w:pPr>
    <w:rPr>
      <w:rFonts w:cs="David"/>
      <w:sz w:val="20"/>
      <w:lang w:eastAsia="en-US"/>
    </w:rPr>
  </w:style>
  <w:style w:type="character" w:styleId="Hyperlink">
    <w:name w:val="Hyperlink"/>
    <w:rsid w:val="00EC10DB"/>
    <w:rPr>
      <w:color w:val="0000FF"/>
      <w:u w:val="single"/>
    </w:rPr>
  </w:style>
  <w:style w:type="paragraph" w:customStyle="1" w:styleId="BalloonText1">
    <w:name w:val="Balloon Text1"/>
    <w:basedOn w:val="a"/>
    <w:semiHidden/>
    <w:rsid w:val="00EC10DB"/>
    <w:pPr>
      <w:jc w:val="left"/>
    </w:pPr>
    <w:rPr>
      <w:rFonts w:ascii="Tahoma" w:hAnsi="Tahoma" w:cs="Tahoma"/>
      <w:sz w:val="16"/>
      <w:szCs w:val="16"/>
    </w:rPr>
  </w:style>
  <w:style w:type="character" w:styleId="a9">
    <w:name w:val="page number"/>
    <w:basedOn w:val="a0"/>
    <w:rsid w:val="00EC10DB"/>
  </w:style>
  <w:style w:type="paragraph" w:styleId="aa">
    <w:name w:val="footnote text"/>
    <w:basedOn w:val="a"/>
    <w:link w:val="ab"/>
    <w:semiHidden/>
    <w:rsid w:val="00EC10DB"/>
    <w:pPr>
      <w:jc w:val="left"/>
    </w:pPr>
    <w:rPr>
      <w:sz w:val="20"/>
      <w:szCs w:val="20"/>
      <w:lang w:eastAsia="en-US"/>
    </w:rPr>
  </w:style>
  <w:style w:type="character" w:styleId="ac">
    <w:name w:val="footnote reference"/>
    <w:semiHidden/>
    <w:rsid w:val="00EC10DB"/>
    <w:rPr>
      <w:vertAlign w:val="superscript"/>
    </w:rPr>
  </w:style>
  <w:style w:type="paragraph" w:styleId="NormalWeb">
    <w:name w:val="Normal (Web)"/>
    <w:basedOn w:val="a"/>
    <w:uiPriority w:val="99"/>
    <w:rsid w:val="00EC10DB"/>
    <w:pPr>
      <w:bidi w:val="0"/>
      <w:spacing w:before="100" w:beforeAutospacing="1" w:after="100" w:afterAutospacing="1"/>
      <w:jc w:val="left"/>
    </w:pPr>
    <w:rPr>
      <w:rFonts w:eastAsia="MS Mincho"/>
      <w:lang w:eastAsia="ja-JP"/>
    </w:rPr>
  </w:style>
  <w:style w:type="paragraph" w:styleId="ad">
    <w:name w:val="Subtitle"/>
    <w:basedOn w:val="1"/>
    <w:qFormat/>
    <w:rsid w:val="00EC10DB"/>
    <w:rPr>
      <w:b/>
      <w:bCs/>
      <w:sz w:val="28"/>
      <w:szCs w:val="28"/>
      <w:lang w:eastAsia="he-IL"/>
    </w:rPr>
  </w:style>
  <w:style w:type="paragraph" w:styleId="ae">
    <w:name w:val="Body Text Indent"/>
    <w:basedOn w:val="a"/>
    <w:rsid w:val="00EC10DB"/>
    <w:pPr>
      <w:spacing w:after="120"/>
      <w:ind w:left="283"/>
      <w:jc w:val="left"/>
    </w:pPr>
  </w:style>
  <w:style w:type="paragraph" w:customStyle="1" w:styleId="af">
    <w:name w:val="כותרות עמודות"/>
    <w:basedOn w:val="a"/>
    <w:rsid w:val="00EC10DB"/>
    <w:pPr>
      <w:jc w:val="left"/>
    </w:pPr>
    <w:rPr>
      <w:rFonts w:cs="David"/>
      <w:b/>
      <w:bCs/>
      <w:sz w:val="20"/>
      <w:szCs w:val="22"/>
    </w:rPr>
  </w:style>
  <w:style w:type="paragraph" w:customStyle="1" w:styleId="af0">
    <w:name w:val="טקסט מספרים בטבלה"/>
    <w:basedOn w:val="a"/>
    <w:rsid w:val="00EC10DB"/>
    <w:pPr>
      <w:jc w:val="center"/>
    </w:pPr>
    <w:rPr>
      <w:rFonts w:cs="David"/>
      <w:sz w:val="22"/>
      <w:szCs w:val="22"/>
    </w:rPr>
  </w:style>
  <w:style w:type="paragraph" w:customStyle="1" w:styleId="af1">
    <w:name w:val="טקסט"/>
    <w:basedOn w:val="a"/>
    <w:rsid w:val="00EC10DB"/>
    <w:rPr>
      <w:rFonts w:cs="David"/>
    </w:rPr>
  </w:style>
  <w:style w:type="paragraph" w:styleId="af2">
    <w:name w:val="Balloon Text"/>
    <w:basedOn w:val="a"/>
    <w:semiHidden/>
    <w:rsid w:val="00C70674"/>
    <w:rPr>
      <w:rFonts w:ascii="Tahoma" w:hAnsi="Tahoma" w:cs="Tahoma"/>
      <w:sz w:val="16"/>
      <w:szCs w:val="16"/>
    </w:rPr>
  </w:style>
  <w:style w:type="character" w:styleId="af3">
    <w:name w:val="annotation reference"/>
    <w:rsid w:val="00CB5695"/>
    <w:rPr>
      <w:sz w:val="16"/>
      <w:szCs w:val="16"/>
    </w:rPr>
  </w:style>
  <w:style w:type="paragraph" w:styleId="af4">
    <w:name w:val="annotation text"/>
    <w:basedOn w:val="a"/>
    <w:link w:val="af5"/>
    <w:rsid w:val="00CB5695"/>
    <w:rPr>
      <w:sz w:val="20"/>
      <w:szCs w:val="20"/>
    </w:rPr>
  </w:style>
  <w:style w:type="character" w:customStyle="1" w:styleId="af5">
    <w:name w:val="טקסט הערה תו"/>
    <w:link w:val="af4"/>
    <w:rsid w:val="00CB5695"/>
    <w:rPr>
      <w:lang w:eastAsia="he-IL"/>
    </w:rPr>
  </w:style>
  <w:style w:type="paragraph" w:styleId="af6">
    <w:name w:val="annotation subject"/>
    <w:basedOn w:val="af4"/>
    <w:next w:val="af4"/>
    <w:link w:val="af7"/>
    <w:rsid w:val="00CB5695"/>
    <w:rPr>
      <w:b/>
      <w:bCs/>
    </w:rPr>
  </w:style>
  <w:style w:type="character" w:customStyle="1" w:styleId="af7">
    <w:name w:val="נושא הערה תו"/>
    <w:link w:val="af6"/>
    <w:rsid w:val="00CB5695"/>
    <w:rPr>
      <w:b/>
      <w:bCs/>
      <w:lang w:eastAsia="he-IL"/>
    </w:rPr>
  </w:style>
  <w:style w:type="character" w:customStyle="1" w:styleId="a6">
    <w:name w:val="כותרת תחתונה תו"/>
    <w:link w:val="a5"/>
    <w:uiPriority w:val="99"/>
    <w:locked/>
    <w:rsid w:val="005652E1"/>
    <w:rPr>
      <w:sz w:val="24"/>
      <w:szCs w:val="24"/>
      <w:lang w:eastAsia="he-IL"/>
    </w:rPr>
  </w:style>
  <w:style w:type="paragraph" w:styleId="af8">
    <w:name w:val="Plain Text"/>
    <w:basedOn w:val="a"/>
    <w:link w:val="af9"/>
    <w:rsid w:val="008E1B91"/>
    <w:rPr>
      <w:rFonts w:ascii="Courier New" w:hAnsi="Courier New"/>
      <w:noProof/>
      <w:sz w:val="20"/>
      <w:szCs w:val="20"/>
    </w:rPr>
  </w:style>
  <w:style w:type="character" w:customStyle="1" w:styleId="af9">
    <w:name w:val="טקסט רגיל תו"/>
    <w:link w:val="af8"/>
    <w:rsid w:val="008E1B91"/>
    <w:rPr>
      <w:rFonts w:ascii="Courier New" w:hAnsi="Courier New" w:cs="Courier New"/>
      <w:noProof/>
      <w:lang w:eastAsia="he-IL"/>
    </w:rPr>
  </w:style>
  <w:style w:type="paragraph" w:customStyle="1" w:styleId="afa">
    <w:name w:val="כותרת לוח פיזה"/>
    <w:basedOn w:val="a"/>
    <w:link w:val="Char"/>
    <w:rsid w:val="00363FDF"/>
    <w:pPr>
      <w:spacing w:before="240" w:after="60"/>
      <w:ind w:left="794" w:hanging="794"/>
      <w:jc w:val="center"/>
    </w:pPr>
    <w:rPr>
      <w:rFonts w:ascii="Arial" w:hAnsi="Arial"/>
      <w:b/>
      <w:bCs/>
      <w:noProof/>
    </w:rPr>
  </w:style>
  <w:style w:type="character" w:customStyle="1" w:styleId="Char">
    <w:name w:val="כותרת לוח פיזה Char"/>
    <w:link w:val="afa"/>
    <w:rsid w:val="0018462D"/>
    <w:rPr>
      <w:rFonts w:ascii="Arial" w:hAnsi="Arial" w:cs="Arial"/>
      <w:b/>
      <w:bCs/>
      <w:noProof/>
      <w:sz w:val="24"/>
      <w:szCs w:val="24"/>
    </w:rPr>
  </w:style>
  <w:style w:type="paragraph" w:customStyle="1" w:styleId="afb">
    <w:name w:val="סגנון גוף טבלה"/>
    <w:basedOn w:val="a"/>
    <w:rsid w:val="0018462D"/>
    <w:rPr>
      <w:rFonts w:ascii="Arial" w:hAnsi="Arial" w:cs="Arial"/>
      <w:b/>
      <w:noProof/>
      <w:color w:val="000000"/>
      <w:sz w:val="20"/>
      <w:szCs w:val="22"/>
      <w:lang w:eastAsia="en-US"/>
    </w:rPr>
  </w:style>
  <w:style w:type="paragraph" w:customStyle="1" w:styleId="4">
    <w:name w:val="סגנון4 פיזה"/>
    <w:basedOn w:val="a"/>
    <w:link w:val="4Char"/>
    <w:rsid w:val="00DB1704"/>
    <w:pPr>
      <w:tabs>
        <w:tab w:val="num" w:pos="0"/>
      </w:tabs>
      <w:spacing w:before="360"/>
    </w:pPr>
    <w:rPr>
      <w:rFonts w:ascii="Arial" w:hAnsi="Arial"/>
      <w:b/>
      <w:bCs/>
      <w:noProof/>
    </w:rPr>
  </w:style>
  <w:style w:type="character" w:customStyle="1" w:styleId="4Char">
    <w:name w:val="סגנון4 פיזה Char"/>
    <w:link w:val="4"/>
    <w:rsid w:val="00DB1704"/>
    <w:rPr>
      <w:rFonts w:ascii="Arial" w:hAnsi="Arial" w:cs="Arial"/>
      <w:b/>
      <w:bCs/>
      <w:noProof/>
      <w:sz w:val="24"/>
      <w:szCs w:val="24"/>
    </w:rPr>
  </w:style>
  <w:style w:type="paragraph" w:customStyle="1" w:styleId="afc">
    <w:name w:val="סגנון רגיל פיזה"/>
    <w:basedOn w:val="a"/>
    <w:link w:val="afd"/>
    <w:rsid w:val="00DB1704"/>
    <w:pPr>
      <w:spacing w:after="120" w:line="320" w:lineRule="exact"/>
    </w:pPr>
    <w:rPr>
      <w:rFonts w:ascii="Arial" w:hAnsi="Arial"/>
      <w:noProof/>
      <w:sz w:val="20"/>
      <w:szCs w:val="22"/>
    </w:rPr>
  </w:style>
  <w:style w:type="character" w:customStyle="1" w:styleId="afd">
    <w:name w:val="סגנון רגיל פיזה תו"/>
    <w:link w:val="afc"/>
    <w:rsid w:val="00DB1704"/>
    <w:rPr>
      <w:rFonts w:ascii="Arial" w:hAnsi="Arial" w:cs="Arial"/>
      <w:noProof/>
      <w:szCs w:val="22"/>
    </w:rPr>
  </w:style>
  <w:style w:type="paragraph" w:styleId="afe">
    <w:name w:val="List Paragraph"/>
    <w:basedOn w:val="a"/>
    <w:uiPriority w:val="34"/>
    <w:qFormat/>
    <w:rsid w:val="00DC2A4A"/>
    <w:pPr>
      <w:bidi w:val="0"/>
      <w:ind w:left="720"/>
      <w:contextualSpacing/>
    </w:pPr>
    <w:rPr>
      <w:lang w:eastAsia="en-US"/>
    </w:rPr>
  </w:style>
  <w:style w:type="character" w:customStyle="1" w:styleId="ab">
    <w:name w:val="טקסט הערת שוליים תו"/>
    <w:basedOn w:val="a0"/>
    <w:link w:val="aa"/>
    <w:semiHidden/>
    <w:rsid w:val="002B3247"/>
  </w:style>
  <w:style w:type="character" w:customStyle="1" w:styleId="a4">
    <w:name w:val="כותרת עליונה תו"/>
    <w:link w:val="a3"/>
    <w:rsid w:val="00114EE5"/>
    <w:rPr>
      <w:sz w:val="24"/>
      <w:szCs w:val="24"/>
      <w:lang w:eastAsia="he-IL"/>
    </w:rPr>
  </w:style>
  <w:style w:type="paragraph" w:styleId="aff">
    <w:name w:val="Revision"/>
    <w:hidden/>
    <w:uiPriority w:val="99"/>
    <w:semiHidden/>
    <w:rsid w:val="00B9380C"/>
    <w:pPr>
      <w:spacing w:before="360" w:after="120" w:line="320" w:lineRule="exact"/>
    </w:pPr>
    <w:rPr>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64">
      <w:bodyDiv w:val="1"/>
      <w:marLeft w:val="0"/>
      <w:marRight w:val="0"/>
      <w:marTop w:val="0"/>
      <w:marBottom w:val="0"/>
      <w:divBdr>
        <w:top w:val="none" w:sz="0" w:space="0" w:color="auto"/>
        <w:left w:val="none" w:sz="0" w:space="0" w:color="auto"/>
        <w:bottom w:val="none" w:sz="0" w:space="0" w:color="auto"/>
        <w:right w:val="none" w:sz="0" w:space="0" w:color="auto"/>
      </w:divBdr>
    </w:div>
    <w:div w:id="16389324">
      <w:bodyDiv w:val="1"/>
      <w:marLeft w:val="0"/>
      <w:marRight w:val="0"/>
      <w:marTop w:val="0"/>
      <w:marBottom w:val="0"/>
      <w:divBdr>
        <w:top w:val="none" w:sz="0" w:space="0" w:color="auto"/>
        <w:left w:val="none" w:sz="0" w:space="0" w:color="auto"/>
        <w:bottom w:val="none" w:sz="0" w:space="0" w:color="auto"/>
        <w:right w:val="none" w:sz="0" w:space="0" w:color="auto"/>
      </w:divBdr>
    </w:div>
    <w:div w:id="61564450">
      <w:bodyDiv w:val="1"/>
      <w:marLeft w:val="0"/>
      <w:marRight w:val="0"/>
      <w:marTop w:val="0"/>
      <w:marBottom w:val="0"/>
      <w:divBdr>
        <w:top w:val="none" w:sz="0" w:space="0" w:color="auto"/>
        <w:left w:val="none" w:sz="0" w:space="0" w:color="auto"/>
        <w:bottom w:val="none" w:sz="0" w:space="0" w:color="auto"/>
        <w:right w:val="none" w:sz="0" w:space="0" w:color="auto"/>
      </w:divBdr>
    </w:div>
    <w:div w:id="65345987">
      <w:bodyDiv w:val="1"/>
      <w:marLeft w:val="0"/>
      <w:marRight w:val="0"/>
      <w:marTop w:val="0"/>
      <w:marBottom w:val="0"/>
      <w:divBdr>
        <w:top w:val="none" w:sz="0" w:space="0" w:color="auto"/>
        <w:left w:val="none" w:sz="0" w:space="0" w:color="auto"/>
        <w:bottom w:val="none" w:sz="0" w:space="0" w:color="auto"/>
        <w:right w:val="none" w:sz="0" w:space="0" w:color="auto"/>
      </w:divBdr>
    </w:div>
    <w:div w:id="69078956">
      <w:bodyDiv w:val="1"/>
      <w:marLeft w:val="0"/>
      <w:marRight w:val="0"/>
      <w:marTop w:val="0"/>
      <w:marBottom w:val="0"/>
      <w:divBdr>
        <w:top w:val="none" w:sz="0" w:space="0" w:color="auto"/>
        <w:left w:val="none" w:sz="0" w:space="0" w:color="auto"/>
        <w:bottom w:val="none" w:sz="0" w:space="0" w:color="auto"/>
        <w:right w:val="none" w:sz="0" w:space="0" w:color="auto"/>
      </w:divBdr>
    </w:div>
    <w:div w:id="81613622">
      <w:bodyDiv w:val="1"/>
      <w:marLeft w:val="0"/>
      <w:marRight w:val="0"/>
      <w:marTop w:val="0"/>
      <w:marBottom w:val="0"/>
      <w:divBdr>
        <w:top w:val="none" w:sz="0" w:space="0" w:color="auto"/>
        <w:left w:val="none" w:sz="0" w:space="0" w:color="auto"/>
        <w:bottom w:val="none" w:sz="0" w:space="0" w:color="auto"/>
        <w:right w:val="none" w:sz="0" w:space="0" w:color="auto"/>
      </w:divBdr>
    </w:div>
    <w:div w:id="137385573">
      <w:bodyDiv w:val="1"/>
      <w:marLeft w:val="0"/>
      <w:marRight w:val="0"/>
      <w:marTop w:val="0"/>
      <w:marBottom w:val="0"/>
      <w:divBdr>
        <w:top w:val="none" w:sz="0" w:space="0" w:color="auto"/>
        <w:left w:val="none" w:sz="0" w:space="0" w:color="auto"/>
        <w:bottom w:val="none" w:sz="0" w:space="0" w:color="auto"/>
        <w:right w:val="none" w:sz="0" w:space="0" w:color="auto"/>
      </w:divBdr>
    </w:div>
    <w:div w:id="149638452">
      <w:bodyDiv w:val="1"/>
      <w:marLeft w:val="0"/>
      <w:marRight w:val="0"/>
      <w:marTop w:val="0"/>
      <w:marBottom w:val="0"/>
      <w:divBdr>
        <w:top w:val="none" w:sz="0" w:space="0" w:color="auto"/>
        <w:left w:val="none" w:sz="0" w:space="0" w:color="auto"/>
        <w:bottom w:val="none" w:sz="0" w:space="0" w:color="auto"/>
        <w:right w:val="none" w:sz="0" w:space="0" w:color="auto"/>
      </w:divBdr>
    </w:div>
    <w:div w:id="164058438">
      <w:bodyDiv w:val="1"/>
      <w:marLeft w:val="0"/>
      <w:marRight w:val="0"/>
      <w:marTop w:val="0"/>
      <w:marBottom w:val="0"/>
      <w:divBdr>
        <w:top w:val="none" w:sz="0" w:space="0" w:color="auto"/>
        <w:left w:val="none" w:sz="0" w:space="0" w:color="auto"/>
        <w:bottom w:val="none" w:sz="0" w:space="0" w:color="auto"/>
        <w:right w:val="none" w:sz="0" w:space="0" w:color="auto"/>
      </w:divBdr>
    </w:div>
    <w:div w:id="189955176">
      <w:bodyDiv w:val="1"/>
      <w:marLeft w:val="0"/>
      <w:marRight w:val="0"/>
      <w:marTop w:val="0"/>
      <w:marBottom w:val="0"/>
      <w:divBdr>
        <w:top w:val="none" w:sz="0" w:space="0" w:color="auto"/>
        <w:left w:val="none" w:sz="0" w:space="0" w:color="auto"/>
        <w:bottom w:val="none" w:sz="0" w:space="0" w:color="auto"/>
        <w:right w:val="none" w:sz="0" w:space="0" w:color="auto"/>
      </w:divBdr>
      <w:divsChild>
        <w:div w:id="443378701">
          <w:marLeft w:val="0"/>
          <w:marRight w:val="806"/>
          <w:marTop w:val="360"/>
          <w:marBottom w:val="0"/>
          <w:divBdr>
            <w:top w:val="none" w:sz="0" w:space="0" w:color="auto"/>
            <w:left w:val="none" w:sz="0" w:space="0" w:color="auto"/>
            <w:bottom w:val="none" w:sz="0" w:space="0" w:color="auto"/>
            <w:right w:val="none" w:sz="0" w:space="0" w:color="auto"/>
          </w:divBdr>
        </w:div>
        <w:div w:id="1173372338">
          <w:marLeft w:val="0"/>
          <w:marRight w:val="806"/>
          <w:marTop w:val="360"/>
          <w:marBottom w:val="0"/>
          <w:divBdr>
            <w:top w:val="none" w:sz="0" w:space="0" w:color="auto"/>
            <w:left w:val="none" w:sz="0" w:space="0" w:color="auto"/>
            <w:bottom w:val="none" w:sz="0" w:space="0" w:color="auto"/>
            <w:right w:val="none" w:sz="0" w:space="0" w:color="auto"/>
          </w:divBdr>
        </w:div>
        <w:div w:id="1794597425">
          <w:marLeft w:val="0"/>
          <w:marRight w:val="806"/>
          <w:marTop w:val="360"/>
          <w:marBottom w:val="0"/>
          <w:divBdr>
            <w:top w:val="none" w:sz="0" w:space="0" w:color="auto"/>
            <w:left w:val="none" w:sz="0" w:space="0" w:color="auto"/>
            <w:bottom w:val="none" w:sz="0" w:space="0" w:color="auto"/>
            <w:right w:val="none" w:sz="0" w:space="0" w:color="auto"/>
          </w:divBdr>
        </w:div>
      </w:divsChild>
    </w:div>
    <w:div w:id="208611182">
      <w:bodyDiv w:val="1"/>
      <w:marLeft w:val="0"/>
      <w:marRight w:val="0"/>
      <w:marTop w:val="0"/>
      <w:marBottom w:val="0"/>
      <w:divBdr>
        <w:top w:val="none" w:sz="0" w:space="0" w:color="auto"/>
        <w:left w:val="none" w:sz="0" w:space="0" w:color="auto"/>
        <w:bottom w:val="none" w:sz="0" w:space="0" w:color="auto"/>
        <w:right w:val="none" w:sz="0" w:space="0" w:color="auto"/>
      </w:divBdr>
    </w:div>
    <w:div w:id="216599422">
      <w:bodyDiv w:val="1"/>
      <w:marLeft w:val="0"/>
      <w:marRight w:val="0"/>
      <w:marTop w:val="0"/>
      <w:marBottom w:val="0"/>
      <w:divBdr>
        <w:top w:val="none" w:sz="0" w:space="0" w:color="auto"/>
        <w:left w:val="none" w:sz="0" w:space="0" w:color="auto"/>
        <w:bottom w:val="none" w:sz="0" w:space="0" w:color="auto"/>
        <w:right w:val="none" w:sz="0" w:space="0" w:color="auto"/>
      </w:divBdr>
    </w:div>
    <w:div w:id="248344288">
      <w:bodyDiv w:val="1"/>
      <w:marLeft w:val="0"/>
      <w:marRight w:val="0"/>
      <w:marTop w:val="0"/>
      <w:marBottom w:val="0"/>
      <w:divBdr>
        <w:top w:val="none" w:sz="0" w:space="0" w:color="auto"/>
        <w:left w:val="none" w:sz="0" w:space="0" w:color="auto"/>
        <w:bottom w:val="none" w:sz="0" w:space="0" w:color="auto"/>
        <w:right w:val="none" w:sz="0" w:space="0" w:color="auto"/>
      </w:divBdr>
    </w:div>
    <w:div w:id="264509426">
      <w:bodyDiv w:val="1"/>
      <w:marLeft w:val="0"/>
      <w:marRight w:val="0"/>
      <w:marTop w:val="0"/>
      <w:marBottom w:val="0"/>
      <w:divBdr>
        <w:top w:val="none" w:sz="0" w:space="0" w:color="auto"/>
        <w:left w:val="none" w:sz="0" w:space="0" w:color="auto"/>
        <w:bottom w:val="none" w:sz="0" w:space="0" w:color="auto"/>
        <w:right w:val="none" w:sz="0" w:space="0" w:color="auto"/>
      </w:divBdr>
    </w:div>
    <w:div w:id="273365931">
      <w:bodyDiv w:val="1"/>
      <w:marLeft w:val="0"/>
      <w:marRight w:val="0"/>
      <w:marTop w:val="0"/>
      <w:marBottom w:val="0"/>
      <w:divBdr>
        <w:top w:val="none" w:sz="0" w:space="0" w:color="auto"/>
        <w:left w:val="none" w:sz="0" w:space="0" w:color="auto"/>
        <w:bottom w:val="none" w:sz="0" w:space="0" w:color="auto"/>
        <w:right w:val="none" w:sz="0" w:space="0" w:color="auto"/>
      </w:divBdr>
    </w:div>
    <w:div w:id="293370390">
      <w:bodyDiv w:val="1"/>
      <w:marLeft w:val="0"/>
      <w:marRight w:val="0"/>
      <w:marTop w:val="0"/>
      <w:marBottom w:val="0"/>
      <w:divBdr>
        <w:top w:val="none" w:sz="0" w:space="0" w:color="auto"/>
        <w:left w:val="none" w:sz="0" w:space="0" w:color="auto"/>
        <w:bottom w:val="none" w:sz="0" w:space="0" w:color="auto"/>
        <w:right w:val="none" w:sz="0" w:space="0" w:color="auto"/>
      </w:divBdr>
    </w:div>
    <w:div w:id="318197783">
      <w:bodyDiv w:val="1"/>
      <w:marLeft w:val="0"/>
      <w:marRight w:val="0"/>
      <w:marTop w:val="0"/>
      <w:marBottom w:val="0"/>
      <w:divBdr>
        <w:top w:val="none" w:sz="0" w:space="0" w:color="auto"/>
        <w:left w:val="none" w:sz="0" w:space="0" w:color="auto"/>
        <w:bottom w:val="none" w:sz="0" w:space="0" w:color="auto"/>
        <w:right w:val="none" w:sz="0" w:space="0" w:color="auto"/>
      </w:divBdr>
    </w:div>
    <w:div w:id="327489498">
      <w:bodyDiv w:val="1"/>
      <w:marLeft w:val="0"/>
      <w:marRight w:val="0"/>
      <w:marTop w:val="0"/>
      <w:marBottom w:val="0"/>
      <w:divBdr>
        <w:top w:val="none" w:sz="0" w:space="0" w:color="auto"/>
        <w:left w:val="none" w:sz="0" w:space="0" w:color="auto"/>
        <w:bottom w:val="none" w:sz="0" w:space="0" w:color="auto"/>
        <w:right w:val="none" w:sz="0" w:space="0" w:color="auto"/>
      </w:divBdr>
    </w:div>
    <w:div w:id="338050055">
      <w:bodyDiv w:val="1"/>
      <w:marLeft w:val="0"/>
      <w:marRight w:val="0"/>
      <w:marTop w:val="0"/>
      <w:marBottom w:val="0"/>
      <w:divBdr>
        <w:top w:val="none" w:sz="0" w:space="0" w:color="auto"/>
        <w:left w:val="none" w:sz="0" w:space="0" w:color="auto"/>
        <w:bottom w:val="none" w:sz="0" w:space="0" w:color="auto"/>
        <w:right w:val="none" w:sz="0" w:space="0" w:color="auto"/>
      </w:divBdr>
      <w:divsChild>
        <w:div w:id="828713728">
          <w:marLeft w:val="0"/>
          <w:marRight w:val="806"/>
          <w:marTop w:val="240"/>
          <w:marBottom w:val="0"/>
          <w:divBdr>
            <w:top w:val="none" w:sz="0" w:space="0" w:color="auto"/>
            <w:left w:val="none" w:sz="0" w:space="0" w:color="auto"/>
            <w:bottom w:val="none" w:sz="0" w:space="0" w:color="auto"/>
            <w:right w:val="none" w:sz="0" w:space="0" w:color="auto"/>
          </w:divBdr>
        </w:div>
        <w:div w:id="994991456">
          <w:marLeft w:val="0"/>
          <w:marRight w:val="806"/>
          <w:marTop w:val="240"/>
          <w:marBottom w:val="0"/>
          <w:divBdr>
            <w:top w:val="none" w:sz="0" w:space="0" w:color="auto"/>
            <w:left w:val="none" w:sz="0" w:space="0" w:color="auto"/>
            <w:bottom w:val="none" w:sz="0" w:space="0" w:color="auto"/>
            <w:right w:val="none" w:sz="0" w:space="0" w:color="auto"/>
          </w:divBdr>
        </w:div>
        <w:div w:id="1025324807">
          <w:marLeft w:val="0"/>
          <w:marRight w:val="806"/>
          <w:marTop w:val="240"/>
          <w:marBottom w:val="0"/>
          <w:divBdr>
            <w:top w:val="none" w:sz="0" w:space="0" w:color="auto"/>
            <w:left w:val="none" w:sz="0" w:space="0" w:color="auto"/>
            <w:bottom w:val="none" w:sz="0" w:space="0" w:color="auto"/>
            <w:right w:val="none" w:sz="0" w:space="0" w:color="auto"/>
          </w:divBdr>
        </w:div>
      </w:divsChild>
    </w:div>
    <w:div w:id="411632406">
      <w:bodyDiv w:val="1"/>
      <w:marLeft w:val="0"/>
      <w:marRight w:val="0"/>
      <w:marTop w:val="0"/>
      <w:marBottom w:val="0"/>
      <w:divBdr>
        <w:top w:val="none" w:sz="0" w:space="0" w:color="auto"/>
        <w:left w:val="none" w:sz="0" w:space="0" w:color="auto"/>
        <w:bottom w:val="none" w:sz="0" w:space="0" w:color="auto"/>
        <w:right w:val="none" w:sz="0" w:space="0" w:color="auto"/>
      </w:divBdr>
    </w:div>
    <w:div w:id="446462465">
      <w:bodyDiv w:val="1"/>
      <w:marLeft w:val="0"/>
      <w:marRight w:val="0"/>
      <w:marTop w:val="0"/>
      <w:marBottom w:val="0"/>
      <w:divBdr>
        <w:top w:val="none" w:sz="0" w:space="0" w:color="auto"/>
        <w:left w:val="none" w:sz="0" w:space="0" w:color="auto"/>
        <w:bottom w:val="none" w:sz="0" w:space="0" w:color="auto"/>
        <w:right w:val="none" w:sz="0" w:space="0" w:color="auto"/>
      </w:divBdr>
    </w:div>
    <w:div w:id="455873312">
      <w:bodyDiv w:val="1"/>
      <w:marLeft w:val="0"/>
      <w:marRight w:val="0"/>
      <w:marTop w:val="0"/>
      <w:marBottom w:val="0"/>
      <w:divBdr>
        <w:top w:val="none" w:sz="0" w:space="0" w:color="auto"/>
        <w:left w:val="none" w:sz="0" w:space="0" w:color="auto"/>
        <w:bottom w:val="none" w:sz="0" w:space="0" w:color="auto"/>
        <w:right w:val="none" w:sz="0" w:space="0" w:color="auto"/>
      </w:divBdr>
    </w:div>
    <w:div w:id="462886779">
      <w:bodyDiv w:val="1"/>
      <w:marLeft w:val="0"/>
      <w:marRight w:val="0"/>
      <w:marTop w:val="0"/>
      <w:marBottom w:val="0"/>
      <w:divBdr>
        <w:top w:val="none" w:sz="0" w:space="0" w:color="auto"/>
        <w:left w:val="none" w:sz="0" w:space="0" w:color="auto"/>
        <w:bottom w:val="none" w:sz="0" w:space="0" w:color="auto"/>
        <w:right w:val="none" w:sz="0" w:space="0" w:color="auto"/>
      </w:divBdr>
    </w:div>
    <w:div w:id="509224367">
      <w:bodyDiv w:val="1"/>
      <w:marLeft w:val="0"/>
      <w:marRight w:val="0"/>
      <w:marTop w:val="0"/>
      <w:marBottom w:val="0"/>
      <w:divBdr>
        <w:top w:val="none" w:sz="0" w:space="0" w:color="auto"/>
        <w:left w:val="none" w:sz="0" w:space="0" w:color="auto"/>
        <w:bottom w:val="none" w:sz="0" w:space="0" w:color="auto"/>
        <w:right w:val="none" w:sz="0" w:space="0" w:color="auto"/>
      </w:divBdr>
    </w:div>
    <w:div w:id="518158069">
      <w:bodyDiv w:val="1"/>
      <w:marLeft w:val="0"/>
      <w:marRight w:val="0"/>
      <w:marTop w:val="0"/>
      <w:marBottom w:val="0"/>
      <w:divBdr>
        <w:top w:val="none" w:sz="0" w:space="0" w:color="auto"/>
        <w:left w:val="none" w:sz="0" w:space="0" w:color="auto"/>
        <w:bottom w:val="none" w:sz="0" w:space="0" w:color="auto"/>
        <w:right w:val="none" w:sz="0" w:space="0" w:color="auto"/>
      </w:divBdr>
    </w:div>
    <w:div w:id="548884557">
      <w:bodyDiv w:val="1"/>
      <w:marLeft w:val="0"/>
      <w:marRight w:val="0"/>
      <w:marTop w:val="0"/>
      <w:marBottom w:val="0"/>
      <w:divBdr>
        <w:top w:val="none" w:sz="0" w:space="0" w:color="auto"/>
        <w:left w:val="none" w:sz="0" w:space="0" w:color="auto"/>
        <w:bottom w:val="none" w:sz="0" w:space="0" w:color="auto"/>
        <w:right w:val="none" w:sz="0" w:space="0" w:color="auto"/>
      </w:divBdr>
    </w:div>
    <w:div w:id="616641692">
      <w:bodyDiv w:val="1"/>
      <w:marLeft w:val="0"/>
      <w:marRight w:val="0"/>
      <w:marTop w:val="0"/>
      <w:marBottom w:val="0"/>
      <w:divBdr>
        <w:top w:val="none" w:sz="0" w:space="0" w:color="auto"/>
        <w:left w:val="none" w:sz="0" w:space="0" w:color="auto"/>
        <w:bottom w:val="none" w:sz="0" w:space="0" w:color="auto"/>
        <w:right w:val="none" w:sz="0" w:space="0" w:color="auto"/>
      </w:divBdr>
    </w:div>
    <w:div w:id="619383254">
      <w:bodyDiv w:val="1"/>
      <w:marLeft w:val="0"/>
      <w:marRight w:val="0"/>
      <w:marTop w:val="0"/>
      <w:marBottom w:val="0"/>
      <w:divBdr>
        <w:top w:val="none" w:sz="0" w:space="0" w:color="auto"/>
        <w:left w:val="none" w:sz="0" w:space="0" w:color="auto"/>
        <w:bottom w:val="none" w:sz="0" w:space="0" w:color="auto"/>
        <w:right w:val="none" w:sz="0" w:space="0" w:color="auto"/>
      </w:divBdr>
    </w:div>
    <w:div w:id="720205444">
      <w:bodyDiv w:val="1"/>
      <w:marLeft w:val="0"/>
      <w:marRight w:val="0"/>
      <w:marTop w:val="0"/>
      <w:marBottom w:val="0"/>
      <w:divBdr>
        <w:top w:val="none" w:sz="0" w:space="0" w:color="auto"/>
        <w:left w:val="none" w:sz="0" w:space="0" w:color="auto"/>
        <w:bottom w:val="none" w:sz="0" w:space="0" w:color="auto"/>
        <w:right w:val="none" w:sz="0" w:space="0" w:color="auto"/>
      </w:divBdr>
    </w:div>
    <w:div w:id="734855305">
      <w:bodyDiv w:val="1"/>
      <w:marLeft w:val="0"/>
      <w:marRight w:val="0"/>
      <w:marTop w:val="0"/>
      <w:marBottom w:val="0"/>
      <w:divBdr>
        <w:top w:val="none" w:sz="0" w:space="0" w:color="auto"/>
        <w:left w:val="none" w:sz="0" w:space="0" w:color="auto"/>
        <w:bottom w:val="none" w:sz="0" w:space="0" w:color="auto"/>
        <w:right w:val="none" w:sz="0" w:space="0" w:color="auto"/>
      </w:divBdr>
    </w:div>
    <w:div w:id="781806674">
      <w:bodyDiv w:val="1"/>
      <w:marLeft w:val="0"/>
      <w:marRight w:val="0"/>
      <w:marTop w:val="0"/>
      <w:marBottom w:val="0"/>
      <w:divBdr>
        <w:top w:val="none" w:sz="0" w:space="0" w:color="auto"/>
        <w:left w:val="none" w:sz="0" w:space="0" w:color="auto"/>
        <w:bottom w:val="none" w:sz="0" w:space="0" w:color="auto"/>
        <w:right w:val="none" w:sz="0" w:space="0" w:color="auto"/>
      </w:divBdr>
    </w:div>
    <w:div w:id="844324399">
      <w:bodyDiv w:val="1"/>
      <w:marLeft w:val="0"/>
      <w:marRight w:val="0"/>
      <w:marTop w:val="0"/>
      <w:marBottom w:val="0"/>
      <w:divBdr>
        <w:top w:val="none" w:sz="0" w:space="0" w:color="auto"/>
        <w:left w:val="none" w:sz="0" w:space="0" w:color="auto"/>
        <w:bottom w:val="none" w:sz="0" w:space="0" w:color="auto"/>
        <w:right w:val="none" w:sz="0" w:space="0" w:color="auto"/>
      </w:divBdr>
    </w:div>
    <w:div w:id="883710421">
      <w:bodyDiv w:val="1"/>
      <w:marLeft w:val="0"/>
      <w:marRight w:val="0"/>
      <w:marTop w:val="0"/>
      <w:marBottom w:val="0"/>
      <w:divBdr>
        <w:top w:val="none" w:sz="0" w:space="0" w:color="auto"/>
        <w:left w:val="none" w:sz="0" w:space="0" w:color="auto"/>
        <w:bottom w:val="none" w:sz="0" w:space="0" w:color="auto"/>
        <w:right w:val="none" w:sz="0" w:space="0" w:color="auto"/>
      </w:divBdr>
      <w:divsChild>
        <w:div w:id="103422865">
          <w:marLeft w:val="0"/>
          <w:marRight w:val="0"/>
          <w:marTop w:val="0"/>
          <w:marBottom w:val="120"/>
          <w:divBdr>
            <w:top w:val="none" w:sz="0" w:space="0" w:color="auto"/>
            <w:left w:val="none" w:sz="0" w:space="0" w:color="auto"/>
            <w:bottom w:val="none" w:sz="0" w:space="0" w:color="auto"/>
            <w:right w:val="none" w:sz="0" w:space="0" w:color="auto"/>
          </w:divBdr>
        </w:div>
        <w:div w:id="1588345338">
          <w:marLeft w:val="0"/>
          <w:marRight w:val="0"/>
          <w:marTop w:val="0"/>
          <w:marBottom w:val="120"/>
          <w:divBdr>
            <w:top w:val="none" w:sz="0" w:space="0" w:color="auto"/>
            <w:left w:val="none" w:sz="0" w:space="0" w:color="auto"/>
            <w:bottom w:val="none" w:sz="0" w:space="0" w:color="auto"/>
            <w:right w:val="none" w:sz="0" w:space="0" w:color="auto"/>
          </w:divBdr>
        </w:div>
      </w:divsChild>
    </w:div>
    <w:div w:id="894392973">
      <w:bodyDiv w:val="1"/>
      <w:marLeft w:val="0"/>
      <w:marRight w:val="0"/>
      <w:marTop w:val="0"/>
      <w:marBottom w:val="0"/>
      <w:divBdr>
        <w:top w:val="none" w:sz="0" w:space="0" w:color="auto"/>
        <w:left w:val="none" w:sz="0" w:space="0" w:color="auto"/>
        <w:bottom w:val="none" w:sz="0" w:space="0" w:color="auto"/>
        <w:right w:val="none" w:sz="0" w:space="0" w:color="auto"/>
      </w:divBdr>
    </w:div>
    <w:div w:id="908883455">
      <w:bodyDiv w:val="1"/>
      <w:marLeft w:val="0"/>
      <w:marRight w:val="0"/>
      <w:marTop w:val="0"/>
      <w:marBottom w:val="0"/>
      <w:divBdr>
        <w:top w:val="none" w:sz="0" w:space="0" w:color="auto"/>
        <w:left w:val="none" w:sz="0" w:space="0" w:color="auto"/>
        <w:bottom w:val="none" w:sz="0" w:space="0" w:color="auto"/>
        <w:right w:val="none" w:sz="0" w:space="0" w:color="auto"/>
      </w:divBdr>
      <w:divsChild>
        <w:div w:id="827864676">
          <w:marLeft w:val="0"/>
          <w:marRight w:val="0"/>
          <w:marTop w:val="0"/>
          <w:marBottom w:val="0"/>
          <w:divBdr>
            <w:top w:val="none" w:sz="0" w:space="0" w:color="auto"/>
            <w:left w:val="none" w:sz="0" w:space="0" w:color="auto"/>
            <w:bottom w:val="none" w:sz="0" w:space="0" w:color="auto"/>
            <w:right w:val="none" w:sz="0" w:space="0" w:color="auto"/>
          </w:divBdr>
        </w:div>
      </w:divsChild>
    </w:div>
    <w:div w:id="911936356">
      <w:bodyDiv w:val="1"/>
      <w:marLeft w:val="0"/>
      <w:marRight w:val="0"/>
      <w:marTop w:val="0"/>
      <w:marBottom w:val="0"/>
      <w:divBdr>
        <w:top w:val="none" w:sz="0" w:space="0" w:color="auto"/>
        <w:left w:val="none" w:sz="0" w:space="0" w:color="auto"/>
        <w:bottom w:val="none" w:sz="0" w:space="0" w:color="auto"/>
        <w:right w:val="none" w:sz="0" w:space="0" w:color="auto"/>
      </w:divBdr>
    </w:div>
    <w:div w:id="933322556">
      <w:bodyDiv w:val="1"/>
      <w:marLeft w:val="0"/>
      <w:marRight w:val="0"/>
      <w:marTop w:val="0"/>
      <w:marBottom w:val="0"/>
      <w:divBdr>
        <w:top w:val="none" w:sz="0" w:space="0" w:color="auto"/>
        <w:left w:val="none" w:sz="0" w:space="0" w:color="auto"/>
        <w:bottom w:val="none" w:sz="0" w:space="0" w:color="auto"/>
        <w:right w:val="none" w:sz="0" w:space="0" w:color="auto"/>
      </w:divBdr>
    </w:div>
    <w:div w:id="946158339">
      <w:bodyDiv w:val="1"/>
      <w:marLeft w:val="0"/>
      <w:marRight w:val="0"/>
      <w:marTop w:val="0"/>
      <w:marBottom w:val="0"/>
      <w:divBdr>
        <w:top w:val="none" w:sz="0" w:space="0" w:color="auto"/>
        <w:left w:val="none" w:sz="0" w:space="0" w:color="auto"/>
        <w:bottom w:val="none" w:sz="0" w:space="0" w:color="auto"/>
        <w:right w:val="none" w:sz="0" w:space="0" w:color="auto"/>
      </w:divBdr>
    </w:div>
    <w:div w:id="957642342">
      <w:bodyDiv w:val="1"/>
      <w:marLeft w:val="0"/>
      <w:marRight w:val="0"/>
      <w:marTop w:val="0"/>
      <w:marBottom w:val="0"/>
      <w:divBdr>
        <w:top w:val="none" w:sz="0" w:space="0" w:color="auto"/>
        <w:left w:val="none" w:sz="0" w:space="0" w:color="auto"/>
        <w:bottom w:val="none" w:sz="0" w:space="0" w:color="auto"/>
        <w:right w:val="none" w:sz="0" w:space="0" w:color="auto"/>
      </w:divBdr>
    </w:div>
    <w:div w:id="965549337">
      <w:bodyDiv w:val="1"/>
      <w:marLeft w:val="0"/>
      <w:marRight w:val="0"/>
      <w:marTop w:val="0"/>
      <w:marBottom w:val="0"/>
      <w:divBdr>
        <w:top w:val="none" w:sz="0" w:space="0" w:color="auto"/>
        <w:left w:val="none" w:sz="0" w:space="0" w:color="auto"/>
        <w:bottom w:val="none" w:sz="0" w:space="0" w:color="auto"/>
        <w:right w:val="none" w:sz="0" w:space="0" w:color="auto"/>
      </w:divBdr>
    </w:div>
    <w:div w:id="970672523">
      <w:bodyDiv w:val="1"/>
      <w:marLeft w:val="0"/>
      <w:marRight w:val="0"/>
      <w:marTop w:val="0"/>
      <w:marBottom w:val="0"/>
      <w:divBdr>
        <w:top w:val="none" w:sz="0" w:space="0" w:color="auto"/>
        <w:left w:val="none" w:sz="0" w:space="0" w:color="auto"/>
        <w:bottom w:val="none" w:sz="0" w:space="0" w:color="auto"/>
        <w:right w:val="none" w:sz="0" w:space="0" w:color="auto"/>
      </w:divBdr>
    </w:div>
    <w:div w:id="979847123">
      <w:bodyDiv w:val="1"/>
      <w:marLeft w:val="0"/>
      <w:marRight w:val="0"/>
      <w:marTop w:val="0"/>
      <w:marBottom w:val="0"/>
      <w:divBdr>
        <w:top w:val="none" w:sz="0" w:space="0" w:color="auto"/>
        <w:left w:val="none" w:sz="0" w:space="0" w:color="auto"/>
        <w:bottom w:val="none" w:sz="0" w:space="0" w:color="auto"/>
        <w:right w:val="none" w:sz="0" w:space="0" w:color="auto"/>
      </w:divBdr>
    </w:div>
    <w:div w:id="1005328695">
      <w:bodyDiv w:val="1"/>
      <w:marLeft w:val="0"/>
      <w:marRight w:val="0"/>
      <w:marTop w:val="0"/>
      <w:marBottom w:val="0"/>
      <w:divBdr>
        <w:top w:val="none" w:sz="0" w:space="0" w:color="auto"/>
        <w:left w:val="none" w:sz="0" w:space="0" w:color="auto"/>
        <w:bottom w:val="none" w:sz="0" w:space="0" w:color="auto"/>
        <w:right w:val="none" w:sz="0" w:space="0" w:color="auto"/>
      </w:divBdr>
    </w:div>
    <w:div w:id="1009603706">
      <w:bodyDiv w:val="1"/>
      <w:marLeft w:val="0"/>
      <w:marRight w:val="0"/>
      <w:marTop w:val="0"/>
      <w:marBottom w:val="0"/>
      <w:divBdr>
        <w:top w:val="none" w:sz="0" w:space="0" w:color="auto"/>
        <w:left w:val="none" w:sz="0" w:space="0" w:color="auto"/>
        <w:bottom w:val="none" w:sz="0" w:space="0" w:color="auto"/>
        <w:right w:val="none" w:sz="0" w:space="0" w:color="auto"/>
      </w:divBdr>
    </w:div>
    <w:div w:id="1015155498">
      <w:bodyDiv w:val="1"/>
      <w:marLeft w:val="0"/>
      <w:marRight w:val="0"/>
      <w:marTop w:val="0"/>
      <w:marBottom w:val="0"/>
      <w:divBdr>
        <w:top w:val="none" w:sz="0" w:space="0" w:color="auto"/>
        <w:left w:val="none" w:sz="0" w:space="0" w:color="auto"/>
        <w:bottom w:val="none" w:sz="0" w:space="0" w:color="auto"/>
        <w:right w:val="none" w:sz="0" w:space="0" w:color="auto"/>
      </w:divBdr>
    </w:div>
    <w:div w:id="1019426634">
      <w:bodyDiv w:val="1"/>
      <w:marLeft w:val="0"/>
      <w:marRight w:val="0"/>
      <w:marTop w:val="0"/>
      <w:marBottom w:val="0"/>
      <w:divBdr>
        <w:top w:val="none" w:sz="0" w:space="0" w:color="auto"/>
        <w:left w:val="none" w:sz="0" w:space="0" w:color="auto"/>
        <w:bottom w:val="none" w:sz="0" w:space="0" w:color="auto"/>
        <w:right w:val="none" w:sz="0" w:space="0" w:color="auto"/>
      </w:divBdr>
    </w:div>
    <w:div w:id="1048845141">
      <w:bodyDiv w:val="1"/>
      <w:marLeft w:val="0"/>
      <w:marRight w:val="0"/>
      <w:marTop w:val="0"/>
      <w:marBottom w:val="0"/>
      <w:divBdr>
        <w:top w:val="none" w:sz="0" w:space="0" w:color="auto"/>
        <w:left w:val="none" w:sz="0" w:space="0" w:color="auto"/>
        <w:bottom w:val="none" w:sz="0" w:space="0" w:color="auto"/>
        <w:right w:val="none" w:sz="0" w:space="0" w:color="auto"/>
      </w:divBdr>
    </w:div>
    <w:div w:id="1053772857">
      <w:bodyDiv w:val="1"/>
      <w:marLeft w:val="0"/>
      <w:marRight w:val="0"/>
      <w:marTop w:val="0"/>
      <w:marBottom w:val="0"/>
      <w:divBdr>
        <w:top w:val="none" w:sz="0" w:space="0" w:color="auto"/>
        <w:left w:val="none" w:sz="0" w:space="0" w:color="auto"/>
        <w:bottom w:val="none" w:sz="0" w:space="0" w:color="auto"/>
        <w:right w:val="none" w:sz="0" w:space="0" w:color="auto"/>
      </w:divBdr>
    </w:div>
    <w:div w:id="1062604160">
      <w:bodyDiv w:val="1"/>
      <w:marLeft w:val="0"/>
      <w:marRight w:val="0"/>
      <w:marTop w:val="0"/>
      <w:marBottom w:val="0"/>
      <w:divBdr>
        <w:top w:val="none" w:sz="0" w:space="0" w:color="auto"/>
        <w:left w:val="none" w:sz="0" w:space="0" w:color="auto"/>
        <w:bottom w:val="none" w:sz="0" w:space="0" w:color="auto"/>
        <w:right w:val="none" w:sz="0" w:space="0" w:color="auto"/>
      </w:divBdr>
    </w:div>
    <w:div w:id="1103263107">
      <w:bodyDiv w:val="1"/>
      <w:marLeft w:val="0"/>
      <w:marRight w:val="0"/>
      <w:marTop w:val="0"/>
      <w:marBottom w:val="0"/>
      <w:divBdr>
        <w:top w:val="none" w:sz="0" w:space="0" w:color="auto"/>
        <w:left w:val="none" w:sz="0" w:space="0" w:color="auto"/>
        <w:bottom w:val="none" w:sz="0" w:space="0" w:color="auto"/>
        <w:right w:val="none" w:sz="0" w:space="0" w:color="auto"/>
      </w:divBdr>
    </w:div>
    <w:div w:id="1143889125">
      <w:bodyDiv w:val="1"/>
      <w:marLeft w:val="0"/>
      <w:marRight w:val="0"/>
      <w:marTop w:val="0"/>
      <w:marBottom w:val="0"/>
      <w:divBdr>
        <w:top w:val="none" w:sz="0" w:space="0" w:color="auto"/>
        <w:left w:val="none" w:sz="0" w:space="0" w:color="auto"/>
        <w:bottom w:val="none" w:sz="0" w:space="0" w:color="auto"/>
        <w:right w:val="none" w:sz="0" w:space="0" w:color="auto"/>
      </w:divBdr>
    </w:div>
    <w:div w:id="1156454815">
      <w:bodyDiv w:val="1"/>
      <w:marLeft w:val="0"/>
      <w:marRight w:val="0"/>
      <w:marTop w:val="0"/>
      <w:marBottom w:val="0"/>
      <w:divBdr>
        <w:top w:val="none" w:sz="0" w:space="0" w:color="auto"/>
        <w:left w:val="none" w:sz="0" w:space="0" w:color="auto"/>
        <w:bottom w:val="none" w:sz="0" w:space="0" w:color="auto"/>
        <w:right w:val="none" w:sz="0" w:space="0" w:color="auto"/>
      </w:divBdr>
    </w:div>
    <w:div w:id="1157570222">
      <w:bodyDiv w:val="1"/>
      <w:marLeft w:val="0"/>
      <w:marRight w:val="0"/>
      <w:marTop w:val="0"/>
      <w:marBottom w:val="0"/>
      <w:divBdr>
        <w:top w:val="none" w:sz="0" w:space="0" w:color="auto"/>
        <w:left w:val="none" w:sz="0" w:space="0" w:color="auto"/>
        <w:bottom w:val="none" w:sz="0" w:space="0" w:color="auto"/>
        <w:right w:val="none" w:sz="0" w:space="0" w:color="auto"/>
      </w:divBdr>
    </w:div>
    <w:div w:id="1161234153">
      <w:bodyDiv w:val="1"/>
      <w:marLeft w:val="0"/>
      <w:marRight w:val="0"/>
      <w:marTop w:val="0"/>
      <w:marBottom w:val="0"/>
      <w:divBdr>
        <w:top w:val="none" w:sz="0" w:space="0" w:color="auto"/>
        <w:left w:val="none" w:sz="0" w:space="0" w:color="auto"/>
        <w:bottom w:val="none" w:sz="0" w:space="0" w:color="auto"/>
        <w:right w:val="none" w:sz="0" w:space="0" w:color="auto"/>
      </w:divBdr>
    </w:div>
    <w:div w:id="1166701820">
      <w:bodyDiv w:val="1"/>
      <w:marLeft w:val="0"/>
      <w:marRight w:val="0"/>
      <w:marTop w:val="0"/>
      <w:marBottom w:val="0"/>
      <w:divBdr>
        <w:top w:val="none" w:sz="0" w:space="0" w:color="auto"/>
        <w:left w:val="none" w:sz="0" w:space="0" w:color="auto"/>
        <w:bottom w:val="none" w:sz="0" w:space="0" w:color="auto"/>
        <w:right w:val="none" w:sz="0" w:space="0" w:color="auto"/>
      </w:divBdr>
    </w:div>
    <w:div w:id="1231111267">
      <w:bodyDiv w:val="1"/>
      <w:marLeft w:val="0"/>
      <w:marRight w:val="0"/>
      <w:marTop w:val="0"/>
      <w:marBottom w:val="0"/>
      <w:divBdr>
        <w:top w:val="none" w:sz="0" w:space="0" w:color="auto"/>
        <w:left w:val="none" w:sz="0" w:space="0" w:color="auto"/>
        <w:bottom w:val="none" w:sz="0" w:space="0" w:color="auto"/>
        <w:right w:val="none" w:sz="0" w:space="0" w:color="auto"/>
      </w:divBdr>
    </w:div>
    <w:div w:id="1235506766">
      <w:bodyDiv w:val="1"/>
      <w:marLeft w:val="0"/>
      <w:marRight w:val="0"/>
      <w:marTop w:val="0"/>
      <w:marBottom w:val="0"/>
      <w:divBdr>
        <w:top w:val="none" w:sz="0" w:space="0" w:color="auto"/>
        <w:left w:val="none" w:sz="0" w:space="0" w:color="auto"/>
        <w:bottom w:val="none" w:sz="0" w:space="0" w:color="auto"/>
        <w:right w:val="none" w:sz="0" w:space="0" w:color="auto"/>
      </w:divBdr>
    </w:div>
    <w:div w:id="1276138253">
      <w:bodyDiv w:val="1"/>
      <w:marLeft w:val="0"/>
      <w:marRight w:val="0"/>
      <w:marTop w:val="0"/>
      <w:marBottom w:val="0"/>
      <w:divBdr>
        <w:top w:val="none" w:sz="0" w:space="0" w:color="auto"/>
        <w:left w:val="none" w:sz="0" w:space="0" w:color="auto"/>
        <w:bottom w:val="none" w:sz="0" w:space="0" w:color="auto"/>
        <w:right w:val="none" w:sz="0" w:space="0" w:color="auto"/>
      </w:divBdr>
    </w:div>
    <w:div w:id="1296838417">
      <w:bodyDiv w:val="1"/>
      <w:marLeft w:val="0"/>
      <w:marRight w:val="0"/>
      <w:marTop w:val="0"/>
      <w:marBottom w:val="0"/>
      <w:divBdr>
        <w:top w:val="none" w:sz="0" w:space="0" w:color="auto"/>
        <w:left w:val="none" w:sz="0" w:space="0" w:color="auto"/>
        <w:bottom w:val="none" w:sz="0" w:space="0" w:color="auto"/>
        <w:right w:val="none" w:sz="0" w:space="0" w:color="auto"/>
      </w:divBdr>
    </w:div>
    <w:div w:id="1301037110">
      <w:bodyDiv w:val="1"/>
      <w:marLeft w:val="0"/>
      <w:marRight w:val="0"/>
      <w:marTop w:val="0"/>
      <w:marBottom w:val="0"/>
      <w:divBdr>
        <w:top w:val="none" w:sz="0" w:space="0" w:color="auto"/>
        <w:left w:val="none" w:sz="0" w:space="0" w:color="auto"/>
        <w:bottom w:val="none" w:sz="0" w:space="0" w:color="auto"/>
        <w:right w:val="none" w:sz="0" w:space="0" w:color="auto"/>
      </w:divBdr>
    </w:div>
    <w:div w:id="1328095755">
      <w:bodyDiv w:val="1"/>
      <w:marLeft w:val="0"/>
      <w:marRight w:val="0"/>
      <w:marTop w:val="0"/>
      <w:marBottom w:val="0"/>
      <w:divBdr>
        <w:top w:val="none" w:sz="0" w:space="0" w:color="auto"/>
        <w:left w:val="none" w:sz="0" w:space="0" w:color="auto"/>
        <w:bottom w:val="none" w:sz="0" w:space="0" w:color="auto"/>
        <w:right w:val="none" w:sz="0" w:space="0" w:color="auto"/>
      </w:divBdr>
    </w:div>
    <w:div w:id="1336885304">
      <w:bodyDiv w:val="1"/>
      <w:marLeft w:val="0"/>
      <w:marRight w:val="0"/>
      <w:marTop w:val="0"/>
      <w:marBottom w:val="0"/>
      <w:divBdr>
        <w:top w:val="none" w:sz="0" w:space="0" w:color="auto"/>
        <w:left w:val="none" w:sz="0" w:space="0" w:color="auto"/>
        <w:bottom w:val="none" w:sz="0" w:space="0" w:color="auto"/>
        <w:right w:val="none" w:sz="0" w:space="0" w:color="auto"/>
      </w:divBdr>
    </w:div>
    <w:div w:id="1341395187">
      <w:bodyDiv w:val="1"/>
      <w:marLeft w:val="0"/>
      <w:marRight w:val="0"/>
      <w:marTop w:val="0"/>
      <w:marBottom w:val="0"/>
      <w:divBdr>
        <w:top w:val="none" w:sz="0" w:space="0" w:color="auto"/>
        <w:left w:val="none" w:sz="0" w:space="0" w:color="auto"/>
        <w:bottom w:val="none" w:sz="0" w:space="0" w:color="auto"/>
        <w:right w:val="none" w:sz="0" w:space="0" w:color="auto"/>
      </w:divBdr>
    </w:div>
    <w:div w:id="1348023517">
      <w:bodyDiv w:val="1"/>
      <w:marLeft w:val="0"/>
      <w:marRight w:val="0"/>
      <w:marTop w:val="0"/>
      <w:marBottom w:val="0"/>
      <w:divBdr>
        <w:top w:val="none" w:sz="0" w:space="0" w:color="auto"/>
        <w:left w:val="none" w:sz="0" w:space="0" w:color="auto"/>
        <w:bottom w:val="none" w:sz="0" w:space="0" w:color="auto"/>
        <w:right w:val="none" w:sz="0" w:space="0" w:color="auto"/>
      </w:divBdr>
    </w:div>
    <w:div w:id="1359509124">
      <w:bodyDiv w:val="1"/>
      <w:marLeft w:val="0"/>
      <w:marRight w:val="0"/>
      <w:marTop w:val="0"/>
      <w:marBottom w:val="0"/>
      <w:divBdr>
        <w:top w:val="none" w:sz="0" w:space="0" w:color="auto"/>
        <w:left w:val="none" w:sz="0" w:space="0" w:color="auto"/>
        <w:bottom w:val="none" w:sz="0" w:space="0" w:color="auto"/>
        <w:right w:val="none" w:sz="0" w:space="0" w:color="auto"/>
      </w:divBdr>
    </w:div>
    <w:div w:id="1366515547">
      <w:bodyDiv w:val="1"/>
      <w:marLeft w:val="0"/>
      <w:marRight w:val="0"/>
      <w:marTop w:val="0"/>
      <w:marBottom w:val="0"/>
      <w:divBdr>
        <w:top w:val="none" w:sz="0" w:space="0" w:color="auto"/>
        <w:left w:val="none" w:sz="0" w:space="0" w:color="auto"/>
        <w:bottom w:val="none" w:sz="0" w:space="0" w:color="auto"/>
        <w:right w:val="none" w:sz="0" w:space="0" w:color="auto"/>
      </w:divBdr>
    </w:div>
    <w:div w:id="1368674521">
      <w:bodyDiv w:val="1"/>
      <w:marLeft w:val="0"/>
      <w:marRight w:val="0"/>
      <w:marTop w:val="0"/>
      <w:marBottom w:val="0"/>
      <w:divBdr>
        <w:top w:val="none" w:sz="0" w:space="0" w:color="auto"/>
        <w:left w:val="none" w:sz="0" w:space="0" w:color="auto"/>
        <w:bottom w:val="none" w:sz="0" w:space="0" w:color="auto"/>
        <w:right w:val="none" w:sz="0" w:space="0" w:color="auto"/>
      </w:divBdr>
    </w:div>
    <w:div w:id="1405227969">
      <w:bodyDiv w:val="1"/>
      <w:marLeft w:val="0"/>
      <w:marRight w:val="0"/>
      <w:marTop w:val="0"/>
      <w:marBottom w:val="0"/>
      <w:divBdr>
        <w:top w:val="none" w:sz="0" w:space="0" w:color="auto"/>
        <w:left w:val="none" w:sz="0" w:space="0" w:color="auto"/>
        <w:bottom w:val="none" w:sz="0" w:space="0" w:color="auto"/>
        <w:right w:val="none" w:sz="0" w:space="0" w:color="auto"/>
      </w:divBdr>
    </w:div>
    <w:div w:id="1420056332">
      <w:bodyDiv w:val="1"/>
      <w:marLeft w:val="0"/>
      <w:marRight w:val="0"/>
      <w:marTop w:val="0"/>
      <w:marBottom w:val="0"/>
      <w:divBdr>
        <w:top w:val="none" w:sz="0" w:space="0" w:color="auto"/>
        <w:left w:val="none" w:sz="0" w:space="0" w:color="auto"/>
        <w:bottom w:val="none" w:sz="0" w:space="0" w:color="auto"/>
        <w:right w:val="none" w:sz="0" w:space="0" w:color="auto"/>
      </w:divBdr>
    </w:div>
    <w:div w:id="1427993740">
      <w:bodyDiv w:val="1"/>
      <w:marLeft w:val="0"/>
      <w:marRight w:val="0"/>
      <w:marTop w:val="0"/>
      <w:marBottom w:val="0"/>
      <w:divBdr>
        <w:top w:val="none" w:sz="0" w:space="0" w:color="auto"/>
        <w:left w:val="none" w:sz="0" w:space="0" w:color="auto"/>
        <w:bottom w:val="none" w:sz="0" w:space="0" w:color="auto"/>
        <w:right w:val="none" w:sz="0" w:space="0" w:color="auto"/>
      </w:divBdr>
    </w:div>
    <w:div w:id="1455252805">
      <w:bodyDiv w:val="1"/>
      <w:marLeft w:val="0"/>
      <w:marRight w:val="0"/>
      <w:marTop w:val="0"/>
      <w:marBottom w:val="0"/>
      <w:divBdr>
        <w:top w:val="none" w:sz="0" w:space="0" w:color="auto"/>
        <w:left w:val="none" w:sz="0" w:space="0" w:color="auto"/>
        <w:bottom w:val="none" w:sz="0" w:space="0" w:color="auto"/>
        <w:right w:val="none" w:sz="0" w:space="0" w:color="auto"/>
      </w:divBdr>
    </w:div>
    <w:div w:id="1462923595">
      <w:bodyDiv w:val="1"/>
      <w:marLeft w:val="0"/>
      <w:marRight w:val="0"/>
      <w:marTop w:val="0"/>
      <w:marBottom w:val="0"/>
      <w:divBdr>
        <w:top w:val="none" w:sz="0" w:space="0" w:color="auto"/>
        <w:left w:val="none" w:sz="0" w:space="0" w:color="auto"/>
        <w:bottom w:val="none" w:sz="0" w:space="0" w:color="auto"/>
        <w:right w:val="none" w:sz="0" w:space="0" w:color="auto"/>
      </w:divBdr>
    </w:div>
    <w:div w:id="1463501035">
      <w:bodyDiv w:val="1"/>
      <w:marLeft w:val="0"/>
      <w:marRight w:val="0"/>
      <w:marTop w:val="0"/>
      <w:marBottom w:val="0"/>
      <w:divBdr>
        <w:top w:val="none" w:sz="0" w:space="0" w:color="auto"/>
        <w:left w:val="none" w:sz="0" w:space="0" w:color="auto"/>
        <w:bottom w:val="none" w:sz="0" w:space="0" w:color="auto"/>
        <w:right w:val="none" w:sz="0" w:space="0" w:color="auto"/>
      </w:divBdr>
    </w:div>
    <w:div w:id="1494298823">
      <w:bodyDiv w:val="1"/>
      <w:marLeft w:val="0"/>
      <w:marRight w:val="0"/>
      <w:marTop w:val="0"/>
      <w:marBottom w:val="0"/>
      <w:divBdr>
        <w:top w:val="none" w:sz="0" w:space="0" w:color="auto"/>
        <w:left w:val="none" w:sz="0" w:space="0" w:color="auto"/>
        <w:bottom w:val="none" w:sz="0" w:space="0" w:color="auto"/>
        <w:right w:val="none" w:sz="0" w:space="0" w:color="auto"/>
      </w:divBdr>
    </w:div>
    <w:div w:id="1505047362">
      <w:bodyDiv w:val="1"/>
      <w:marLeft w:val="0"/>
      <w:marRight w:val="0"/>
      <w:marTop w:val="0"/>
      <w:marBottom w:val="0"/>
      <w:divBdr>
        <w:top w:val="none" w:sz="0" w:space="0" w:color="auto"/>
        <w:left w:val="none" w:sz="0" w:space="0" w:color="auto"/>
        <w:bottom w:val="none" w:sz="0" w:space="0" w:color="auto"/>
        <w:right w:val="none" w:sz="0" w:space="0" w:color="auto"/>
      </w:divBdr>
      <w:divsChild>
        <w:div w:id="2146659394">
          <w:marLeft w:val="0"/>
          <w:marRight w:val="806"/>
          <w:marTop w:val="240"/>
          <w:marBottom w:val="0"/>
          <w:divBdr>
            <w:top w:val="none" w:sz="0" w:space="0" w:color="auto"/>
            <w:left w:val="none" w:sz="0" w:space="0" w:color="auto"/>
            <w:bottom w:val="none" w:sz="0" w:space="0" w:color="auto"/>
            <w:right w:val="none" w:sz="0" w:space="0" w:color="auto"/>
          </w:divBdr>
        </w:div>
      </w:divsChild>
    </w:div>
    <w:div w:id="1520850309">
      <w:bodyDiv w:val="1"/>
      <w:marLeft w:val="0"/>
      <w:marRight w:val="0"/>
      <w:marTop w:val="0"/>
      <w:marBottom w:val="0"/>
      <w:divBdr>
        <w:top w:val="none" w:sz="0" w:space="0" w:color="auto"/>
        <w:left w:val="none" w:sz="0" w:space="0" w:color="auto"/>
        <w:bottom w:val="none" w:sz="0" w:space="0" w:color="auto"/>
        <w:right w:val="none" w:sz="0" w:space="0" w:color="auto"/>
      </w:divBdr>
    </w:div>
    <w:div w:id="1527136553">
      <w:bodyDiv w:val="1"/>
      <w:marLeft w:val="0"/>
      <w:marRight w:val="0"/>
      <w:marTop w:val="0"/>
      <w:marBottom w:val="0"/>
      <w:divBdr>
        <w:top w:val="none" w:sz="0" w:space="0" w:color="auto"/>
        <w:left w:val="none" w:sz="0" w:space="0" w:color="auto"/>
        <w:bottom w:val="none" w:sz="0" w:space="0" w:color="auto"/>
        <w:right w:val="none" w:sz="0" w:space="0" w:color="auto"/>
      </w:divBdr>
    </w:div>
    <w:div w:id="1555773655">
      <w:bodyDiv w:val="1"/>
      <w:marLeft w:val="0"/>
      <w:marRight w:val="0"/>
      <w:marTop w:val="0"/>
      <w:marBottom w:val="0"/>
      <w:divBdr>
        <w:top w:val="none" w:sz="0" w:space="0" w:color="auto"/>
        <w:left w:val="none" w:sz="0" w:space="0" w:color="auto"/>
        <w:bottom w:val="none" w:sz="0" w:space="0" w:color="auto"/>
        <w:right w:val="none" w:sz="0" w:space="0" w:color="auto"/>
      </w:divBdr>
    </w:div>
    <w:div w:id="1585185673">
      <w:bodyDiv w:val="1"/>
      <w:marLeft w:val="0"/>
      <w:marRight w:val="0"/>
      <w:marTop w:val="0"/>
      <w:marBottom w:val="0"/>
      <w:divBdr>
        <w:top w:val="none" w:sz="0" w:space="0" w:color="auto"/>
        <w:left w:val="none" w:sz="0" w:space="0" w:color="auto"/>
        <w:bottom w:val="none" w:sz="0" w:space="0" w:color="auto"/>
        <w:right w:val="none" w:sz="0" w:space="0" w:color="auto"/>
      </w:divBdr>
    </w:div>
    <w:div w:id="1587377577">
      <w:bodyDiv w:val="1"/>
      <w:marLeft w:val="0"/>
      <w:marRight w:val="0"/>
      <w:marTop w:val="0"/>
      <w:marBottom w:val="0"/>
      <w:divBdr>
        <w:top w:val="none" w:sz="0" w:space="0" w:color="auto"/>
        <w:left w:val="none" w:sz="0" w:space="0" w:color="auto"/>
        <w:bottom w:val="none" w:sz="0" w:space="0" w:color="auto"/>
        <w:right w:val="none" w:sz="0" w:space="0" w:color="auto"/>
      </w:divBdr>
    </w:div>
    <w:div w:id="1605572205">
      <w:bodyDiv w:val="1"/>
      <w:marLeft w:val="0"/>
      <w:marRight w:val="0"/>
      <w:marTop w:val="0"/>
      <w:marBottom w:val="0"/>
      <w:divBdr>
        <w:top w:val="none" w:sz="0" w:space="0" w:color="auto"/>
        <w:left w:val="none" w:sz="0" w:space="0" w:color="auto"/>
        <w:bottom w:val="none" w:sz="0" w:space="0" w:color="auto"/>
        <w:right w:val="none" w:sz="0" w:space="0" w:color="auto"/>
      </w:divBdr>
    </w:div>
    <w:div w:id="1608613205">
      <w:bodyDiv w:val="1"/>
      <w:marLeft w:val="0"/>
      <w:marRight w:val="0"/>
      <w:marTop w:val="0"/>
      <w:marBottom w:val="0"/>
      <w:divBdr>
        <w:top w:val="none" w:sz="0" w:space="0" w:color="auto"/>
        <w:left w:val="none" w:sz="0" w:space="0" w:color="auto"/>
        <w:bottom w:val="none" w:sz="0" w:space="0" w:color="auto"/>
        <w:right w:val="none" w:sz="0" w:space="0" w:color="auto"/>
      </w:divBdr>
    </w:div>
    <w:div w:id="1671516512">
      <w:bodyDiv w:val="1"/>
      <w:marLeft w:val="0"/>
      <w:marRight w:val="0"/>
      <w:marTop w:val="0"/>
      <w:marBottom w:val="0"/>
      <w:divBdr>
        <w:top w:val="none" w:sz="0" w:space="0" w:color="auto"/>
        <w:left w:val="none" w:sz="0" w:space="0" w:color="auto"/>
        <w:bottom w:val="none" w:sz="0" w:space="0" w:color="auto"/>
        <w:right w:val="none" w:sz="0" w:space="0" w:color="auto"/>
      </w:divBdr>
    </w:div>
    <w:div w:id="1675183688">
      <w:bodyDiv w:val="1"/>
      <w:marLeft w:val="0"/>
      <w:marRight w:val="0"/>
      <w:marTop w:val="0"/>
      <w:marBottom w:val="0"/>
      <w:divBdr>
        <w:top w:val="none" w:sz="0" w:space="0" w:color="auto"/>
        <w:left w:val="none" w:sz="0" w:space="0" w:color="auto"/>
        <w:bottom w:val="none" w:sz="0" w:space="0" w:color="auto"/>
        <w:right w:val="none" w:sz="0" w:space="0" w:color="auto"/>
      </w:divBdr>
    </w:div>
    <w:div w:id="1675763031">
      <w:bodyDiv w:val="1"/>
      <w:marLeft w:val="0"/>
      <w:marRight w:val="0"/>
      <w:marTop w:val="0"/>
      <w:marBottom w:val="0"/>
      <w:divBdr>
        <w:top w:val="none" w:sz="0" w:space="0" w:color="auto"/>
        <w:left w:val="none" w:sz="0" w:space="0" w:color="auto"/>
        <w:bottom w:val="none" w:sz="0" w:space="0" w:color="auto"/>
        <w:right w:val="none" w:sz="0" w:space="0" w:color="auto"/>
      </w:divBdr>
    </w:div>
    <w:div w:id="1679044571">
      <w:bodyDiv w:val="1"/>
      <w:marLeft w:val="0"/>
      <w:marRight w:val="0"/>
      <w:marTop w:val="0"/>
      <w:marBottom w:val="0"/>
      <w:divBdr>
        <w:top w:val="none" w:sz="0" w:space="0" w:color="auto"/>
        <w:left w:val="none" w:sz="0" w:space="0" w:color="auto"/>
        <w:bottom w:val="none" w:sz="0" w:space="0" w:color="auto"/>
        <w:right w:val="none" w:sz="0" w:space="0" w:color="auto"/>
      </w:divBdr>
    </w:div>
    <w:div w:id="1683554883">
      <w:bodyDiv w:val="1"/>
      <w:marLeft w:val="0"/>
      <w:marRight w:val="0"/>
      <w:marTop w:val="0"/>
      <w:marBottom w:val="0"/>
      <w:divBdr>
        <w:top w:val="none" w:sz="0" w:space="0" w:color="auto"/>
        <w:left w:val="none" w:sz="0" w:space="0" w:color="auto"/>
        <w:bottom w:val="none" w:sz="0" w:space="0" w:color="auto"/>
        <w:right w:val="none" w:sz="0" w:space="0" w:color="auto"/>
      </w:divBdr>
    </w:div>
    <w:div w:id="1708791422">
      <w:bodyDiv w:val="1"/>
      <w:marLeft w:val="0"/>
      <w:marRight w:val="0"/>
      <w:marTop w:val="0"/>
      <w:marBottom w:val="0"/>
      <w:divBdr>
        <w:top w:val="none" w:sz="0" w:space="0" w:color="auto"/>
        <w:left w:val="none" w:sz="0" w:space="0" w:color="auto"/>
        <w:bottom w:val="none" w:sz="0" w:space="0" w:color="auto"/>
        <w:right w:val="none" w:sz="0" w:space="0" w:color="auto"/>
      </w:divBdr>
    </w:div>
    <w:div w:id="1713922615">
      <w:bodyDiv w:val="1"/>
      <w:marLeft w:val="0"/>
      <w:marRight w:val="0"/>
      <w:marTop w:val="0"/>
      <w:marBottom w:val="0"/>
      <w:divBdr>
        <w:top w:val="none" w:sz="0" w:space="0" w:color="auto"/>
        <w:left w:val="none" w:sz="0" w:space="0" w:color="auto"/>
        <w:bottom w:val="none" w:sz="0" w:space="0" w:color="auto"/>
        <w:right w:val="none" w:sz="0" w:space="0" w:color="auto"/>
      </w:divBdr>
    </w:div>
    <w:div w:id="1714040603">
      <w:bodyDiv w:val="1"/>
      <w:marLeft w:val="0"/>
      <w:marRight w:val="0"/>
      <w:marTop w:val="0"/>
      <w:marBottom w:val="0"/>
      <w:divBdr>
        <w:top w:val="none" w:sz="0" w:space="0" w:color="auto"/>
        <w:left w:val="none" w:sz="0" w:space="0" w:color="auto"/>
        <w:bottom w:val="none" w:sz="0" w:space="0" w:color="auto"/>
        <w:right w:val="none" w:sz="0" w:space="0" w:color="auto"/>
      </w:divBdr>
    </w:div>
    <w:div w:id="1725713122">
      <w:bodyDiv w:val="1"/>
      <w:marLeft w:val="0"/>
      <w:marRight w:val="0"/>
      <w:marTop w:val="0"/>
      <w:marBottom w:val="0"/>
      <w:divBdr>
        <w:top w:val="none" w:sz="0" w:space="0" w:color="auto"/>
        <w:left w:val="none" w:sz="0" w:space="0" w:color="auto"/>
        <w:bottom w:val="none" w:sz="0" w:space="0" w:color="auto"/>
        <w:right w:val="none" w:sz="0" w:space="0" w:color="auto"/>
      </w:divBdr>
    </w:div>
    <w:div w:id="1734500032">
      <w:bodyDiv w:val="1"/>
      <w:marLeft w:val="0"/>
      <w:marRight w:val="0"/>
      <w:marTop w:val="0"/>
      <w:marBottom w:val="0"/>
      <w:divBdr>
        <w:top w:val="none" w:sz="0" w:space="0" w:color="auto"/>
        <w:left w:val="none" w:sz="0" w:space="0" w:color="auto"/>
        <w:bottom w:val="none" w:sz="0" w:space="0" w:color="auto"/>
        <w:right w:val="none" w:sz="0" w:space="0" w:color="auto"/>
      </w:divBdr>
    </w:div>
    <w:div w:id="1737700642">
      <w:bodyDiv w:val="1"/>
      <w:marLeft w:val="0"/>
      <w:marRight w:val="0"/>
      <w:marTop w:val="0"/>
      <w:marBottom w:val="0"/>
      <w:divBdr>
        <w:top w:val="none" w:sz="0" w:space="0" w:color="auto"/>
        <w:left w:val="none" w:sz="0" w:space="0" w:color="auto"/>
        <w:bottom w:val="none" w:sz="0" w:space="0" w:color="auto"/>
        <w:right w:val="none" w:sz="0" w:space="0" w:color="auto"/>
      </w:divBdr>
      <w:divsChild>
        <w:div w:id="352540434">
          <w:marLeft w:val="0"/>
          <w:marRight w:val="806"/>
          <w:marTop w:val="360"/>
          <w:marBottom w:val="0"/>
          <w:divBdr>
            <w:top w:val="none" w:sz="0" w:space="0" w:color="auto"/>
            <w:left w:val="none" w:sz="0" w:space="0" w:color="auto"/>
            <w:bottom w:val="none" w:sz="0" w:space="0" w:color="auto"/>
            <w:right w:val="none" w:sz="0" w:space="0" w:color="auto"/>
          </w:divBdr>
        </w:div>
        <w:div w:id="860582320">
          <w:marLeft w:val="0"/>
          <w:marRight w:val="806"/>
          <w:marTop w:val="360"/>
          <w:marBottom w:val="0"/>
          <w:divBdr>
            <w:top w:val="none" w:sz="0" w:space="0" w:color="auto"/>
            <w:left w:val="none" w:sz="0" w:space="0" w:color="auto"/>
            <w:bottom w:val="none" w:sz="0" w:space="0" w:color="auto"/>
            <w:right w:val="none" w:sz="0" w:space="0" w:color="auto"/>
          </w:divBdr>
        </w:div>
        <w:div w:id="987902807">
          <w:marLeft w:val="0"/>
          <w:marRight w:val="806"/>
          <w:marTop w:val="360"/>
          <w:marBottom w:val="0"/>
          <w:divBdr>
            <w:top w:val="none" w:sz="0" w:space="0" w:color="auto"/>
            <w:left w:val="none" w:sz="0" w:space="0" w:color="auto"/>
            <w:bottom w:val="none" w:sz="0" w:space="0" w:color="auto"/>
            <w:right w:val="none" w:sz="0" w:space="0" w:color="auto"/>
          </w:divBdr>
        </w:div>
      </w:divsChild>
    </w:div>
    <w:div w:id="1755469233">
      <w:bodyDiv w:val="1"/>
      <w:marLeft w:val="0"/>
      <w:marRight w:val="0"/>
      <w:marTop w:val="0"/>
      <w:marBottom w:val="0"/>
      <w:divBdr>
        <w:top w:val="none" w:sz="0" w:space="0" w:color="auto"/>
        <w:left w:val="none" w:sz="0" w:space="0" w:color="auto"/>
        <w:bottom w:val="none" w:sz="0" w:space="0" w:color="auto"/>
        <w:right w:val="none" w:sz="0" w:space="0" w:color="auto"/>
      </w:divBdr>
    </w:div>
    <w:div w:id="1767649803">
      <w:bodyDiv w:val="1"/>
      <w:marLeft w:val="0"/>
      <w:marRight w:val="0"/>
      <w:marTop w:val="0"/>
      <w:marBottom w:val="0"/>
      <w:divBdr>
        <w:top w:val="none" w:sz="0" w:space="0" w:color="auto"/>
        <w:left w:val="none" w:sz="0" w:space="0" w:color="auto"/>
        <w:bottom w:val="none" w:sz="0" w:space="0" w:color="auto"/>
        <w:right w:val="none" w:sz="0" w:space="0" w:color="auto"/>
      </w:divBdr>
    </w:div>
    <w:div w:id="1827209513">
      <w:bodyDiv w:val="1"/>
      <w:marLeft w:val="0"/>
      <w:marRight w:val="0"/>
      <w:marTop w:val="0"/>
      <w:marBottom w:val="0"/>
      <w:divBdr>
        <w:top w:val="none" w:sz="0" w:space="0" w:color="auto"/>
        <w:left w:val="none" w:sz="0" w:space="0" w:color="auto"/>
        <w:bottom w:val="none" w:sz="0" w:space="0" w:color="auto"/>
        <w:right w:val="none" w:sz="0" w:space="0" w:color="auto"/>
      </w:divBdr>
    </w:div>
    <w:div w:id="1840345337">
      <w:bodyDiv w:val="1"/>
      <w:marLeft w:val="0"/>
      <w:marRight w:val="0"/>
      <w:marTop w:val="0"/>
      <w:marBottom w:val="0"/>
      <w:divBdr>
        <w:top w:val="none" w:sz="0" w:space="0" w:color="auto"/>
        <w:left w:val="none" w:sz="0" w:space="0" w:color="auto"/>
        <w:bottom w:val="none" w:sz="0" w:space="0" w:color="auto"/>
        <w:right w:val="none" w:sz="0" w:space="0" w:color="auto"/>
      </w:divBdr>
    </w:div>
    <w:div w:id="1867869042">
      <w:bodyDiv w:val="1"/>
      <w:marLeft w:val="0"/>
      <w:marRight w:val="0"/>
      <w:marTop w:val="0"/>
      <w:marBottom w:val="0"/>
      <w:divBdr>
        <w:top w:val="none" w:sz="0" w:space="0" w:color="auto"/>
        <w:left w:val="none" w:sz="0" w:space="0" w:color="auto"/>
        <w:bottom w:val="none" w:sz="0" w:space="0" w:color="auto"/>
        <w:right w:val="none" w:sz="0" w:space="0" w:color="auto"/>
      </w:divBdr>
    </w:div>
    <w:div w:id="1872718941">
      <w:bodyDiv w:val="1"/>
      <w:marLeft w:val="0"/>
      <w:marRight w:val="0"/>
      <w:marTop w:val="0"/>
      <w:marBottom w:val="0"/>
      <w:divBdr>
        <w:top w:val="none" w:sz="0" w:space="0" w:color="auto"/>
        <w:left w:val="none" w:sz="0" w:space="0" w:color="auto"/>
        <w:bottom w:val="none" w:sz="0" w:space="0" w:color="auto"/>
        <w:right w:val="none" w:sz="0" w:space="0" w:color="auto"/>
      </w:divBdr>
    </w:div>
    <w:div w:id="1908954457">
      <w:bodyDiv w:val="1"/>
      <w:marLeft w:val="0"/>
      <w:marRight w:val="0"/>
      <w:marTop w:val="0"/>
      <w:marBottom w:val="0"/>
      <w:divBdr>
        <w:top w:val="none" w:sz="0" w:space="0" w:color="auto"/>
        <w:left w:val="none" w:sz="0" w:space="0" w:color="auto"/>
        <w:bottom w:val="none" w:sz="0" w:space="0" w:color="auto"/>
        <w:right w:val="none" w:sz="0" w:space="0" w:color="auto"/>
      </w:divBdr>
    </w:div>
    <w:div w:id="1917083641">
      <w:bodyDiv w:val="1"/>
      <w:marLeft w:val="0"/>
      <w:marRight w:val="0"/>
      <w:marTop w:val="0"/>
      <w:marBottom w:val="0"/>
      <w:divBdr>
        <w:top w:val="none" w:sz="0" w:space="0" w:color="auto"/>
        <w:left w:val="none" w:sz="0" w:space="0" w:color="auto"/>
        <w:bottom w:val="none" w:sz="0" w:space="0" w:color="auto"/>
        <w:right w:val="none" w:sz="0" w:space="0" w:color="auto"/>
      </w:divBdr>
    </w:div>
    <w:div w:id="1923875853">
      <w:bodyDiv w:val="1"/>
      <w:marLeft w:val="0"/>
      <w:marRight w:val="0"/>
      <w:marTop w:val="0"/>
      <w:marBottom w:val="0"/>
      <w:divBdr>
        <w:top w:val="none" w:sz="0" w:space="0" w:color="auto"/>
        <w:left w:val="none" w:sz="0" w:space="0" w:color="auto"/>
        <w:bottom w:val="none" w:sz="0" w:space="0" w:color="auto"/>
        <w:right w:val="none" w:sz="0" w:space="0" w:color="auto"/>
      </w:divBdr>
    </w:div>
    <w:div w:id="1935430282">
      <w:bodyDiv w:val="1"/>
      <w:marLeft w:val="0"/>
      <w:marRight w:val="0"/>
      <w:marTop w:val="0"/>
      <w:marBottom w:val="0"/>
      <w:divBdr>
        <w:top w:val="none" w:sz="0" w:space="0" w:color="auto"/>
        <w:left w:val="none" w:sz="0" w:space="0" w:color="auto"/>
        <w:bottom w:val="none" w:sz="0" w:space="0" w:color="auto"/>
        <w:right w:val="none" w:sz="0" w:space="0" w:color="auto"/>
      </w:divBdr>
    </w:div>
    <w:div w:id="1961377092">
      <w:bodyDiv w:val="1"/>
      <w:marLeft w:val="0"/>
      <w:marRight w:val="0"/>
      <w:marTop w:val="0"/>
      <w:marBottom w:val="0"/>
      <w:divBdr>
        <w:top w:val="none" w:sz="0" w:space="0" w:color="auto"/>
        <w:left w:val="none" w:sz="0" w:space="0" w:color="auto"/>
        <w:bottom w:val="none" w:sz="0" w:space="0" w:color="auto"/>
        <w:right w:val="none" w:sz="0" w:space="0" w:color="auto"/>
      </w:divBdr>
    </w:div>
    <w:div w:id="1996568789">
      <w:bodyDiv w:val="1"/>
      <w:marLeft w:val="0"/>
      <w:marRight w:val="0"/>
      <w:marTop w:val="0"/>
      <w:marBottom w:val="0"/>
      <w:divBdr>
        <w:top w:val="none" w:sz="0" w:space="0" w:color="auto"/>
        <w:left w:val="none" w:sz="0" w:space="0" w:color="auto"/>
        <w:bottom w:val="none" w:sz="0" w:space="0" w:color="auto"/>
        <w:right w:val="none" w:sz="0" w:space="0" w:color="auto"/>
      </w:divBdr>
    </w:div>
    <w:div w:id="2029134217">
      <w:bodyDiv w:val="1"/>
      <w:marLeft w:val="0"/>
      <w:marRight w:val="0"/>
      <w:marTop w:val="0"/>
      <w:marBottom w:val="0"/>
      <w:divBdr>
        <w:top w:val="none" w:sz="0" w:space="0" w:color="auto"/>
        <w:left w:val="none" w:sz="0" w:space="0" w:color="auto"/>
        <w:bottom w:val="none" w:sz="0" w:space="0" w:color="auto"/>
        <w:right w:val="none" w:sz="0" w:space="0" w:color="auto"/>
      </w:divBdr>
    </w:div>
    <w:div w:id="2044204048">
      <w:bodyDiv w:val="1"/>
      <w:marLeft w:val="0"/>
      <w:marRight w:val="0"/>
      <w:marTop w:val="0"/>
      <w:marBottom w:val="0"/>
      <w:divBdr>
        <w:top w:val="none" w:sz="0" w:space="0" w:color="auto"/>
        <w:left w:val="none" w:sz="0" w:space="0" w:color="auto"/>
        <w:bottom w:val="none" w:sz="0" w:space="0" w:color="auto"/>
        <w:right w:val="none" w:sz="0" w:space="0" w:color="auto"/>
      </w:divBdr>
    </w:div>
    <w:div w:id="2056661160">
      <w:bodyDiv w:val="1"/>
      <w:marLeft w:val="0"/>
      <w:marRight w:val="0"/>
      <w:marTop w:val="0"/>
      <w:marBottom w:val="0"/>
      <w:divBdr>
        <w:top w:val="none" w:sz="0" w:space="0" w:color="auto"/>
        <w:left w:val="none" w:sz="0" w:space="0" w:color="auto"/>
        <w:bottom w:val="none" w:sz="0" w:space="0" w:color="auto"/>
        <w:right w:val="none" w:sz="0" w:space="0" w:color="auto"/>
      </w:divBdr>
    </w:div>
    <w:div w:id="2080902475">
      <w:bodyDiv w:val="1"/>
      <w:marLeft w:val="0"/>
      <w:marRight w:val="0"/>
      <w:marTop w:val="0"/>
      <w:marBottom w:val="0"/>
      <w:divBdr>
        <w:top w:val="none" w:sz="0" w:space="0" w:color="auto"/>
        <w:left w:val="none" w:sz="0" w:space="0" w:color="auto"/>
        <w:bottom w:val="none" w:sz="0" w:space="0" w:color="auto"/>
        <w:right w:val="none" w:sz="0" w:space="0" w:color="auto"/>
      </w:divBdr>
    </w:div>
    <w:div w:id="2090301231">
      <w:bodyDiv w:val="1"/>
      <w:marLeft w:val="0"/>
      <w:marRight w:val="0"/>
      <w:marTop w:val="0"/>
      <w:marBottom w:val="0"/>
      <w:divBdr>
        <w:top w:val="none" w:sz="0" w:space="0" w:color="auto"/>
        <w:left w:val="none" w:sz="0" w:space="0" w:color="auto"/>
        <w:bottom w:val="none" w:sz="0" w:space="0" w:color="auto"/>
        <w:right w:val="none" w:sz="0" w:space="0" w:color="auto"/>
      </w:divBdr>
    </w:div>
    <w:div w:id="2133791467">
      <w:bodyDiv w:val="1"/>
      <w:marLeft w:val="0"/>
      <w:marRight w:val="0"/>
      <w:marTop w:val="0"/>
      <w:marBottom w:val="0"/>
      <w:divBdr>
        <w:top w:val="none" w:sz="0" w:space="0" w:color="auto"/>
        <w:left w:val="none" w:sz="0" w:space="0" w:color="auto"/>
        <w:bottom w:val="none" w:sz="0" w:space="0" w:color="auto"/>
        <w:right w:val="none" w:sz="0" w:space="0" w:color="auto"/>
      </w:divBdr>
    </w:div>
    <w:div w:id="2134246271">
      <w:bodyDiv w:val="1"/>
      <w:marLeft w:val="0"/>
      <w:marRight w:val="0"/>
      <w:marTop w:val="0"/>
      <w:marBottom w:val="0"/>
      <w:divBdr>
        <w:top w:val="none" w:sz="0" w:space="0" w:color="auto"/>
        <w:left w:val="none" w:sz="0" w:space="0" w:color="auto"/>
        <w:bottom w:val="none" w:sz="0" w:space="0" w:color="auto"/>
        <w:right w:val="none" w:sz="0" w:space="0" w:color="auto"/>
      </w:divBdr>
    </w:div>
    <w:div w:id="2138722820">
      <w:bodyDiv w:val="1"/>
      <w:marLeft w:val="0"/>
      <w:marRight w:val="0"/>
      <w:marTop w:val="0"/>
      <w:marBottom w:val="0"/>
      <w:divBdr>
        <w:top w:val="none" w:sz="0" w:space="0" w:color="auto"/>
        <w:left w:val="none" w:sz="0" w:space="0" w:color="auto"/>
        <w:bottom w:val="none" w:sz="0" w:space="0" w:color="auto"/>
        <w:right w:val="none" w:sz="0" w:space="0" w:color="auto"/>
      </w:divBdr>
    </w:div>
    <w:div w:id="214669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nu2301\Application%20Data\Microsoft\Templates\RAMA%20HEB%20SEME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378E2-395C-4FB2-A6A7-6566D69BA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RAMA HEB SEMEL.dot</Template>
  <TotalTime>2</TotalTime>
  <Pages>10</Pages>
  <Words>4228</Words>
  <Characters>21140</Characters>
  <Application>Microsoft Office Word</Application>
  <DocSecurity>4</DocSecurity>
  <Lines>176</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 Deutscher</dc:creator>
  <cp:lastModifiedBy>איריס ברם-גזית</cp:lastModifiedBy>
  <cp:revision>2</cp:revision>
  <cp:lastPrinted>2013-04-18T11:16:00Z</cp:lastPrinted>
  <dcterms:created xsi:type="dcterms:W3CDTF">2013-10-20T08:11:00Z</dcterms:created>
  <dcterms:modified xsi:type="dcterms:W3CDTF">2013-10-20T08:11:00Z</dcterms:modified>
</cp:coreProperties>
</file>