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PolyAtlas — Code and Reproduction Guide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PEDS-26-0067 (revised). How every result, table, and figure in the manuscript was produced, and how to reproduce them.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Environment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All analyses run in Python 3.10. The core dependencies (tested/minimum versions; ANARCI and abnumber are pinned exactly, others use minimum-version constraints) are: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scikit-learn v1.3, pandas v2.0, numpy v1.24, datasets v2.14 (Hugging Face), matplotlib v3.7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For CDR annotation of the external dataset: ANARCI (IMGT scheme), accessed through the abnumber wrapper. HMMER is the only non-Python dependency.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Random seeds are fixed throughout: the logistic-regression </w:t>
      </w:r>
      <w:r>
        <w:rPr>
          <w:rFonts w:ascii="Consolas" w:cs="Consolas" w:eastAsia="Consolas" w:hAnsi="Consolas"/>
          <w:sz w:val="19"/>
          <w:szCs w:val="19"/>
        </w:rPr>
        <w:t xml:space="preserve">random_state</w:t>
      </w:r>
      <w:r>
        <w:rPr>
          <w:rFonts w:ascii="Calibri" w:cs="Calibri" w:eastAsia="Calibri" w:hAnsi="Calibri"/>
          <w:sz w:val="22"/>
          <w:szCs w:val="22"/>
        </w:rPr>
        <w:t xml:space="preserve"> and the bootstrap </w:t>
      </w:r>
      <w:r>
        <w:rPr>
          <w:rFonts w:ascii="Consolas" w:cs="Consolas" w:eastAsia="Consolas" w:hAnsi="Consolas"/>
          <w:sz w:val="19"/>
          <w:szCs w:val="19"/>
        </w:rPr>
        <w:t xml:space="preserve">random_state</w:t>
      </w:r>
      <w:r>
        <w:rPr>
          <w:rFonts w:ascii="Calibri" w:cs="Calibri" w:eastAsia="Calibri" w:hAnsi="Calibri"/>
          <w:sz w:val="22"/>
          <w:szCs w:val="22"/>
        </w:rPr>
        <w:t xml:space="preserve"> are both 42, with 500 bootstrap resamples.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Data sources</w:t>
      </w:r>
    </w:p>
    <w:p>
      <w:pPr>
        <w:spacing w:after="15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NbBench PolyRx (primary benchmark). </w:t>
      </w:r>
      <w:r>
        <w:rPr>
          <w:rFonts w:ascii="Calibri" w:cs="Calibri" w:eastAsia="Calibri" w:hAnsi="Calibri"/>
          <w:sz w:val="22"/>
          <w:szCs w:val="22"/>
        </w:rPr>
        <w:t xml:space="preserve">Publicly available from Hugging Face at ZYMScott/polyreaction. Combines polyreactivity-labeled VHH sequences from Harvey et al. (2022) and Zhou et al. (2024); pre-split into train/validation/test by MMseqs2 clustering at 70% identity. Labels trace to the Harvey synthetic-library assay.</w:t>
      </w:r>
    </w:p>
    <w:p>
      <w:pPr>
        <w:spacing w:after="15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Conventional antibody datasets (for Model 3). </w:t>
      </w:r>
      <w:r>
        <w:rPr>
          <w:rFonts w:ascii="Calibri" w:cs="Calibri" w:eastAsia="Calibri" w:hAnsi="Calibri"/>
          <w:sz w:val="22"/>
          <w:szCs w:val="22"/>
        </w:rPr>
        <w:t xml:space="preserve">Boughter 2020 (n=1,169), Shehata 2019 (n=398), Jain 2017 (n=137); obtained from the respective publications.</w:t>
      </w:r>
    </w:p>
    <w:p>
      <w:pPr>
        <w:spacing w:after="15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Chen et al. 2024 (external validation). </w:t>
      </w:r>
      <w:r>
        <w:rPr>
          <w:rFonts w:ascii="Calibri" w:cs="Calibri" w:eastAsia="Calibri" w:hAnsi="Calibri"/>
          <w:sz w:val="22"/>
          <w:szCs w:val="22"/>
        </w:rPr>
        <w:t xml:space="preserve">Human antibody polyreactivity dataset from the Tessier laboratory. Public under an MIT license: GitHub Tessier-Lab-UMich/Human_Ab_Polyreactivity; Zenodo record 14735846. The reproduction notebook downloads it automatically from the GitHub release archive. Raw source libraries are not redistributed in our repository.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Feature computation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All models use the identical 52-feature physicochemical catalog, computed by a single function applied to both NbBench and Chen sequences. The catalog comprises 12 features per region (CDR-H1, CDR-H2, CDR-H3, full domain) plus 4 CDR-H3/full-sequence global features. Key definitions: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Net charge at pH 7.4: +1 for K and R, -1 for D and E, +0.1 for H.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Hydrophobicity: Kyte-Doolittle scale (mean, fraction hydrophobic, max hydrophobic run).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Isoelectric point: bisection on a Bjellqvist-simplified pKa model.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Composition: fractions of positive/negative/aromatic residues and of W, R, V, G; CDR-H3 charge dipole (N-half minus C-half net charge).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Implemented in </w:t>
      </w:r>
      <w:r>
        <w:rPr>
          <w:rFonts w:ascii="Consolas" w:cs="Consolas" w:eastAsia="Consolas" w:hAnsi="Consolas"/>
          <w:sz w:val="19"/>
          <w:szCs w:val="19"/>
        </w:rPr>
        <w:t xml:space="preserve">chen_harness.py</w:t>
      </w:r>
      <w:r>
        <w:rPr>
          <w:rFonts w:ascii="Calibri" w:cs="Calibri" w:eastAsia="Calibri" w:hAnsi="Calibri"/>
          <w:sz w:val="22"/>
          <w:szCs w:val="22"/>
        </w:rPr>
        <w:t xml:space="preserve"> (build_features) and in the repository feature-computation notebook. The two are identical so that Chen features match NbBench features exactly.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Reproducing each manuscript result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Baseline and forward selection (Sections 3.1-3.2, Figure 1)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Compute the 52-feature catalog on NbBench train/validation.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Model 4 baseline: use raw CDR-H3 net charge as the score; AUROC 0.726.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Greedy forward selection from CDR-H3 charge, using NbBench validation AUROC as the gain criterion; stop when marginal gain &lt; 0.0005 after &gt;= 10 steps. Run three variants (full 52, CDR-only 39, CDR-H3-only 15).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Figure 1 is produced by figures_revision/make_figure1.py.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Univariate ranking (Section 3.3, Figure 2, Supp. Figure S1)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For each feature, fit a one-feature logistic regression on NbBench train, evaluate AUROC on NbBench validation, and rank. Top 10 are all charge-related.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Figure 2: figures_revision/make_figure2.py. Supplementary Figure S1 (distributions of all 20 Figure-2 features across the entire retained NbBench dataset, n=141,204, by label): run make_figureS1_notebook.ipynb in chen_validation/.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Leaderboard comparison (Sections 3.4-3.7, Table 2, Figures 3-4)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Fit Models 1-3 on NbBench train (standardized features; class_weight=balanced; L2; C=1.0). Evaluate on the NbBench test partition (n=24,955).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Report AUROC with 500-resample bootstrap 95% CIs, AUPRC, precision at recall {0.50, 0.80, 0.95}, and top-k enrichment.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Compare against the 11 NbBench language-model means (Zhang and Tsuda 2025, Table 10). Figures 3-4: make_figure3.py, make_figure4.py. Model 1 coefficients: models/model1_coefficients.csv.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External validation (Section 3.8, Figure 5)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Fully reproduced by the canonical notebook </w:t>
      </w:r>
      <w:r>
        <w:rPr>
          <w:rFonts w:ascii="Consolas" w:cs="Consolas" w:eastAsia="Consolas" w:hAnsi="Consolas"/>
          <w:sz w:val="19"/>
          <w:szCs w:val="19"/>
        </w:rPr>
        <w:t xml:space="preserve">chen_anarci_validation.ipynb</w:t>
      </w:r>
      <w:r>
        <w:rPr>
          <w:rFonts w:ascii="Calibri" w:cs="Calibri" w:eastAsia="Calibri" w:hAnsi="Calibri"/>
          <w:sz w:val="22"/>
          <w:szCs w:val="22"/>
        </w:rPr>
        <w:t xml:space="preserve"> (Google Colab, CPU runtime, ~15 min), which performs ANARCI annotation and the common-test evaluation in a single run. Steps: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Install ANARCI via pip (apt install hmmer; pip install anarci abnumber). No conda.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Download the Chen data and the frozen Model 1 coefficients.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Sample 80,000 class-balanced VH sequences (40,000 per class, random_state=42); annotate CDR-H1/H2/H3 with ANARCI (IMGT). 79,999 succeed.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Compute the identical feature catalog.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Frozen zero-shot transfer (external validation): apply the NbBench Model 1 coefficients with zero refit. On the common held-out test set (n=16,000): AUROC 0.785 [0.777, 0.791], AUPRC 0.774. Scored on all 79,999 annotated antibodies (reported parenthetically): AUROC 0.781 [0.777, 0.783], AUPRC 0.768.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Within-Chen recalibration (exploratory upper bound): refit the 13-feature family on the 80% training portion, evaluate on the common held-out test set. AUROC 0.892, AUPRC 0.896.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Full 52-feature refit (upper bound), common test: AUROC 0.975, AUPRC 0.975. Charge baselines on common test: full-sequence charge AUROC 0.903 / AUPRC 0.892.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Every Figure 5A,B bar is evaluated on the same common held-out test set. The coefficient-conservation panel (Figure 5C) compares NbBench and Chen coefficient signs. Figure 5 is produced by make_figure5.py, which reads chen_fig5_merged.json.</w:t>
      </w:r>
    </w:p>
    <w:p>
      <w:pPr>
        <w:spacing w:after="15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raising N_PER_CLASS in the notebook uses more of the ~246k library. The reported numbers use the balanced 80k sample.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Figure scripts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Produces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figures_revision/make_figure1.py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Figure 1 (forward-selection climb) — PDF + 350 dpi TIFF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figures_revision/make_figure2.py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Figure 2 (univariate importance) — PDF + 350 dpi TIFF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figures_revision/make_figure3.py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Figure 3 (performance comparison) — PDF + 350 dpi TIFF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figures_revision/make_figure4.py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Figure 4 (Model 1 coefficients) — PDF + 350 dpi TIFF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figures_revision/make_figure5.py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Figure 5 (Chen validation, common-test A/B/C) — PDF + 350 dpi TIFF</w:t>
            </w:r>
          </w:p>
        </w:tc>
      </w:tr>
      <w:t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make_figureS1.py</w:t>
            </w:r>
          </w:p>
        </w:tc>
        <w:tc>
          <w:tcPr>
            <w:tcW w:type="dxa" w:w="5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Supplementary Figure S1 (feature distributions) — PDF + 350 dpi TIFF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Repository layout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The public repository is organized as follows (paths relative to the repo root):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polyatlas-peds/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notebooks/           feature computation + Results 3.1-3.7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models/              model1_coefficients.csv (+ train means/stds)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figures/             make_figure1..4.py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chen_validation/     chen_anarci_validation.ipynb (canonical),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make_figureS1_notebook.ipynb, chen_harness.py,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chen_fig5_merged.json, make_figure5.py,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make_figureS1.py, README.md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figures_revision/    FINAL R1 figure set: all 6 figures (PDF+TIFF)</w:t>
      </w:r>
    </w:p>
    <w:p>
      <w:pPr>
        <w:pBdr>
          <w:left w:val="single" w:color="CCCCCC" w:sz="14" w:space="120"/>
        </w:pBdr>
        <w:shd w:fill="F4F4F4" w:val="clear"/>
        <w:spacing w:after="4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LICENSE (MIT), README.md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One-line reproduction summary</w:t>
      </w:r>
    </w:p>
    <w:p>
      <w:pPr>
        <w:spacing w:after="150" w:line="300"/>
      </w:pPr>
      <w:r>
        <w:rPr>
          <w:rFonts w:ascii="Calibri" w:cs="Calibri" w:eastAsia="Calibri" w:hAnsi="Calibri"/>
          <w:sz w:val="22"/>
          <w:szCs w:val="22"/>
        </w:rPr>
        <w:t xml:space="preserve">Primary benchmark results (Sections 3.1-3.7, Tables, Figures 1-4): run the repository notebooks in order on the NbBench data. External validation (Section 3.8, Figure 5): open the canonical chen_validation/chen_anarci_validation.ipynb in Google Colab (CPU) and Run all; it reproduces both the parenthetical all-79,999 frozen score and the common held-out test set (n=16,000) for every Figure 5A,B bar. All numbers regenerate from fixed seeds (random_state=42).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PolyAtlas Code and Reproduction Guide</dc:title>
  <dc:creator>PolyAtlas authors</dc:creator>
  <cp:lastModifiedBy>Un-named</cp:lastModifiedBy>
  <cp:revision>1</cp:revision>
  <dcterms:created xsi:type="dcterms:W3CDTF">2026-07-21T01:44:34.971Z</dcterms:created>
  <dcterms:modified xsi:type="dcterms:W3CDTF">2026-07-21T01:44:34.971Z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