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b/>
          <w:i w:val="0"/>
          <w:color w:val="B38B4E"/>
          <w:sz w:val="17"/>
        </w:rPr>
        <w:t>PRODUCT AND FEATURE GUIDE  |  29 OCTOBER 2026</w:t>
      </w:r>
    </w:p>
    <w:p>
      <w:pPr>
        <w:keepNext/>
        <w:spacing w:before="160" w:after="160"/>
      </w:pPr>
      <w:r>
        <w:rPr>
          <w:rFonts w:ascii="Arial" w:hAnsi="Arial"/>
          <w:b/>
          <w:i w:val="0"/>
          <w:color w:val="17272D"/>
          <w:sz w:val="68"/>
        </w:rPr>
        <w:t>DigitalWitness</w:t>
      </w:r>
    </w:p>
    <w:p>
      <w:pPr>
        <w:spacing w:after="280"/>
      </w:pPr>
      <w:r>
        <w:rPr>
          <w:rFonts w:ascii="Arial" w:hAnsi="Arial"/>
          <w:b/>
          <w:i w:val="0"/>
          <w:color w:val="B38B4E"/>
          <w:sz w:val="42"/>
        </w:rPr>
        <w:t>Website Feature Guide</w:t>
      </w:r>
    </w:p>
    <w:p>
      <w:pPr>
        <w:widowControl/>
        <w:spacing w:after="280"/>
      </w:pPr>
      <w:r>
        <w:rPr>
          <w:rFonts w:ascii="Arial" w:hAnsi="Arial"/>
          <w:b w:val="0"/>
          <w:i w:val="0"/>
          <w:color w:val="263238"/>
          <w:sz w:val="21"/>
        </w:rPr>
        <w:t>A plain-language guide to the current website, its evidence workflow, review roles, and the limits users should understand.</w:t>
      </w:r>
    </w:p>
    <w:p>
      <w:pPr>
        <w:pStyle w:val="Heading1"/>
      </w:pPr>
      <w:r>
        <w:t>What the website is for</w:t>
      </w:r>
    </w:p>
    <w:p>
      <w:pPr>
        <w:widowControl/>
        <w:spacing w:after="100"/>
      </w:pPr>
      <w:r>
        <w:rPr>
          <w:rFonts w:ascii="Arial" w:hAnsi="Arial"/>
          <w:b w:val="0"/>
          <w:i w:val="0"/>
          <w:color w:val="263238"/>
          <w:sz w:val="21"/>
        </w:rPr>
        <w:t>DigitalWitness gives a person a private place to document online harm, preserve the files they already have, review machine-assisted observations, and prepare a complaint draft. It is designed around control, careful handling, and a clear record of what happened inside the workspace.</w:t>
      </w:r>
    </w:p>
    <w:p>
      <w:pPr>
        <w:spacing w:after="100"/>
      </w:pPr>
      <w:r>
        <w:rPr>
          <w:rFonts w:ascii="Arial" w:hAnsi="Arial"/>
          <w:b/>
          <w:i w:val="0"/>
          <w:color w:val="B38B4E"/>
          <w:sz w:val="17"/>
        </w:rPr>
        <w:t>THE CORE JOURNEY</w:t>
      </w:r>
    </w:p>
    <w:p>
      <w:pPr>
        <w:spacing w:after="240"/>
      </w:pPr>
      <w:r>
        <w:rPr>
          <w:rFonts w:ascii="Arial" w:hAnsi="Arial"/>
          <w:b/>
          <w:i w:val="0"/>
          <w:color w:val="17272D"/>
          <w:sz w:val="24"/>
        </w:rPr>
        <w:t>01  Preserve</w:t>
      </w:r>
      <w:r>
        <w:rPr>
          <w:rFonts w:ascii="Arial" w:hAnsi="Arial"/>
          <w:b/>
          <w:i w:val="0"/>
          <w:color w:val="B38B4E"/>
          <w:sz w:val="24"/>
        </w:rPr>
        <w:t xml:space="preserve">   &gt;   </w:t>
      </w:r>
      <w:r>
        <w:rPr>
          <w:rFonts w:ascii="Arial" w:hAnsi="Arial"/>
          <w:b/>
          <w:i w:val="0"/>
          <w:color w:val="17272D"/>
          <w:sz w:val="24"/>
        </w:rPr>
        <w:t>02  Review</w:t>
      </w:r>
      <w:r>
        <w:rPr>
          <w:rFonts w:ascii="Arial" w:hAnsi="Arial"/>
          <w:b/>
          <w:i w:val="0"/>
          <w:color w:val="B38B4E"/>
          <w:sz w:val="24"/>
        </w:rPr>
        <w:t xml:space="preserve">   &gt;   </w:t>
      </w:r>
      <w:r>
        <w:rPr>
          <w:rFonts w:ascii="Arial" w:hAnsi="Arial"/>
          <w:b/>
          <w:i w:val="0"/>
          <w:color w:val="17272D"/>
          <w:sz w:val="24"/>
        </w:rPr>
        <w:t>03  Prepare</w:t>
      </w:r>
      <w:r>
        <w:rPr>
          <w:rFonts w:ascii="Arial" w:hAnsi="Arial"/>
          <w:b/>
          <w:i w:val="0"/>
          <w:color w:val="B38B4E"/>
          <w:sz w:val="24"/>
        </w:rPr>
        <w:t xml:space="preserve">   &gt;   </w:t>
      </w:r>
      <w:r>
        <w:rPr>
          <w:rFonts w:ascii="Arial" w:hAnsi="Arial"/>
          <w:b/>
          <w:i w:val="0"/>
          <w:color w:val="17272D"/>
          <w:sz w:val="24"/>
        </w:rPr>
        <w:t>04  Choose next step</w:t>
      </w:r>
    </w:p>
    <w:p>
      <w:pPr>
        <w:pStyle w:val="Heading2"/>
      </w:pPr>
      <w:r>
        <w:t>Product commitments</w:t>
      </w:r>
    </w:p>
    <w:p>
      <w:pPr>
        <w:pStyle w:val="ListBullet"/>
        <w:keepLines/>
        <w:spacing w:after="60"/>
        <w:ind w:left="317" w:hanging="202"/>
      </w:pPr>
      <w:r>
        <w:rPr>
          <w:rFonts w:ascii="Arial" w:hAnsi="Arial"/>
          <w:b w:val="0"/>
          <w:i w:val="0"/>
          <w:color w:val="263238"/>
          <w:sz w:val="20"/>
        </w:rPr>
        <w:t>Start with the evidence available. A reporter can document threat screenshots without possessing or uploading an alleged intimate image.</w:t>
      </w:r>
    </w:p>
    <w:p>
      <w:pPr>
        <w:pStyle w:val="ListBullet"/>
        <w:keepLines/>
        <w:spacing w:after="60"/>
        <w:ind w:left="317" w:hanging="202"/>
      </w:pPr>
      <w:r>
        <w:rPr>
          <w:rFonts w:ascii="Arial" w:hAnsi="Arial"/>
          <w:b w:val="0"/>
          <w:i w:val="0"/>
          <w:color w:val="263238"/>
          <w:sz w:val="20"/>
        </w:rPr>
        <w:t>Keep original evidence and personal details off-chain. A public blockchain stores a batch fingerprint and leaf count only.</w:t>
      </w:r>
    </w:p>
    <w:p>
      <w:pPr>
        <w:pStyle w:val="ListBullet"/>
        <w:keepLines/>
        <w:spacing w:after="60"/>
        <w:ind w:left="317" w:hanging="202"/>
      </w:pPr>
      <w:r>
        <w:rPr>
          <w:rFonts w:ascii="Arial" w:hAnsi="Arial"/>
          <w:b w:val="0"/>
          <w:i w:val="0"/>
          <w:color w:val="263238"/>
          <w:sz w:val="20"/>
        </w:rPr>
        <w:t>Treat AI output as a review lead. People inspect source material and record decisions with reasons.</w:t>
      </w:r>
    </w:p>
    <w:p>
      <w:pPr>
        <w:pStyle w:val="ListBullet"/>
        <w:keepLines/>
        <w:spacing w:after="60"/>
        <w:ind w:left="317" w:hanging="202"/>
      </w:pPr>
      <w:r>
        <w:rPr>
          <w:rFonts w:ascii="Arial" w:hAnsi="Arial"/>
          <w:b w:val="0"/>
          <w:i w:val="0"/>
          <w:color w:val="263238"/>
          <w:sz w:val="20"/>
        </w:rPr>
        <w:t>Let the reporter decide what to include in a draft and whether to continue to an official reporting channel.</w:t>
      </w:r>
    </w:p>
    <w:p>
      <w:pPr>
        <w:pStyle w:val="Heading2"/>
      </w:pPr>
      <w:r>
        <w:t>Current product status</w:t>
      </w:r>
    </w:p>
    <w:p>
      <w:pPr>
        <w:widowControl/>
        <w:spacing w:after="100"/>
      </w:pPr>
      <w:r>
        <w:rPr>
          <w:rFonts w:ascii="Arial" w:hAnsi="Arial"/>
          <w:b w:val="0"/>
          <w:i w:val="0"/>
          <w:color w:val="263238"/>
          <w:sz w:val="21"/>
        </w:rPr>
        <w:t>This is a working prototype and demonstration website. It supports a connected local stack and Polygon Amoy configuration, plus a synthetic mock mode for walkthroughs. It is not an emergency service, an official police system, or a production case-management deployment.</w:t>
      </w:r>
    </w:p>
    <w:p>
      <w:pPr>
        <w:widowControl/>
        <w:spacing w:after="0"/>
      </w:pPr>
      <w:r>
        <w:rPr>
          <w:rFonts w:ascii="Arial" w:hAnsi="Arial"/>
          <w:b w:val="0"/>
          <w:i w:val="0"/>
          <w:color w:val="263238"/>
          <w:sz w:val="21"/>
        </w:rPr>
        <w:t>This guide follows the project implementation guide while describing features present in the current website and backend.</w:t>
      </w:r>
    </w:p>
    <w:p>
      <w:r>
        <w:br w:type="page"/>
      </w:r>
    </w:p>
    <w:p>
      <w:pPr>
        <w:spacing w:after="100"/>
      </w:pPr>
      <w:r>
        <w:rPr>
          <w:rFonts w:ascii="Arial" w:hAnsi="Arial"/>
          <w:b/>
          <w:i w:val="0"/>
          <w:color w:val="B38B4E"/>
          <w:sz w:val="17"/>
        </w:rPr>
        <w:t>01  REPORTER WORKSPACE</w:t>
      </w:r>
    </w:p>
    <w:p>
      <w:pPr>
        <w:keepNext/>
        <w:spacing w:after="100"/>
      </w:pPr>
      <w:r>
        <w:rPr>
          <w:rFonts w:ascii="Arial" w:hAnsi="Arial"/>
          <w:b/>
          <w:i w:val="0"/>
          <w:color w:val="17272D"/>
          <w:sz w:val="48"/>
        </w:rPr>
        <w:t>A safer way to document</w:t>
      </w:r>
    </w:p>
    <w:p>
      <w:pPr>
        <w:widowControl/>
        <w:spacing w:after="160"/>
      </w:pPr>
      <w:r>
        <w:rPr>
          <w:rFonts w:ascii="Arial" w:hAnsi="Arial"/>
          <w:b w:val="0"/>
          <w:i w:val="0"/>
          <w:color w:val="263238"/>
          <w:sz w:val="21"/>
        </w:rPr>
        <w:t>The reporter controls the record from first contact through any external reporting decision.</w:t>
      </w:r>
    </w:p>
    <w:p>
      <w:pPr>
        <w:pStyle w:val="Heading2"/>
      </w:pPr>
      <w:r>
        <w:t>Before sign-in: safety and orientation</w:t>
      </w:r>
    </w:p>
    <w:p>
      <w:pPr>
        <w:widowControl/>
        <w:spacing w:after="100"/>
      </w:pPr>
      <w:r>
        <w:rPr>
          <w:rFonts w:ascii="Arial" w:hAnsi="Arial"/>
          <w:b w:val="0"/>
          <w:i w:val="0"/>
          <w:color w:val="263238"/>
          <w:sz w:val="21"/>
        </w:rPr>
        <w:t>The landing page explains the evidence workflow, privacy boundaries, and the difference between preserving a record and filing a complaint. An urgent-help panel is available before sign-in. For immediate danger in India, it directs the user to call 112; no upload or AI review is required.</w:t>
      </w:r>
    </w:p>
    <w:p>
      <w:pPr>
        <w:pStyle w:val="Heading2"/>
      </w:pPr>
      <w:r>
        <w:t>Four-step documentation wizard</w:t>
      </w:r>
    </w:p>
    <w:p>
      <w:pPr>
        <w:keepLines/>
        <w:spacing w:after="100"/>
      </w:pPr>
      <w:r>
        <w:rPr>
          <w:rFonts w:ascii="Arial" w:hAnsi="Arial"/>
          <w:b/>
          <w:i w:val="0"/>
          <w:color w:val="17272D"/>
          <w:sz w:val="20"/>
        </w:rPr>
        <w:t xml:space="preserve">1  What happened. </w:t>
      </w:r>
      <w:r>
        <w:rPr>
          <w:rFonts w:ascii="Arial" w:hAnsi="Arial"/>
          <w:b w:val="0"/>
          <w:i w:val="0"/>
          <w:color w:val="263238"/>
          <w:sz w:val="20"/>
        </w:rPr>
        <w:t>Choose a focus in familiar language: repeated contact, threats or blackmail, intimate-image abuse, defamation or morphing, or impersonation. These categories focus review; they are not legal findings.</w:t>
      </w:r>
    </w:p>
    <w:p>
      <w:pPr>
        <w:keepLines/>
        <w:spacing w:after="100"/>
      </w:pPr>
      <w:r>
        <w:rPr>
          <w:rFonts w:ascii="Arial" w:hAnsi="Arial"/>
          <w:b/>
          <w:i w:val="0"/>
          <w:color w:val="17272D"/>
          <w:sz w:val="20"/>
        </w:rPr>
        <w:t xml:space="preserve">2  Incident details. </w:t>
      </w:r>
      <w:r>
        <w:rPr>
          <w:rFonts w:ascii="Arial" w:hAnsi="Arial"/>
          <w:b w:val="0"/>
          <w:i w:val="0"/>
          <w:color w:val="263238"/>
          <w:sz w:val="20"/>
        </w:rPr>
        <w:t>Add a short case title and the context known so far. Uncertain details can be left out. The prototype does not ask for Aadhaar, passwords, or a full home address.</w:t>
      </w:r>
    </w:p>
    <w:p>
      <w:pPr>
        <w:keepLines/>
        <w:spacing w:after="100"/>
      </w:pPr>
      <w:r>
        <w:rPr>
          <w:rFonts w:ascii="Arial" w:hAnsi="Arial"/>
          <w:b/>
          <w:i w:val="0"/>
          <w:color w:val="17272D"/>
          <w:sz w:val="20"/>
        </w:rPr>
        <w:t xml:space="preserve">3  Add evidence. </w:t>
      </w:r>
      <w:r>
        <w:rPr>
          <w:rFonts w:ascii="Arial" w:hAnsi="Arial"/>
          <w:b w:val="0"/>
          <w:i w:val="0"/>
          <w:color w:val="263238"/>
          <w:sz w:val="20"/>
        </w:rPr>
        <w:t>Upload a file to a new or existing report. The interface accepts the evidence available, including screenshots of threats. The alleged image is not required.</w:t>
      </w:r>
    </w:p>
    <w:p>
      <w:pPr>
        <w:keepLines/>
        <w:spacing w:after="100"/>
      </w:pPr>
      <w:r>
        <w:rPr>
          <w:rFonts w:ascii="Arial" w:hAnsi="Arial"/>
          <w:b/>
          <w:i w:val="0"/>
          <w:color w:val="17272D"/>
          <w:sz w:val="20"/>
        </w:rPr>
        <w:t xml:space="preserve">4  Review and save. </w:t>
      </w:r>
      <w:r>
        <w:rPr>
          <w:rFonts w:ascii="Arial" w:hAnsi="Arial"/>
          <w:b w:val="0"/>
          <w:i w:val="0"/>
          <w:color w:val="263238"/>
          <w:sz w:val="20"/>
        </w:rPr>
        <w:t>Check the selected case and file, then submit. The app shows upload progress and opens the evidence receipt when the upload completes.</w:t>
      </w:r>
    </w:p>
    <w:p>
      <w:pPr>
        <w:pStyle w:val="Heading2"/>
      </w:pPr>
      <w:r>
        <w:t>Example: threats involving an intimate or fake image</w:t>
      </w:r>
    </w:p>
    <w:p>
      <w:pPr>
        <w:widowControl/>
        <w:spacing w:after="100"/>
      </w:pPr>
      <w:r>
        <w:rPr>
          <w:rFonts w:ascii="Arial" w:hAnsi="Arial"/>
          <w:b w:val="0"/>
          <w:i w:val="0"/>
          <w:color w:val="263238"/>
          <w:sz w:val="21"/>
        </w:rPr>
        <w:t>A reporter can choose the threats or blackmail focus, describe the platform and account, and upload only the threatening messages. DigitalWitness does not require the person to obtain or upload an intimate image. A later draft can explain that only a threat was received, if that is what happened.</w:t>
      </w:r>
    </w:p>
    <w:p>
      <w:pPr>
        <w:pStyle w:val="Heading2"/>
      </w:pPr>
      <w:r>
        <w:t>Reporter pages</w:t>
      </w:r>
    </w:p>
    <w:tbl>
      <w:tblPr>
        <w:tblW w:type="auto" w:w="0"/>
        <w:jc w:val="center"/>
        <w:tblLayout w:type="fixed"/>
        <w:tblLook w:firstColumn="1" w:firstRow="1" w:lastColumn="0" w:lastRow="0" w:noHBand="0" w:noVBand="1" w:val="04A0"/>
      </w:tblPr>
      <w:tblGrid>
        <w:gridCol w:w="4939"/>
        <w:gridCol w:w="4939"/>
      </w:tblGrid>
      <w:tr>
        <w:tc>
          <w:tcPr>
            <w:tcW w:type="dxa" w:w="2232"/>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PAGE</w:t>
            </w:r>
          </w:p>
        </w:tc>
        <w:tc>
          <w:tcPr>
            <w:tcW w:type="dxa" w:w="7661"/>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WHAT IT SUPPORTS</w:t>
            </w:r>
          </w:p>
        </w:tc>
      </w:tr>
      <w:tr>
        <w:trPr>
          <w:cantSplit/>
        </w:trPr>
        <w:tc>
          <w:tcPr>
            <w:tcW w:type="dxa" w:w="2232"/>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Landing and sign-in</w:t>
            </w:r>
          </w:p>
        </w:tc>
        <w:tc>
          <w:tcPr>
            <w:tcW w:type="dxa" w:w="7661"/>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Explains the service, urgent-help option, account creation, and demo/live-mode notice.</w:t>
            </w:r>
          </w:p>
        </w:tc>
      </w:tr>
      <w:tr>
        <w:trPr>
          <w:cantSplit/>
        </w:trPr>
        <w:tc>
          <w:tcPr>
            <w:tcW w:type="dxa" w:w="2232"/>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My reports</w:t>
            </w:r>
          </w:p>
        </w:tc>
        <w:tc>
          <w:tcPr>
            <w:tcW w:type="dxa" w:w="7661"/>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Lists the reporter's own cases, evidence counts, AI leads, and integrity status.</w:t>
            </w:r>
          </w:p>
        </w:tc>
      </w:tr>
      <w:tr>
        <w:trPr>
          <w:cantSplit/>
        </w:trPr>
        <w:tc>
          <w:tcPr>
            <w:tcW w:type="dxa" w:w="2232"/>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Document evidence</w:t>
            </w:r>
          </w:p>
        </w:tc>
        <w:tc>
          <w:tcPr>
            <w:tcW w:type="dxa" w:w="7661"/>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Four-step case and upload wizard; add evidence to a new or existing report.</w:t>
            </w:r>
          </w:p>
        </w:tc>
      </w:tr>
      <w:tr>
        <w:trPr>
          <w:cantSplit/>
        </w:trPr>
        <w:tc>
          <w:tcPr>
            <w:tcW w:type="dxa" w:w="2232"/>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Case and evidence</w:t>
            </w:r>
          </w:p>
        </w:tc>
        <w:tc>
          <w:tcPr>
            <w:tcW w:type="dxa" w:w="7661"/>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Review activity, originals, receipts, analysis, and available next steps.</w:t>
            </w:r>
          </w:p>
        </w:tc>
      </w:tr>
      <w:tr>
        <w:trPr>
          <w:cantSplit/>
        </w:trPr>
        <w:tc>
          <w:tcPr>
            <w:tcW w:type="dxa" w:w="2232"/>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Complaint draft</w:t>
            </w:r>
          </w:p>
        </w:tc>
        <w:tc>
          <w:tcPr>
            <w:tcW w:type="dxa" w:w="7661"/>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Review case material, write a statement, download a packet, and choose whether to open the official portal.</w:t>
            </w:r>
          </w:p>
        </w:tc>
      </w:tr>
    </w:tbl>
    <w:p>
      <w:pPr>
        <w:spacing w:after="0"/>
      </w:pPr>
    </w:p>
    <w:p>
      <w:r>
        <w:br w:type="page"/>
      </w:r>
    </w:p>
    <w:p>
      <w:pPr>
        <w:spacing w:after="100"/>
      </w:pPr>
      <w:r>
        <w:rPr>
          <w:rFonts w:ascii="Arial" w:hAnsi="Arial"/>
          <w:b/>
          <w:i w:val="0"/>
          <w:color w:val="B38B4E"/>
          <w:sz w:val="17"/>
        </w:rPr>
        <w:t>02  EVIDENCE RECORD</w:t>
      </w:r>
    </w:p>
    <w:p>
      <w:pPr>
        <w:keepNext/>
        <w:spacing w:after="100"/>
      </w:pPr>
      <w:r>
        <w:rPr>
          <w:rFonts w:ascii="Arial" w:hAnsi="Arial"/>
          <w:b/>
          <w:i w:val="0"/>
          <w:color w:val="17272D"/>
          <w:sz w:val="48"/>
        </w:rPr>
        <w:t>Preserve the original. Show what changed.</w:t>
      </w:r>
    </w:p>
    <w:p>
      <w:pPr>
        <w:widowControl/>
        <w:spacing w:after="160"/>
      </w:pPr>
      <w:r>
        <w:rPr>
          <w:rFonts w:ascii="Arial" w:hAnsi="Arial"/>
          <w:b w:val="0"/>
          <w:i w:val="0"/>
          <w:color w:val="263238"/>
          <w:sz w:val="21"/>
        </w:rPr>
        <w:t>The evidence workflow records file handling and checks whether saved bytes still match the upload fingerprint.</w:t>
      </w:r>
    </w:p>
    <w:p>
      <w:pPr>
        <w:pStyle w:val="Heading2"/>
      </w:pPr>
      <w:r>
        <w:t>What happens to an upload</w:t>
      </w:r>
    </w:p>
    <w:tbl>
      <w:tblPr>
        <w:tblW w:type="auto" w:w="0"/>
        <w:jc w:val="center"/>
        <w:tblLayout w:type="fixed"/>
        <w:tblLook w:firstColumn="1" w:firstRow="1" w:lastColumn="0" w:lastRow="0" w:noHBand="0" w:noVBand="1" w:val="04A0"/>
      </w:tblPr>
      <w:tblGrid>
        <w:gridCol w:w="4939"/>
        <w:gridCol w:w="4939"/>
      </w:tblGrid>
      <w:tr>
        <w:tc>
          <w:tcPr>
            <w:tcW w:type="dxa" w:w="2304"/>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STAGE</w:t>
            </w:r>
          </w:p>
        </w:tc>
        <w:tc>
          <w:tcPr>
            <w:tcW w:type="dxa" w:w="7589"/>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CURRENT BEHAVIOR</w:t>
            </w:r>
          </w:p>
        </w:tc>
      </w:tr>
      <w:tr>
        <w:trPr>
          <w:cantSplit/>
        </w:trPr>
        <w:tc>
          <w:tcPr>
            <w:tcW w:type="dxa" w:w="2304"/>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Accepted formats</w:t>
            </w:r>
          </w:p>
        </w:tc>
        <w:tc>
          <w:tcPr>
            <w:tcW w:type="dxa" w:w="7589"/>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JPG, PNG, WEBP, PDF, TXT, JSON, MP3, WAV, M4A, MP4, MOV, and WEBM; default maximum is 100 MB.</w:t>
            </w:r>
          </w:p>
        </w:tc>
      </w:tr>
      <w:tr>
        <w:trPr>
          <w:cantSplit/>
        </w:trPr>
        <w:tc>
          <w:tcPr>
            <w:tcW w:type="dxa" w:w="2304"/>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Validation and fingerprint</w:t>
            </w:r>
          </w:p>
        </w:tc>
        <w:tc>
          <w:tcPr>
            <w:tcW w:type="dxa" w:w="7589"/>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The API checks supported file signatures and computes a SHA-256 fingerprint from uploaded bytes.</w:t>
            </w:r>
          </w:p>
        </w:tc>
      </w:tr>
      <w:tr>
        <w:trPr>
          <w:cantSplit/>
        </w:trPr>
        <w:tc>
          <w:tcPr>
            <w:tcW w:type="dxa" w:w="2304"/>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Private storage</w:t>
            </w:r>
          </w:p>
        </w:tc>
        <w:tc>
          <w:tcPr>
            <w:tcW w:type="dxa" w:w="7589"/>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The original is encrypted with AES-256-GCM and stored in a private Silo bucket. Access is authenticated and recorded.</w:t>
            </w:r>
          </w:p>
        </w:tc>
      </w:tr>
      <w:tr>
        <w:trPr>
          <w:cantSplit/>
        </w:trPr>
        <w:tc>
          <w:tcPr>
            <w:tcW w:type="dxa" w:w="2304"/>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Signed receipt</w:t>
            </w:r>
          </w:p>
        </w:tc>
        <w:tc>
          <w:tcPr>
            <w:tcW w:type="dxa" w:w="7589"/>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The reporter can view and download an HMAC-signed receipt with the upload fingerprint and timestamp.</w:t>
            </w:r>
          </w:p>
        </w:tc>
      </w:tr>
      <w:tr>
        <w:trPr>
          <w:cantSplit/>
        </w:trPr>
        <w:tc>
          <w:tcPr>
            <w:tcW w:type="dxa" w:w="2304"/>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Batch anchor</w:t>
            </w:r>
          </w:p>
        </w:tc>
        <w:tc>
          <w:tcPr>
            <w:tcW w:type="dxa" w:w="7589"/>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An integrity worker groups fingerprints into a Merkle tree and submits a batch root and leaf count to the configured chain.</w:t>
            </w:r>
          </w:p>
        </w:tc>
      </w:tr>
    </w:tbl>
    <w:p>
      <w:pPr>
        <w:spacing w:after="0"/>
      </w:pPr>
    </w:p>
    <w:p>
      <w:pPr>
        <w:pStyle w:val="Heading2"/>
      </w:pPr>
      <w:r>
        <w:t>Understanding integrity statuses</w:t>
      </w:r>
    </w:p>
    <w:tbl>
      <w:tblPr>
        <w:tblW w:type="auto" w:w="0"/>
        <w:jc w:val="center"/>
        <w:tblLayout w:type="fixed"/>
        <w:tblLook w:firstColumn="1" w:firstRow="1" w:lastColumn="0" w:lastRow="0" w:noHBand="0" w:noVBand="1" w:val="04A0"/>
      </w:tblPr>
      <w:tblGrid>
        <w:gridCol w:w="4939"/>
        <w:gridCol w:w="4939"/>
      </w:tblGrid>
      <w:tr>
        <w:tc>
          <w:tcPr>
            <w:tcW w:type="dxa" w:w="1944"/>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STATUS</w:t>
            </w:r>
          </w:p>
        </w:tc>
        <w:tc>
          <w:tcPr>
            <w:tcW w:type="dxa" w:w="7949"/>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MEANING</w:t>
            </w:r>
          </w:p>
        </w:tc>
      </w:tr>
      <w:tr>
        <w:trPr>
          <w:cantSplit/>
        </w:trPr>
        <w:tc>
          <w:tcPr>
            <w:tcW w:type="dxa" w:w="1944"/>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Verified</w:t>
            </w:r>
          </w:p>
        </w:tc>
        <w:tc>
          <w:tcPr>
            <w:tcW w:type="dxa" w:w="7949"/>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Stored file matches its recorded fingerprint and confirmed batch proof. This supports continuity after upload.</w:t>
            </w:r>
          </w:p>
        </w:tc>
      </w:tr>
      <w:tr>
        <w:trPr>
          <w:cantSplit/>
        </w:trPr>
        <w:tc>
          <w:tcPr>
            <w:tcW w:type="dxa" w:w="1944"/>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Pending</w:t>
            </w:r>
          </w:p>
        </w:tc>
        <w:tc>
          <w:tcPr>
            <w:tcW w:type="dxa" w:w="7949"/>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The item has not yet been anchored or confirmed. It is not a tampering finding.</w:t>
            </w:r>
          </w:p>
        </w:tc>
      </w:tr>
      <w:tr>
        <w:trPr>
          <w:cantSplit/>
        </w:trPr>
        <w:tc>
          <w:tcPr>
            <w:tcW w:type="dxa" w:w="1944"/>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Altered</w:t>
            </w:r>
          </w:p>
        </w:tc>
        <w:tc>
          <w:tcPr>
            <w:tcW w:type="dxa" w:w="7949"/>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Stored bytes or saved proof do not match the recorded fingerprint/proof. Review the record and service history.</w:t>
            </w:r>
          </w:p>
        </w:tc>
      </w:tr>
      <w:tr>
        <w:trPr>
          <w:cantSplit/>
        </w:trPr>
        <w:tc>
          <w:tcPr>
            <w:tcW w:type="dxa" w:w="1944"/>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Error</w:t>
            </w:r>
          </w:p>
        </w:tc>
        <w:tc>
          <w:tcPr>
            <w:tcW w:type="dxa" w:w="7949"/>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A required storage or chain service could not complete the check. An outage is not an alteration result.</w:t>
            </w:r>
          </w:p>
        </w:tc>
      </w:tr>
    </w:tbl>
    <w:p>
      <w:pPr>
        <w:spacing w:after="0"/>
      </w:pPr>
    </w:p>
    <w:p>
      <w:pPr>
        <w:pStyle w:val="Heading2"/>
      </w:pPr>
      <w:r>
        <w:t>What the blockchain contains</w:t>
      </w:r>
    </w:p>
    <w:p>
      <w:pPr>
        <w:widowControl/>
        <w:spacing w:after="100"/>
      </w:pPr>
      <w:r>
        <w:rPr>
          <w:rFonts w:ascii="Arial" w:hAnsi="Arial"/>
          <w:b w:val="0"/>
          <w:i w:val="0"/>
          <w:color w:val="263238"/>
          <w:sz w:val="21"/>
        </w:rPr>
        <w:t>Only a Merkle batch root and leaf count are written on-chain. The file, reporter name, case description, complaint statement, and individual file fingerprint are not placed on-chain. Local Hardhat is an isolated development fallback; it is not a public shared website network. Polygon Amoy requires a configured RPC, deployed contract, and funded test wallet.</w:t>
      </w:r>
    </w:p>
    <w:p>
      <w:pPr>
        <w:pStyle w:val="Heading2"/>
      </w:pPr>
      <w:r>
        <w:t>What a successful check establishes</w:t>
      </w:r>
    </w:p>
    <w:p>
      <w:pPr>
        <w:widowControl/>
        <w:spacing w:after="0"/>
      </w:pPr>
      <w:r>
        <w:rPr>
          <w:rFonts w:ascii="Arial" w:hAnsi="Arial"/>
          <w:b w:val="0"/>
          <w:i w:val="0"/>
          <w:color w:val="263238"/>
          <w:sz w:val="21"/>
        </w:rPr>
        <w:t>A matching fingerprint supports the claim that the stored file has not changed since it was recorded. It does not establish who created the file, who controlled the account shown, when depicted events occurred, or whether content was true when first captured.</w:t>
      </w:r>
    </w:p>
    <w:p>
      <w:r>
        <w:br w:type="page"/>
      </w:r>
    </w:p>
    <w:p>
      <w:pPr>
        <w:spacing w:after="100"/>
      </w:pPr>
      <w:r>
        <w:rPr>
          <w:rFonts w:ascii="Arial" w:hAnsi="Arial"/>
          <w:b/>
          <w:i w:val="0"/>
          <w:color w:val="B38B4E"/>
          <w:sz w:val="17"/>
        </w:rPr>
        <w:t>03  AI-ASSISTED REVIEW</w:t>
      </w:r>
    </w:p>
    <w:p>
      <w:pPr>
        <w:keepNext/>
        <w:spacing w:after="100"/>
      </w:pPr>
      <w:r>
        <w:rPr>
          <w:rFonts w:ascii="Arial" w:hAnsi="Arial"/>
          <w:b/>
          <w:i w:val="0"/>
          <w:color w:val="17272D"/>
          <w:sz w:val="48"/>
        </w:rPr>
        <w:t>Useful leads, with visible limits</w:t>
      </w:r>
    </w:p>
    <w:p>
      <w:pPr>
        <w:widowControl/>
        <w:spacing w:after="160"/>
      </w:pPr>
      <w:r>
        <w:rPr>
          <w:rFonts w:ascii="Arial" w:hAnsi="Arial"/>
          <w:b w:val="0"/>
          <w:i w:val="0"/>
          <w:color w:val="263238"/>
          <w:sz w:val="21"/>
        </w:rPr>
        <w:t>The analysis layer organizes extracted material and possible connections. It does not decide guilt or authenticity.</w:t>
      </w:r>
    </w:p>
    <w:p>
      <w:pPr>
        <w:pStyle w:val="Heading2"/>
      </w:pPr>
      <w:r>
        <w:t>Five review focus areas</w:t>
      </w:r>
    </w:p>
    <w:tbl>
      <w:tblPr>
        <w:tblW w:type="auto" w:w="0"/>
        <w:jc w:val="center"/>
        <w:tblLayout w:type="fixed"/>
        <w:tblLook w:firstColumn="1" w:firstRow="1" w:lastColumn="0" w:lastRow="0" w:noHBand="0" w:noVBand="1" w:val="04A0"/>
      </w:tblPr>
      <w:tblGrid>
        <w:gridCol w:w="4939"/>
        <w:gridCol w:w="4939"/>
      </w:tblGrid>
      <w:tr>
        <w:tc>
          <w:tcPr>
            <w:tcW w:type="dxa" w:w="2952"/>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FOCUS</w:t>
            </w:r>
          </w:p>
        </w:tc>
        <w:tc>
          <w:tcPr>
            <w:tcW w:type="dxa" w:w="6941"/>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EXAMPLES OF MATERIAL TO REVIEW</w:t>
            </w:r>
          </w:p>
        </w:tc>
      </w:tr>
      <w:tr>
        <w:trPr>
          <w:cantSplit/>
        </w:trPr>
        <w:tc>
          <w:tcPr>
            <w:tcW w:type="dxa" w:w="2952"/>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Cyberstalking or bullying</w:t>
            </w:r>
          </w:p>
        </w:tc>
        <w:tc>
          <w:tcPr>
            <w:tcW w:type="dxa" w:w="6941"/>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Repeated unwanted contact, monitoring, or hostile messages.</w:t>
            </w:r>
          </w:p>
        </w:tc>
      </w:tr>
      <w:tr>
        <w:trPr>
          <w:cantSplit/>
        </w:trPr>
        <w:tc>
          <w:tcPr>
            <w:tcW w:type="dxa" w:w="2952"/>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Threats or blackmail</w:t>
            </w:r>
          </w:p>
        </w:tc>
        <w:tc>
          <w:tcPr>
            <w:tcW w:type="dxa" w:w="6941"/>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Threats, demands, coercive messages, or payment requests.</w:t>
            </w:r>
          </w:p>
        </w:tc>
      </w:tr>
      <w:tr>
        <w:trPr>
          <w:cantSplit/>
        </w:trPr>
        <w:tc>
          <w:tcPr>
            <w:tcW w:type="dxa" w:w="2952"/>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Intimate-image abuse</w:t>
            </w:r>
          </w:p>
        </w:tc>
        <w:tc>
          <w:tcPr>
            <w:tcW w:type="dxa" w:w="6941"/>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Threats to create or share intimate imagery, including fabricated imagery.</w:t>
            </w:r>
          </w:p>
        </w:tc>
      </w:tr>
      <w:tr>
        <w:trPr>
          <w:cantSplit/>
        </w:trPr>
        <w:tc>
          <w:tcPr>
            <w:tcW w:type="dxa" w:w="2952"/>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Defamation or morphing</w:t>
            </w:r>
          </w:p>
        </w:tc>
        <w:tc>
          <w:tcPr>
            <w:tcW w:type="dxa" w:w="6941"/>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Alleged altered images or damaging claims that need context review.</w:t>
            </w:r>
          </w:p>
        </w:tc>
      </w:tr>
      <w:tr>
        <w:trPr>
          <w:cantSplit/>
        </w:trPr>
        <w:tc>
          <w:tcPr>
            <w:tcW w:type="dxa" w:w="2952"/>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Fake-profile impersonation</w:t>
            </w:r>
          </w:p>
        </w:tc>
        <w:tc>
          <w:tcPr>
            <w:tcW w:type="dxa" w:w="6941"/>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Accounts or messages that may use another person's identity.</w:t>
            </w:r>
          </w:p>
        </w:tc>
      </w:tr>
    </w:tbl>
    <w:p>
      <w:pPr>
        <w:spacing w:after="0"/>
      </w:pPr>
    </w:p>
    <w:p>
      <w:pPr>
        <w:pStyle w:val="Heading2"/>
      </w:pPr>
      <w:r>
        <w:t>Extraction and review features</w:t>
      </w:r>
    </w:p>
    <w:p>
      <w:pPr>
        <w:pStyle w:val="ListBullet"/>
        <w:keepLines/>
        <w:spacing w:after="60"/>
        <w:ind w:left="317" w:hanging="202"/>
      </w:pPr>
      <w:r>
        <w:rPr>
          <w:rFonts w:ascii="Arial" w:hAnsi="Arial"/>
          <w:b w:val="0"/>
          <w:i w:val="0"/>
          <w:color w:val="263238"/>
          <w:sz w:val="20"/>
        </w:rPr>
        <w:t>OCR can extract text from supported images and scanned PDF pages when configured OCR tools and language data are available. Selectable PDF text is also analyzed.</w:t>
      </w:r>
    </w:p>
    <w:p>
      <w:pPr>
        <w:pStyle w:val="ListBullet"/>
        <w:keepLines/>
        <w:spacing w:after="60"/>
        <w:ind w:left="317" w:hanging="202"/>
      </w:pPr>
      <w:r>
        <w:rPr>
          <w:rFonts w:ascii="Arial" w:hAnsi="Arial"/>
          <w:b w:val="0"/>
          <w:i w:val="0"/>
          <w:color w:val="263238"/>
          <w:sz w:val="20"/>
        </w:rPr>
        <w:t>Video analysis is limited to clips up to 60 seconds and at most four sampled frames. Audio files are preserved but are not transcribed by default.</w:t>
      </w:r>
    </w:p>
    <w:p>
      <w:pPr>
        <w:pStyle w:val="ListBullet"/>
        <w:keepLines/>
        <w:spacing w:after="60"/>
        <w:ind w:left="317" w:hanging="202"/>
      </w:pPr>
      <w:r>
        <w:rPr>
          <w:rFonts w:ascii="Arial" w:hAnsi="Arial"/>
          <w:b w:val="0"/>
          <w:i w:val="0"/>
          <w:color w:val="263238"/>
          <w:sz w:val="20"/>
        </w:rPr>
        <w:t>The analysis view can show extracted text, processing coverage, limited metadata observations, possible threat flags, account/contact indicators, and source-linked case summaries.</w:t>
      </w:r>
    </w:p>
    <w:p>
      <w:pPr>
        <w:pStyle w:val="ListBullet"/>
        <w:keepLines/>
        <w:spacing w:after="60"/>
        <w:ind w:left="317" w:hanging="202"/>
      </w:pPr>
      <w:r>
        <w:rPr>
          <w:rFonts w:ascii="Arial" w:hAnsi="Arial"/>
          <w:b w:val="0"/>
          <w:i w:val="0"/>
          <w:color w:val="263238"/>
          <w:sz w:val="20"/>
        </w:rPr>
        <w:t>Matching account or contact indicators can suggest a relationship between different cases. A reviewer inspects both sources and confirms or rejects the suggestion with a reason.</w:t>
      </w:r>
    </w:p>
    <w:p>
      <w:pPr>
        <w:pStyle w:val="ListBullet"/>
        <w:keepLines/>
        <w:spacing w:after="60"/>
        <w:ind w:left="317" w:hanging="202"/>
      </w:pPr>
      <w:r>
        <w:rPr>
          <w:rFonts w:ascii="Arial" w:hAnsi="Arial"/>
          <w:b w:val="0"/>
          <w:i w:val="0"/>
          <w:color w:val="263238"/>
          <w:sz w:val="20"/>
        </w:rPr>
        <w:t>Flags begin as pending and links begin as suggested. Investigator/admin decisions are recorded; labels do not automatically train the model.</w:t>
      </w:r>
    </w:p>
    <w:p>
      <w:pPr>
        <w:pStyle w:val="Heading2"/>
      </w:pPr>
      <w:r>
        <w:t>Media authenticity and AI limits</w:t>
      </w:r>
    </w:p>
    <w:p>
      <w:pPr>
        <w:widowControl/>
        <w:spacing w:after="100"/>
      </w:pPr>
      <w:r>
        <w:rPr>
          <w:rFonts w:ascii="Arial" w:hAnsi="Arial"/>
          <w:b w:val="0"/>
          <w:i w:val="0"/>
          <w:color w:val="263238"/>
          <w:sz w:val="21"/>
        </w:rPr>
        <w:t>The current build does not include a validated deepfake detector or image-forgery detector. Metadata is only an observation; it can be missing, edited, or spoofed. OCR, sampled frames, and optional model output can be incomplete or wrong.</w:t>
      </w:r>
    </w:p>
    <w:p>
      <w:pPr>
        <w:widowControl/>
        <w:spacing w:after="100"/>
      </w:pPr>
      <w:r>
        <w:rPr>
          <w:rFonts w:ascii="Arial" w:hAnsi="Arial"/>
          <w:b w:val="0"/>
          <w:i w:val="0"/>
          <w:color w:val="263238"/>
          <w:sz w:val="21"/>
        </w:rPr>
        <w:t>A threat screenshot can document the message shown in that screenshot. It does not independently establish whether an alleged image exists, whether it is authentic or fabricated, or who operated the account.</w:t>
      </w:r>
    </w:p>
    <w:p>
      <w:pPr>
        <w:pStyle w:val="Heading2"/>
      </w:pPr>
      <w:r>
        <w:t>Evaluation status</w:t>
      </w:r>
    </w:p>
    <w:p>
      <w:pPr>
        <w:widowControl/>
        <w:spacing w:after="0"/>
      </w:pPr>
      <w:r>
        <w:rPr>
          <w:rFonts w:ascii="Arial" w:hAnsi="Arial"/>
          <w:b w:val="0"/>
          <w:i w:val="0"/>
          <w:color w:val="263238"/>
          <w:sz w:val="21"/>
        </w:rPr>
        <w:t>Checked-in development and challenge examples are synthetic or generated fixtures. Their scores are software checks, not independent real-world accuracy. Real performance claims require consented, de-identified material, independent reviewers, separate development examples, and a held-out challenge set.</w:t>
      </w:r>
    </w:p>
    <w:p>
      <w:r>
        <w:br w:type="page"/>
      </w:r>
    </w:p>
    <w:p>
      <w:pPr>
        <w:spacing w:after="100"/>
      </w:pPr>
      <w:r>
        <w:rPr>
          <w:rFonts w:ascii="Arial" w:hAnsi="Arial"/>
          <w:b/>
          <w:i w:val="0"/>
          <w:color w:val="B38B4E"/>
          <w:sz w:val="17"/>
        </w:rPr>
        <w:t>04  ROLE-BASED WORKSPACE</w:t>
      </w:r>
    </w:p>
    <w:p>
      <w:pPr>
        <w:keepNext/>
        <w:spacing w:after="100"/>
      </w:pPr>
      <w:r>
        <w:rPr>
          <w:rFonts w:ascii="Arial" w:hAnsi="Arial"/>
          <w:b/>
          <w:i w:val="0"/>
          <w:color w:val="17272D"/>
          <w:sz w:val="48"/>
        </w:rPr>
        <w:t>Different responsibilities, clear boundaries</w:t>
      </w:r>
    </w:p>
    <w:p>
      <w:pPr>
        <w:widowControl/>
        <w:spacing w:after="160"/>
      </w:pPr>
      <w:r>
        <w:rPr>
          <w:rFonts w:ascii="Arial" w:hAnsi="Arial"/>
          <w:b w:val="0"/>
          <w:i w:val="0"/>
          <w:color w:val="263238"/>
          <w:sz w:val="21"/>
        </w:rPr>
        <w:t>Public registration creates a reporter account. Elevated review roles are assigned by an administrator, not selected during sign-up.</w:t>
      </w:r>
    </w:p>
    <w:tbl>
      <w:tblPr>
        <w:tblW w:type="auto" w:w="0"/>
        <w:jc w:val="center"/>
        <w:tblLayout w:type="fixed"/>
        <w:tblLook w:firstColumn="1" w:firstRow="1" w:lastColumn="0" w:lastRow="0" w:noHBand="0" w:noVBand="1" w:val="04A0"/>
      </w:tblPr>
      <w:tblGrid>
        <w:gridCol w:w="4939"/>
        <w:gridCol w:w="4939"/>
      </w:tblGrid>
      <w:tr>
        <w:tc>
          <w:tcPr>
            <w:tcW w:type="dxa" w:w="2088"/>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ROLE</w:t>
            </w:r>
          </w:p>
        </w:tc>
        <w:tc>
          <w:tcPr>
            <w:tcW w:type="dxa" w:w="7805"/>
            <w:vAlign w:val="center"/>
            <w:shd w:fill="17272D"/>
            <w:tcBorders>
              <w:top w:val="single" w:sz="3" w:color="D8DED9"/>
              <w:bottom w:val="single" w:sz="3" w:color="D8DED9"/>
              <w:left w:val="single" w:sz="3" w:color="D8DED9"/>
              <w:right w:val="single" w:sz="3" w:color="D8DED9"/>
            </w:tcBorders>
          </w:tcPr>
          <w:p>
            <w:pPr>
              <w:spacing w:after="0"/>
            </w:pPr>
            <w:r>
              <w:rPr>
                <w:rFonts w:ascii="Arial" w:hAnsi="Arial"/>
                <w:b/>
                <w:i w:val="0"/>
                <w:color w:val="FFFFFF"/>
                <w:sz w:val="16"/>
              </w:rPr>
              <w:t>CURRENT WEBSITE RESPONSIBILITIES</w:t>
            </w:r>
          </w:p>
        </w:tc>
      </w:tr>
      <w:tr>
        <w:trPr>
          <w:cantSplit/>
        </w:trPr>
        <w:tc>
          <w:tcPr>
            <w:tcW w:type="dxa" w:w="2088"/>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Reporter</w:t>
            </w:r>
          </w:p>
        </w:tc>
        <w:tc>
          <w:tcPr>
            <w:tcW w:type="dxa" w:w="7805"/>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Creates and owns reports, uploads evidence, reviews AI notes for a draft, prepares a complaint packet, and chooses whether to report externally.</w:t>
            </w:r>
          </w:p>
        </w:tc>
      </w:tr>
      <w:tr>
        <w:trPr>
          <w:cantSplit/>
        </w:trPr>
        <w:tc>
          <w:tcPr>
            <w:tcW w:type="dxa" w:w="2088"/>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Investigator</w:t>
            </w:r>
          </w:p>
        </w:tc>
        <w:tc>
          <w:tcPr>
            <w:tcW w:type="dxa" w:w="7805"/>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Reviews reporter submissions, original files, timelines, AI leads, and suggested cross-case links. Records a decision and reason. Does not create reporter cases or determine guilt from AI.</w:t>
            </w:r>
          </w:p>
        </w:tc>
      </w:tr>
      <w:tr>
        <w:trPr>
          <w:cantSplit/>
        </w:trPr>
        <w:tc>
          <w:tcPr>
            <w:tcW w:type="dxa" w:w="2088"/>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Legal reviewer</w:t>
            </w:r>
          </w:p>
        </w:tc>
        <w:tc>
          <w:tcPr>
            <w:tcW w:type="dxa" w:w="7805"/>
            <w:vAlign w:val="center"/>
            <w:shd w:fill="F2F4F1"/>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Reads case material and generated reports. Has no evidence-submission or AI-decision controls.</w:t>
            </w:r>
          </w:p>
        </w:tc>
      </w:tr>
      <w:tr>
        <w:trPr>
          <w:cantSplit/>
        </w:trPr>
        <w:tc>
          <w:tcPr>
            <w:tcW w:type="dxa" w:w="2088"/>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i w:val="0"/>
                <w:color w:val="17272D"/>
                <w:sz w:val="17"/>
              </w:rPr>
              <w:t>Administrator</w:t>
            </w:r>
          </w:p>
        </w:tc>
        <w:tc>
          <w:tcPr>
            <w:tcW w:type="dxa" w:w="7805"/>
            <w:vAlign w:val="center"/>
            <w:shd w:fill="FFFFFF"/>
            <w:tcBorders>
              <w:top w:val="single" w:sz="3" w:color="D8DED9"/>
              <w:bottom w:val="single" w:sz="3" w:color="D8DED9"/>
              <w:left w:val="single" w:sz="3" w:color="D8DED9"/>
              <w:right w:val="single" w:sz="3" w:color="D8DED9"/>
            </w:tcBorders>
          </w:tcPr>
          <w:p>
            <w:pPr>
              <w:spacing w:after="20" w:line="240" w:lineRule="auto"/>
            </w:pPr>
            <w:r>
              <w:rPr>
                <w:rFonts w:ascii="Arial" w:hAnsi="Arial"/>
                <w:b w:val="0"/>
                <w:i w:val="0"/>
                <w:color w:val="263238"/>
                <w:sz w:val="17"/>
              </w:rPr>
              <w:t>Manages account roles and active status, reviews workspace records, and can inspect audit activity.</w:t>
            </w:r>
          </w:p>
        </w:tc>
      </w:tr>
    </w:tbl>
    <w:p>
      <w:pPr>
        <w:spacing w:after="0"/>
      </w:pPr>
    </w:p>
    <w:p>
      <w:pPr>
        <w:pStyle w:val="Heading2"/>
      </w:pPr>
      <w:r>
        <w:t>Investigator review path</w:t>
      </w:r>
    </w:p>
    <w:p>
      <w:pPr>
        <w:keepLines/>
        <w:spacing w:after="100"/>
      </w:pPr>
      <w:r>
        <w:rPr>
          <w:rFonts w:ascii="Arial" w:hAnsi="Arial"/>
          <w:b/>
          <w:i w:val="0"/>
          <w:color w:val="17272D"/>
          <w:sz w:val="20"/>
        </w:rPr>
        <w:t xml:space="preserve">1  Open a submission. </w:t>
      </w:r>
      <w:r>
        <w:rPr>
          <w:rFonts w:ascii="Arial" w:hAnsi="Arial"/>
          <w:b w:val="0"/>
          <w:i w:val="0"/>
          <w:color w:val="263238"/>
          <w:sz w:val="20"/>
        </w:rPr>
        <w:t>Use the investigation desk to filter and open reporter-submitted cases.</w:t>
      </w:r>
    </w:p>
    <w:p>
      <w:pPr>
        <w:keepLines/>
        <w:spacing w:after="100"/>
      </w:pPr>
      <w:r>
        <w:rPr>
          <w:rFonts w:ascii="Arial" w:hAnsi="Arial"/>
          <w:b/>
          <w:i w:val="0"/>
          <w:color w:val="17272D"/>
          <w:sz w:val="20"/>
        </w:rPr>
        <w:t xml:space="preserve">2  Read the timeline. </w:t>
      </w:r>
      <w:r>
        <w:rPr>
          <w:rFonts w:ascii="Arial" w:hAnsi="Arial"/>
          <w:b w:val="0"/>
          <w:i w:val="0"/>
          <w:color w:val="263238"/>
          <w:sz w:val="20"/>
        </w:rPr>
        <w:t>Review case activity and identify what was recorded, uploaded, accessed, or reviewed.</w:t>
      </w:r>
    </w:p>
    <w:p>
      <w:pPr>
        <w:keepLines/>
        <w:spacing w:after="100"/>
      </w:pPr>
      <w:r>
        <w:rPr>
          <w:rFonts w:ascii="Arial" w:hAnsi="Arial"/>
          <w:b/>
          <w:i w:val="0"/>
          <w:color w:val="17272D"/>
          <w:sz w:val="20"/>
        </w:rPr>
        <w:t xml:space="preserve">3  Inspect the original. </w:t>
      </w:r>
      <w:r>
        <w:rPr>
          <w:rFonts w:ascii="Arial" w:hAnsi="Arial"/>
          <w:b w:val="0"/>
          <w:i w:val="0"/>
          <w:color w:val="263238"/>
          <w:sz w:val="20"/>
        </w:rPr>
        <w:t>Open the original evidence, upload receipt, fingerprint, and current integrity/anchor state.</w:t>
      </w:r>
    </w:p>
    <w:p>
      <w:pPr>
        <w:keepLines/>
        <w:spacing w:after="100"/>
      </w:pPr>
      <w:r>
        <w:rPr>
          <w:rFonts w:ascii="Arial" w:hAnsi="Arial"/>
          <w:b/>
          <w:i w:val="0"/>
          <w:color w:val="17272D"/>
          <w:sz w:val="20"/>
        </w:rPr>
        <w:t xml:space="preserve">4  Check AI leads. </w:t>
      </w:r>
      <w:r>
        <w:rPr>
          <w:rFonts w:ascii="Arial" w:hAnsi="Arial"/>
          <w:b w:val="0"/>
          <w:i w:val="0"/>
          <w:color w:val="263238"/>
          <w:sz w:val="20"/>
        </w:rPr>
        <w:t>Compare each extracted excerpt and flag with the original and surrounding context. Review coverage notes and analysis limits.</w:t>
      </w:r>
    </w:p>
    <w:p>
      <w:pPr>
        <w:keepLines/>
        <w:spacing w:after="100"/>
      </w:pPr>
      <w:r>
        <w:rPr>
          <w:rFonts w:ascii="Arial" w:hAnsi="Arial"/>
          <w:b/>
          <w:i w:val="0"/>
          <w:color w:val="17272D"/>
          <w:sz w:val="20"/>
        </w:rPr>
        <w:t xml:space="preserve">5  Assess possible links. </w:t>
      </w:r>
      <w:r>
        <w:rPr>
          <w:rFonts w:ascii="Arial" w:hAnsi="Arial"/>
          <w:b w:val="0"/>
          <w:i w:val="0"/>
          <w:color w:val="263238"/>
          <w:sz w:val="20"/>
        </w:rPr>
        <w:t>Inspect the shared handle, phone, email, or URL in both cases. Confirm or reject only after checking context, and record why.</w:t>
      </w:r>
    </w:p>
    <w:p>
      <w:pPr>
        <w:keepLines/>
        <w:spacing w:after="100"/>
      </w:pPr>
      <w:r>
        <w:rPr>
          <w:rFonts w:ascii="Arial" w:hAnsi="Arial"/>
          <w:b/>
          <w:i w:val="0"/>
          <w:color w:val="17272D"/>
          <w:sz w:val="20"/>
        </w:rPr>
        <w:t xml:space="preserve">6  Create a review report. </w:t>
      </w:r>
      <w:r>
        <w:rPr>
          <w:rFonts w:ascii="Arial" w:hAnsi="Arial"/>
          <w:b w:val="0"/>
          <w:i w:val="0"/>
          <w:color w:val="263238"/>
          <w:sz w:val="20"/>
        </w:rPr>
        <w:t>Generate a report with case/evidence metadata, human decisions, and custody/audit details.</w:t>
      </w:r>
    </w:p>
    <w:p>
      <w:pPr>
        <w:pStyle w:val="Heading2"/>
      </w:pPr>
      <w:r>
        <w:t>Current access-control limitation</w:t>
      </w:r>
    </w:p>
    <w:p>
      <w:pPr>
        <w:widowControl/>
        <w:spacing w:after="100"/>
      </w:pPr>
      <w:r>
        <w:rPr>
          <w:rFonts w:ascii="Arial" w:hAnsi="Arial"/>
          <w:b w:val="0"/>
          <w:i w:val="0"/>
          <w:color w:val="263238"/>
          <w:sz w:val="21"/>
        </w:rPr>
        <w:t>The prototype does not yet implement agency membership or case-level investigator assignments. Investigator, legal, and admin roles can read all cases in the configured database. Use synthetic demo records until organization and case-assignment controls are implemented and reviewed.</w:t>
      </w:r>
    </w:p>
    <w:p>
      <w:pPr>
        <w:pStyle w:val="Heading2"/>
      </w:pPr>
      <w:r>
        <w:t>Other role-specific screens</w:t>
      </w:r>
    </w:p>
    <w:p>
      <w:pPr>
        <w:pStyle w:val="ListBullet"/>
        <w:keepLines/>
        <w:spacing w:after="60"/>
        <w:ind w:left="317" w:hanging="202"/>
      </w:pPr>
      <w:r>
        <w:rPr>
          <w:rFonts w:ascii="Arial" w:hAnsi="Arial"/>
          <w:b w:val="0"/>
          <w:i w:val="0"/>
          <w:color w:val="263238"/>
          <w:sz w:val="20"/>
        </w:rPr>
        <w:t>Review insights: reviewer-facing view of flags, suggested links, and feedback counts.</w:t>
      </w:r>
    </w:p>
    <w:p>
      <w:pPr>
        <w:pStyle w:val="ListBullet"/>
        <w:keepLines/>
        <w:spacing w:after="60"/>
        <w:ind w:left="317" w:hanging="202"/>
      </w:pPr>
      <w:r>
        <w:rPr>
          <w:rFonts w:ascii="Arial" w:hAnsi="Arial"/>
          <w:b w:val="0"/>
          <w:i w:val="0"/>
          <w:color w:val="263238"/>
          <w:sz w:val="20"/>
        </w:rPr>
        <w:t>Audit trail: legal/admin access to recorded events and a hash-chain verification action.</w:t>
      </w:r>
    </w:p>
    <w:p>
      <w:pPr>
        <w:pStyle w:val="ListBullet"/>
        <w:keepLines/>
        <w:spacing w:after="60"/>
        <w:ind w:left="317" w:hanging="202"/>
      </w:pPr>
      <w:r>
        <w:rPr>
          <w:rFonts w:ascii="Arial" w:hAnsi="Arial"/>
          <w:b w:val="0"/>
          <w:i w:val="0"/>
          <w:color w:val="263238"/>
          <w:sz w:val="20"/>
        </w:rPr>
        <w:t>User accounts: admin-only role and active-status management. Role changes are audited.</w:t>
      </w:r>
    </w:p>
    <w:p>
      <w:r>
        <w:br w:type="page"/>
      </w:r>
    </w:p>
    <w:p>
      <w:pPr>
        <w:spacing w:after="100"/>
      </w:pPr>
      <w:r>
        <w:rPr>
          <w:rFonts w:ascii="Arial" w:hAnsi="Arial"/>
          <w:b/>
          <w:i w:val="0"/>
          <w:color w:val="B38B4E"/>
          <w:sz w:val="17"/>
        </w:rPr>
        <w:t>05  COMPLAINT PREPARATION AND CURRENT CHANGES</w:t>
      </w:r>
    </w:p>
    <w:p>
      <w:pPr>
        <w:keepNext/>
        <w:spacing w:after="100"/>
      </w:pPr>
      <w:r>
        <w:rPr>
          <w:rFonts w:ascii="Arial" w:hAnsi="Arial"/>
          <w:b/>
          <w:i w:val="0"/>
          <w:color w:val="17272D"/>
          <w:sz w:val="48"/>
        </w:rPr>
        <w:t>A clear handoff, with the reporter in control</w:t>
      </w:r>
    </w:p>
    <w:p>
      <w:pPr>
        <w:widowControl/>
        <w:spacing w:after="160"/>
      </w:pPr>
      <w:r>
        <w:rPr>
          <w:rFonts w:ascii="Arial" w:hAnsi="Arial"/>
          <w:b w:val="0"/>
          <w:i w:val="0"/>
          <w:color w:val="263238"/>
          <w:sz w:val="21"/>
        </w:rPr>
        <w:t>DigitalWitness prepares a reviewable draft. The reporter decides whether and how to continue with an official service.</w:t>
      </w:r>
    </w:p>
    <w:p>
      <w:pPr>
        <w:pStyle w:val="Heading2"/>
      </w:pPr>
      <w:r>
        <w:t>Complaint draft contents and privacy</w:t>
      </w:r>
    </w:p>
    <w:p>
      <w:pPr>
        <w:pStyle w:val="ListBullet"/>
        <w:keepLines/>
        <w:spacing w:after="60"/>
        <w:ind w:left="317" w:hanging="202"/>
      </w:pPr>
      <w:r>
        <w:rPr>
          <w:rFonts w:ascii="Arial" w:hAnsi="Arial"/>
          <w:b w:val="0"/>
          <w:i w:val="0"/>
          <w:color w:val="263238"/>
          <w:sz w:val="20"/>
        </w:rPr>
        <w:t>The reporter writes an account in their own words and chooses an intended channel: National Cyber Crime Reporting Portal or local police.</w:t>
      </w:r>
    </w:p>
    <w:p>
      <w:pPr>
        <w:pStyle w:val="ListBullet"/>
        <w:keepLines/>
        <w:spacing w:after="60"/>
        <w:ind w:left="317" w:hanging="202"/>
      </w:pPr>
      <w:r>
        <w:rPr>
          <w:rFonts w:ascii="Arial" w:hAnsi="Arial"/>
          <w:b w:val="0"/>
          <w:i w:val="0"/>
          <w:color w:val="263238"/>
          <w:sz w:val="20"/>
        </w:rPr>
        <w:t>The reporter reviews the evidence list and optional AI suggestions, may add a correction/context note for the draft, and confirms review before downloading.</w:t>
      </w:r>
    </w:p>
    <w:p>
      <w:pPr>
        <w:pStyle w:val="ListBullet"/>
        <w:keepLines/>
        <w:spacing w:after="60"/>
        <w:ind w:left="317" w:hanging="202"/>
      </w:pPr>
      <w:r>
        <w:rPr>
          <w:rFonts w:ascii="Arial" w:hAnsi="Arial"/>
          <w:b w:val="0"/>
          <w:i w:val="0"/>
          <w:color w:val="263238"/>
          <w:sz w:val="20"/>
        </w:rPr>
        <w:t>The packet contains the statement, selected case/evidence metadata and fingerprints, selected AI notes marked as suggestions, and available integrity/anchor information. Original evidence files are not embedded.</w:t>
      </w:r>
    </w:p>
    <w:p>
      <w:pPr>
        <w:pStyle w:val="ListBullet"/>
        <w:keepLines/>
        <w:spacing w:after="60"/>
        <w:ind w:left="317" w:hanging="202"/>
      </w:pPr>
      <w:r>
        <w:rPr>
          <w:rFonts w:ascii="Arial" w:hAnsi="Arial"/>
          <w:b w:val="0"/>
          <w:i w:val="0"/>
          <w:color w:val="263238"/>
          <w:sz w:val="20"/>
        </w:rPr>
        <w:t>The statement is used to generate the download and is not stored in the case database or audit trail. The audit event records packet metadata such as hash, channel, format, and record counts.</w:t>
      </w:r>
    </w:p>
    <w:p>
      <w:pPr>
        <w:pStyle w:val="ListBullet"/>
        <w:keepLines/>
        <w:spacing w:after="60"/>
        <w:ind w:left="317" w:hanging="202"/>
      </w:pPr>
      <w:r>
        <w:rPr>
          <w:rFonts w:ascii="Arial" w:hAnsi="Arial"/>
          <w:b w:val="0"/>
          <w:i w:val="0"/>
          <w:color w:val="263238"/>
          <w:sz w:val="20"/>
        </w:rPr>
        <w:t>If the PDF font cannot represent entered characters, the app provides UTF-8 text. The reporter should open and review the downloaded file before using it.</w:t>
      </w:r>
    </w:p>
    <w:p>
      <w:pPr>
        <w:pStyle w:val="Heading2"/>
      </w:pPr>
      <w:r>
        <w:t>Official reporting handoff</w:t>
      </w:r>
    </w:p>
    <w:p>
      <w:pPr>
        <w:widowControl/>
        <w:spacing w:after="100"/>
      </w:pPr>
      <w:r>
        <w:rPr>
          <w:rFonts w:ascii="Arial" w:hAnsi="Arial"/>
          <w:b w:val="0"/>
          <w:i w:val="0"/>
          <w:color w:val="263238"/>
          <w:sz w:val="21"/>
        </w:rPr>
        <w:t>After download, the reporter may open the official National Cyber Crime Reporting Portal at cybercrime.gov.in or take the draft and original files to local police. The website does not transmit the packet, create an FIR, authenticate a police account, choose a station, or confirm receipt. The official channel may request additional details directly.</w:t>
      </w:r>
    </w:p>
    <w:p>
      <w:pPr>
        <w:widowControl/>
        <w:spacing w:after="100"/>
      </w:pPr>
      <w:r>
        <w:rPr>
          <w:rFonts w:ascii="Arial" w:hAnsi="Arial"/>
          <w:b w:val="0"/>
          <w:i w:val="0"/>
          <w:color w:val="263238"/>
          <w:sz w:val="21"/>
        </w:rPr>
        <w:t>An external complaint reference can be saved later by the reporter. It is encrypted at rest, visible only through the owning reporter account, removable, and kept off-chain.</w:t>
      </w:r>
    </w:p>
    <w:p>
      <w:pPr>
        <w:pStyle w:val="Heading2"/>
      </w:pPr>
      <w:r>
        <w:t>Recent changes represented in this guide</w:t>
      </w:r>
    </w:p>
    <w:p>
      <w:pPr>
        <w:pStyle w:val="ListBullet"/>
        <w:keepLines/>
        <w:spacing w:after="60"/>
        <w:ind w:left="317" w:hanging="202"/>
      </w:pPr>
      <w:r>
        <w:rPr>
          <w:rFonts w:ascii="Arial" w:hAnsi="Arial"/>
          <w:b w:val="0"/>
          <w:i w:val="0"/>
          <w:color w:val="263238"/>
          <w:sz w:val="20"/>
        </w:rPr>
        <w:t>Screenshot-first threat documentation: people can begin with threatening messages they have; an intimate or alleged fake image is never required.</w:t>
      </w:r>
    </w:p>
    <w:p>
      <w:pPr>
        <w:pStyle w:val="ListBullet"/>
        <w:keepLines/>
        <w:spacing w:after="60"/>
        <w:ind w:left="317" w:hanging="202"/>
      </w:pPr>
      <w:r>
        <w:rPr>
          <w:rFonts w:ascii="Arial" w:hAnsi="Arial"/>
          <w:b w:val="0"/>
          <w:i w:val="0"/>
          <w:color w:val="263238"/>
          <w:sz w:val="20"/>
        </w:rPr>
        <w:t>Reporter-controlled complaint preparation and an explicit external-portal handoff, distinguishing a saved draft from an official filing.</w:t>
      </w:r>
    </w:p>
    <w:p>
      <w:pPr>
        <w:pStyle w:val="ListBullet"/>
        <w:keepLines/>
        <w:spacing w:after="60"/>
        <w:ind w:left="317" w:hanging="202"/>
      </w:pPr>
      <w:r>
        <w:rPr>
          <w:rFonts w:ascii="Arial" w:hAnsi="Arial"/>
          <w:b w:val="0"/>
          <w:i w:val="0"/>
          <w:color w:val="263238"/>
          <w:sz w:val="20"/>
        </w:rPr>
        <w:t>Investigator-centered review: timeline, original evidence, AI leads, related-case review, reasoned decisions, and report generation. Investigators do not get a case-creation action.</w:t>
      </w:r>
    </w:p>
    <w:p>
      <w:pPr>
        <w:pStyle w:val="ListBullet"/>
        <w:keepLines/>
        <w:spacing w:after="60"/>
        <w:ind w:left="317" w:hanging="202"/>
      </w:pPr>
      <w:r>
        <w:rPr>
          <w:rFonts w:ascii="Arial" w:hAnsi="Arial"/>
          <w:b w:val="0"/>
          <w:i w:val="0"/>
          <w:color w:val="263238"/>
          <w:sz w:val="20"/>
        </w:rPr>
        <w:t>Responsive landing-page updates for phone widths and clearer spacing/navigation, with a more readable case/evidence workspace on desktop and phone.</w:t>
      </w:r>
    </w:p>
    <w:p>
      <w:pPr>
        <w:pStyle w:val="ListBullet"/>
        <w:keepLines/>
        <w:spacing w:after="60"/>
        <w:ind w:left="317" w:hanging="202"/>
      </w:pPr>
      <w:r>
        <w:rPr>
          <w:rFonts w:ascii="Arial" w:hAnsi="Arial"/>
          <w:b w:val="0"/>
          <w:i w:val="0"/>
          <w:color w:val="263238"/>
          <w:sz w:val="20"/>
        </w:rPr>
        <w:t>Plain-language explanations for integrity states, analysis limits, synthetic demo mode, and what remains off-chain.</w:t>
      </w:r>
    </w:p>
    <w:p>
      <w:pPr>
        <w:pStyle w:val="Heading2"/>
      </w:pPr>
      <w:r>
        <w:t>Current pages and operating modes</w:t>
      </w:r>
    </w:p>
    <w:p>
      <w:pPr>
        <w:widowControl/>
        <w:spacing w:after="100"/>
      </w:pPr>
      <w:r>
        <w:rPr>
          <w:rFonts w:ascii="Arial" w:hAnsi="Arial"/>
          <w:b w:val="0"/>
          <w:i w:val="0"/>
          <w:color w:val="263238"/>
          <w:sz w:val="21"/>
        </w:rPr>
        <w:t>Public pages: landing, sign-in, and reporter registration. Workspace pages: My reports / Investigation desk / Case review, Document evidence, case detail, evidence detail, receipt, related-case review, Review insights, complaint draft, Audit trail, and User accounts. Navigation is role-specific.</w:t>
      </w:r>
    </w:p>
    <w:p>
      <w:pPr>
        <w:widowControl/>
        <w:spacing w:after="100"/>
      </w:pPr>
      <w:r>
        <w:rPr>
          <w:rFonts w:ascii="Arial" w:hAnsi="Arial"/>
          <w:b w:val="0"/>
          <w:i w:val="0"/>
          <w:color w:val="263238"/>
          <w:sz w:val="21"/>
        </w:rPr>
        <w:t>The Compose stack defines PostgreSQL, Silo storage, FastAPI, the Next.js website, an integrity worker, and an AI worker. The website can also run in synthetic mock mode. The interface labels mock mode so a walkthrough does not imply that sample actions were saved to the API.</w:t>
      </w:r>
    </w:p>
    <w:p>
      <w:pPr>
        <w:keepLines/>
        <w:spacing w:before="60" w:after="0"/>
      </w:pPr>
      <w:r>
        <w:rPr>
          <w:rFonts w:ascii="Arial" w:hAnsi="Arial"/>
          <w:b w:val="0"/>
          <w:i/>
          <w:color w:val="647179"/>
          <w:sz w:val="17"/>
        </w:rPr>
        <w:t>Guide basis: project implementation guide and current user, reporter, investigator, AI, frontend, and integrity documentation. This is a feature snapshot; runtime configuration can affect a particular demo.</w:t>
      </w:r>
    </w:p>
    <w:sectPr w:rsidR="00FC693F" w:rsidRPr="0006063C" w:rsidSect="00034616">
      <w:headerReference w:type="default" r:id="rId9"/>
      <w:footerReference w:type="default" r:id="rId10"/>
      <w:pgSz w:w="12240" w:h="15840"/>
      <w:pgMar w:top="1123" w:right="1181" w:bottom="1037"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47179"/>
        <w:sz w:val="16"/>
      </w:rPr>
      <w:t xml:space="preserve">DigitalWitness  |  Product guide snapshot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i w:val="0"/>
        <w:color w:val="17272D"/>
        <w:sz w:val="17"/>
      </w:rPr>
      <w:t>DIGITALWITNESS</w:t>
    </w:r>
    <w:r>
      <w:rPr>
        <w:rFonts w:ascii="Arial" w:hAnsi="Arial"/>
        <w:b w:val="0"/>
        <w:i w:val="0"/>
        <w:color w:val="647179"/>
        <w:sz w:val="16"/>
      </w:rPr>
      <w:t xml:space="preserve">    WEBSITE FEATURE GUIDE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272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272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56A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DigitalWitness Website Feature Guide</dc:title>
  <dc:subject>Current website features, roles, evidence workflow, AI review, and limits</dc:subject>
  <dc:creator>DigitalWitness Project Team</dc:creator>
  <cp:keywords>DigitalWitness, website, evidence, investigator, complaint preparation</cp:keywords>
  <dc:description>Feature snapshot dated 29 October 2026.</dc:description>
  <cp:lastModifiedBy/>
  <cp:revision>1</cp:revision>
  <dcterms:created xsi:type="dcterms:W3CDTF">2013-12-23T23:15:00Z</dcterms:created>
  <dcterms:modified xsi:type="dcterms:W3CDTF">2013-12-23T23:15:00Z</dcterms:modified>
  <cp:category/>
</cp:coreProperties>
</file>