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27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Приобрести навыки написания программ с использованием подпрограмм.</w:t>
      </w:r>
    </w:p>
    <w:p>
      <w:pPr>
        <w:numPr>
          <w:ilvl w:val="0"/>
          <w:numId w:val="1001"/>
        </w:numPr>
      </w:pPr>
      <w:r>
        <w:t xml:space="preserve">Ознакомится с методами отладки при помощи GDB и его основными возможностями.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 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 — так называемые диагностические сообщения);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[1]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bookmarkEnd w:id="22"/>
    <w:bookmarkStart w:id="1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7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2"/>
        </w:numPr>
        <w:pStyle w:val="Compact"/>
      </w:pPr>
      <w:r>
        <w:t xml:space="preserve">Создала каталог для программ лабораторной работы №10, перешла в него и создала файл lab9=10-1.asm. (рис. 1)</w:t>
      </w:r>
    </w:p>
    <w:p>
      <w:pPr>
        <w:pStyle w:val="CaptionedFigure"/>
      </w:pPr>
      <w:bookmarkStart w:id="26" w:name="fig:001"/>
      <w:r>
        <w:drawing>
          <wp:inline>
            <wp:extent cx="5334000" cy="514895"/>
            <wp:effectExtent b="0" l="0" r="0" t="0"/>
            <wp:docPr descr="Рис. 1: Создание, переход в lab09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Создание, переход в lab09</w:t>
      </w:r>
    </w:p>
    <w:p>
      <w:pPr>
        <w:numPr>
          <w:ilvl w:val="0"/>
          <w:numId w:val="1003"/>
        </w:numPr>
        <w:pStyle w:val="Compact"/>
      </w:pPr>
      <w:r>
        <w:t xml:space="preserve">Ввела в файл lab10-1 нужный текст программы из листинга 10.1., создала исполняемый файл и вывела результат. (рис. 2; рис. 3)</w:t>
      </w:r>
    </w:p>
    <w:p>
      <w:pPr>
        <w:pStyle w:val="CaptionedFigure"/>
      </w:pPr>
      <w:bookmarkStart w:id="30" w:name="fig:002"/>
      <w:r>
        <w:drawing>
          <wp:inline>
            <wp:extent cx="5334000" cy="9078912"/>
            <wp:effectExtent b="0" l="0" r="0" t="0"/>
            <wp:docPr descr="Рис. 2: Ввод текст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Ввод текста</w:t>
      </w:r>
    </w:p>
    <w:p>
      <w:pPr>
        <w:pStyle w:val="CaptionedFigure"/>
      </w:pPr>
      <w:bookmarkStart w:id="34" w:name="fig:003"/>
      <w:r>
        <w:drawing>
          <wp:inline>
            <wp:extent cx="5334000" cy="877040"/>
            <wp:effectExtent b="0" l="0" r="0" t="0"/>
            <wp:docPr descr="Рис. 3: Результат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Результат программы</w:t>
      </w:r>
    </w:p>
    <w:p>
      <w:pPr>
        <w:numPr>
          <w:ilvl w:val="0"/>
          <w:numId w:val="1004"/>
        </w:numPr>
        <w:pStyle w:val="Compact"/>
      </w:pPr>
      <w:r>
        <w:t xml:space="preserve">Изменила текст программы, для вычисления выражения f(g(x)), где x вводится с клавиатуры, f(x)=2x+7, g(x)=3x-1. (рис. 4; рис. 5; рис. 6)</w:t>
      </w:r>
    </w:p>
    <w:p>
      <w:pPr>
        <w:pStyle w:val="CaptionedFigure"/>
      </w:pPr>
      <w:bookmarkStart w:id="38" w:name="fig:004"/>
      <w:r>
        <w:drawing>
          <wp:inline>
            <wp:extent cx="5334000" cy="10052064"/>
            <wp:effectExtent b="0" l="0" r="0" t="0"/>
            <wp:docPr descr="Рис. 4: Изменения текс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Изменения текста</w:t>
      </w:r>
    </w:p>
    <w:p>
      <w:pPr>
        <w:pStyle w:val="CaptionedFigure"/>
      </w:pPr>
      <w:bookmarkStart w:id="42" w:name="fig:005"/>
      <w:r>
        <w:drawing>
          <wp:inline>
            <wp:extent cx="5334000" cy="6624083"/>
            <wp:effectExtent b="0" l="0" r="0" t="0"/>
            <wp:docPr descr="Рис. 5: Изменения текст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Изменения текста</w:t>
      </w:r>
    </w:p>
    <w:p>
      <w:pPr>
        <w:pStyle w:val="CaptionedFigure"/>
      </w:pPr>
      <w:bookmarkStart w:id="46" w:name="fig:006"/>
      <w:r>
        <w:drawing>
          <wp:inline>
            <wp:extent cx="5334000" cy="1242953"/>
            <wp:effectExtent b="0" l="0" r="0" t="0"/>
            <wp:docPr descr="Рис. 6: Результат изменений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изменений</w:t>
      </w:r>
    </w:p>
    <w:bookmarkEnd w:id="47"/>
    <w:bookmarkStart w:id="76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numPr>
          <w:ilvl w:val="0"/>
          <w:numId w:val="1005"/>
        </w:numPr>
        <w:pStyle w:val="Compact"/>
      </w:pPr>
      <w:r>
        <w:t xml:space="preserve">Создала файл lab10-2.asm с текстом программы из листинга 10.2. Получила исполняемый файл для работы с GDB и загрузила его в gdb.(рис. 7; рис. 8)</w:t>
      </w:r>
    </w:p>
    <w:p>
      <w:pPr>
        <w:pStyle w:val="CaptionedFigure"/>
      </w:pPr>
      <w:bookmarkStart w:id="51" w:name="fig:007"/>
      <w:r>
        <w:drawing>
          <wp:inline>
            <wp:extent cx="4787900" cy="7543800"/>
            <wp:effectExtent b="0" l="0" r="0" t="0"/>
            <wp:docPr descr="Рис. 7: Текст программы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Текст программы</w:t>
      </w:r>
    </w:p>
    <w:p>
      <w:pPr>
        <w:pStyle w:val="CaptionedFigure"/>
      </w:pPr>
      <w:bookmarkStart w:id="55" w:name="fig:008"/>
      <w:r>
        <w:drawing>
          <wp:inline>
            <wp:extent cx="5334000" cy="2962532"/>
            <wp:effectExtent b="0" l="0" r="0" t="0"/>
            <wp:docPr descr="Рис. 8: Вывела результат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Вывела результат</w:t>
      </w:r>
    </w:p>
    <w:p>
      <w:pPr>
        <w:numPr>
          <w:ilvl w:val="0"/>
          <w:numId w:val="1006"/>
        </w:numPr>
        <w:pStyle w:val="Compact"/>
      </w:pPr>
      <w:r>
        <w:t xml:space="preserve">Проверьте работу программы, запустив ее в оболочке GDB с помощью команды run. (рис. 9)</w:t>
      </w:r>
    </w:p>
    <w:p>
      <w:pPr>
        <w:pStyle w:val="CaptionedFigure"/>
      </w:pPr>
      <w:bookmarkStart w:id="59" w:name="fig:009"/>
      <w:r>
        <w:drawing>
          <wp:inline>
            <wp:extent cx="5334000" cy="682171"/>
            <wp:effectExtent b="0" l="0" r="0" t="0"/>
            <wp:docPr descr="Рис. 9: Проверка работы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Проверка работы</w:t>
      </w:r>
    </w:p>
    <w:p>
      <w:pPr>
        <w:numPr>
          <w:ilvl w:val="0"/>
          <w:numId w:val="1007"/>
        </w:numPr>
        <w:pStyle w:val="Compact"/>
      </w:pPr>
      <w:r>
        <w:t xml:space="preserve">Установила брейкпоинт на метку _start, с которой начинается выполнение любой ассемблерной программы, и</w:t>
      </w:r>
      <w:r>
        <w:t xml:space="preserve"> </w:t>
      </w:r>
      <w:r>
        <w:t xml:space="preserve">запустила её. (рис. 10)</w:t>
      </w:r>
    </w:p>
    <w:p>
      <w:pPr>
        <w:pStyle w:val="CaptionedFigure"/>
      </w:pPr>
      <w:bookmarkStart w:id="63" w:name="fig:010"/>
      <w:r>
        <w:drawing>
          <wp:inline>
            <wp:extent cx="5334000" cy="1062463"/>
            <wp:effectExtent b="0" l="0" r="0" t="0"/>
            <wp:docPr descr="Рис. 10: Установка брейкпоинта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Установка брейкпоинта</w:t>
      </w:r>
    </w:p>
    <w:p>
      <w:pPr>
        <w:numPr>
          <w:ilvl w:val="0"/>
          <w:numId w:val="1008"/>
        </w:numPr>
        <w:pStyle w:val="Compact"/>
      </w:pPr>
      <w:r>
        <w:t xml:space="preserve">Посмотрела дисассимилированный код программы с помощью команды disassemble начиная с метки _start. (рис. 11)</w:t>
      </w:r>
    </w:p>
    <w:p>
      <w:pPr>
        <w:pStyle w:val="CaptionedFigure"/>
      </w:pPr>
      <w:bookmarkStart w:id="67" w:name="fig:011"/>
      <w:r>
        <w:drawing>
          <wp:inline>
            <wp:extent cx="5334000" cy="2250846"/>
            <wp:effectExtent b="0" l="0" r="0" t="0"/>
            <wp:docPr descr="Рис. 11: Просмотр кода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Просмотр кода</w:t>
      </w:r>
    </w:p>
    <w:p>
      <w:pPr>
        <w:numPr>
          <w:ilvl w:val="0"/>
          <w:numId w:val="1009"/>
        </w:numPr>
        <w:pStyle w:val="Compact"/>
      </w:pPr>
      <w:r>
        <w:t xml:space="preserve">Переключидась на отображение команд с Intel’овским синтаксисом, введя команду set disassembly-flavor intel. (рис. 12)</w:t>
      </w:r>
    </w:p>
    <w:p>
      <w:pPr>
        <w:pStyle w:val="CaptionedFigure"/>
      </w:pPr>
      <w:bookmarkStart w:id="71" w:name="fig:012"/>
      <w:r>
        <w:drawing>
          <wp:inline>
            <wp:extent cx="5334000" cy="2391603"/>
            <wp:effectExtent b="0" l="0" r="0" t="0"/>
            <wp:docPr descr="Рис. 12: Переключение на отображение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Переключение на отображение</w:t>
      </w:r>
    </w:p>
    <w:p>
      <w:pPr>
        <w:pStyle w:val="BodyText"/>
      </w:pPr>
      <w:r>
        <w:t xml:space="preserve">Различия отображения синтаксиса машинных команд в режимах ATT и Intel: в АТТ перед адресом регистра ставится $, а перед названием регистра %, сначала записывается адрес, а потом - регистр. В Intel сначала регистр, а потом адрес, и перед ними ничего не ставится.</w:t>
      </w:r>
    </w:p>
    <w:p>
      <w:pPr>
        <w:numPr>
          <w:ilvl w:val="0"/>
          <w:numId w:val="1010"/>
        </w:numPr>
        <w:pStyle w:val="Compact"/>
      </w:pPr>
      <w:r>
        <w:t xml:space="preserve">Включите режим псевдографики для более удобного анализа программы. (рис. 13)</w:t>
      </w:r>
    </w:p>
    <w:p>
      <w:pPr>
        <w:pStyle w:val="CaptionedFigure"/>
      </w:pPr>
      <w:bookmarkStart w:id="75" w:name="fig:013"/>
      <w:r>
        <w:drawing>
          <wp:inline>
            <wp:extent cx="5334000" cy="2786742"/>
            <wp:effectExtent b="0" l="0" r="0" t="0"/>
            <wp:docPr descr="Рис. 13: Режим псевдографики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Режим псевдографики</w:t>
      </w:r>
    </w:p>
    <w:bookmarkEnd w:id="76"/>
    <w:bookmarkStart w:id="89" w:name="добавление-точек-останов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Добавление точек останова</w:t>
      </w:r>
    </w:p>
    <w:p>
      <w:pPr>
        <w:numPr>
          <w:ilvl w:val="0"/>
          <w:numId w:val="1011"/>
        </w:numPr>
        <w:pStyle w:val="Compact"/>
      </w:pPr>
      <w:r>
        <w:t xml:space="preserve">Ранее я установила точку останова по имени метки (_start). Проверила это с помощью команды info breakpoints (кратко i b). (рис. 14)</w:t>
      </w:r>
    </w:p>
    <w:p>
      <w:pPr>
        <w:pStyle w:val="CaptionedFigure"/>
      </w:pPr>
      <w:bookmarkStart w:id="80" w:name="fig:014"/>
      <w:r>
        <w:drawing>
          <wp:inline>
            <wp:extent cx="5334000" cy="2786742"/>
            <wp:effectExtent b="0" l="0" r="0" t="0"/>
            <wp:docPr descr="Рис. 14: Проверка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Проверка</w:t>
      </w:r>
    </w:p>
    <w:p>
      <w:pPr>
        <w:numPr>
          <w:ilvl w:val="0"/>
          <w:numId w:val="1012"/>
        </w:numPr>
        <w:pStyle w:val="Compact"/>
      </w:pPr>
      <w:r>
        <w:t xml:space="preserve">Установила еще одну точку останова по адресу инструкции.. (рис. 15)</w:t>
      </w:r>
    </w:p>
    <w:p>
      <w:pPr>
        <w:pStyle w:val="CaptionedFigure"/>
      </w:pPr>
      <w:bookmarkStart w:id="84" w:name="fig:015"/>
      <w:r>
        <w:drawing>
          <wp:inline>
            <wp:extent cx="5334000" cy="2786742"/>
            <wp:effectExtent b="0" l="0" r="0" t="0"/>
            <wp:docPr descr="Рис. 15: Точка остановы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Точка остановы</w:t>
      </w:r>
    </w:p>
    <w:p>
      <w:pPr>
        <w:numPr>
          <w:ilvl w:val="0"/>
          <w:numId w:val="1013"/>
        </w:numPr>
        <w:pStyle w:val="Compact"/>
      </w:pPr>
      <w:r>
        <w:t xml:space="preserve">Посмотрела информацию о всех установленных точках останова. (рис. 16)</w:t>
      </w:r>
    </w:p>
    <w:p>
      <w:pPr>
        <w:pStyle w:val="CaptionedFigure"/>
      </w:pPr>
      <w:bookmarkStart w:id="88" w:name="fig:016"/>
      <w:r>
        <w:drawing>
          <wp:inline>
            <wp:extent cx="5334000" cy="2786742"/>
            <wp:effectExtent b="0" l="0" r="0" t="0"/>
            <wp:docPr descr="Рис. 16: Информация" title="" id="86" name="Picture"/>
            <a:graphic>
              <a:graphicData uri="http://schemas.openxmlformats.org/drawingml/2006/picture">
                <pic:pic>
                  <pic:nvPicPr>
                    <pic:cNvPr descr="image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Информация</w:t>
      </w:r>
    </w:p>
    <w:bookmarkEnd w:id="89"/>
    <w:bookmarkStart w:id="114" w:name="работа-с-данными-программы-в-gdb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Работа с данными программы в GDB</w:t>
      </w:r>
    </w:p>
    <w:p>
      <w:pPr>
        <w:numPr>
          <w:ilvl w:val="0"/>
          <w:numId w:val="1014"/>
        </w:numPr>
        <w:pStyle w:val="Compact"/>
      </w:pPr>
      <w:r>
        <w:t xml:space="preserve">Посмотрела содержимое регистров с помощью команды info registers. (рис. 17)</w:t>
      </w:r>
    </w:p>
    <w:p>
      <w:pPr>
        <w:pStyle w:val="CaptionedFigure"/>
      </w:pPr>
      <w:bookmarkStart w:id="93" w:name="fig:017"/>
      <w:r>
        <w:drawing>
          <wp:inline>
            <wp:extent cx="5334000" cy="2554992"/>
            <wp:effectExtent b="0" l="0" r="0" t="0"/>
            <wp:docPr descr="Рис. 17: Содержимое регистров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Содержимое регистров</w:t>
      </w:r>
    </w:p>
    <w:p>
      <w:pPr>
        <w:numPr>
          <w:ilvl w:val="0"/>
          <w:numId w:val="1015"/>
        </w:numPr>
        <w:pStyle w:val="Compact"/>
      </w:pPr>
      <w:r>
        <w:t xml:space="preserve">Посмотрела значение переменной msg1. (рис. 18)</w:t>
      </w:r>
    </w:p>
    <w:p>
      <w:pPr>
        <w:pStyle w:val="CaptionedFigure"/>
      </w:pPr>
      <w:bookmarkStart w:id="97" w:name="fig:018"/>
      <w:r>
        <w:drawing>
          <wp:inline>
            <wp:extent cx="5334000" cy="2554992"/>
            <wp:effectExtent b="0" l="0" r="0" t="0"/>
            <wp:docPr descr="Рис. 18: Значение переменной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Значение переменной</w:t>
      </w:r>
    </w:p>
    <w:p>
      <w:pPr>
        <w:numPr>
          <w:ilvl w:val="0"/>
          <w:numId w:val="1016"/>
        </w:numPr>
        <w:pStyle w:val="Compact"/>
      </w:pPr>
      <w:r>
        <w:t xml:space="preserve">Изменила первый символ переменной msg1. (рис. 19)</w:t>
      </w:r>
    </w:p>
    <w:p>
      <w:pPr>
        <w:pStyle w:val="CaptionedFigure"/>
      </w:pPr>
      <w:bookmarkStart w:id="101" w:name="fig:019"/>
      <w:r>
        <w:drawing>
          <wp:inline>
            <wp:extent cx="5334000" cy="2554992"/>
            <wp:effectExtent b="0" l="0" r="0" t="0"/>
            <wp:docPr descr="Рис. 19: Замена символа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Замена символа</w:t>
      </w:r>
    </w:p>
    <w:p>
      <w:pPr>
        <w:numPr>
          <w:ilvl w:val="0"/>
          <w:numId w:val="1017"/>
        </w:numPr>
        <w:pStyle w:val="Compact"/>
      </w:pPr>
      <w:r>
        <w:t xml:space="preserve">Посмотрела значение переменной msg2 по адресу и изменила первый символ переменной msg1. (рис. 20)</w:t>
      </w:r>
    </w:p>
    <w:p>
      <w:pPr>
        <w:pStyle w:val="CaptionedFigure"/>
      </w:pPr>
      <w:bookmarkStart w:id="105" w:name="fig:020"/>
      <w:r>
        <w:drawing>
          <wp:inline>
            <wp:extent cx="5334000" cy="2554992"/>
            <wp:effectExtent b="0" l="0" r="0" t="0"/>
            <wp:docPr descr="Рис. 20: Переменная msg2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Переменная msg2</w:t>
      </w:r>
    </w:p>
    <w:p>
      <w:pPr>
        <w:numPr>
          <w:ilvl w:val="0"/>
          <w:numId w:val="1018"/>
        </w:numPr>
        <w:pStyle w:val="Compact"/>
      </w:pPr>
      <w:r>
        <w:t xml:space="preserve">Посмотрела значения регистров с помощью команды print /F</w:t>
      </w:r>
      <w:r>
        <w:t xml:space="preserve"> </w:t>
      </w:r>
      <w:r>
        <w:t xml:space="preserve">. (рис. 21)</w:t>
      </w:r>
    </w:p>
    <w:p>
      <w:pPr>
        <w:pStyle w:val="CaptionedFigure"/>
      </w:pPr>
      <w:bookmarkStart w:id="109" w:name="fig:021"/>
      <w:r>
        <w:drawing>
          <wp:inline>
            <wp:extent cx="5334000" cy="2554992"/>
            <wp:effectExtent b="0" l="0" r="0" t="0"/>
            <wp:docPr descr="Рис. 21: Значение регистров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Значение регистров</w:t>
      </w:r>
    </w:p>
    <w:p>
      <w:pPr>
        <w:numPr>
          <w:ilvl w:val="0"/>
          <w:numId w:val="1019"/>
        </w:numPr>
        <w:pStyle w:val="Compact"/>
      </w:pPr>
      <w:r>
        <w:t xml:space="preserve">С помощью команды set изменила значение регистра ebx. (рис. 22)</w:t>
      </w:r>
    </w:p>
    <w:p>
      <w:pPr>
        <w:pStyle w:val="CaptionedFigure"/>
      </w:pPr>
      <w:bookmarkStart w:id="113" w:name="fig:022"/>
      <w:r>
        <w:drawing>
          <wp:inline>
            <wp:extent cx="5334000" cy="2554992"/>
            <wp:effectExtent b="0" l="0" r="0" t="0"/>
            <wp:docPr descr="Рис. 22: Изменила значение регистра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Изменила значение регистра</w:t>
      </w:r>
    </w:p>
    <w:bookmarkEnd w:id="114"/>
    <w:bookmarkStart w:id="143" w:name="X34484a9d02dddcc072527afae661c9b27116987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Обработка аргументов командной строки в GDB</w:t>
      </w:r>
    </w:p>
    <w:p>
      <w:pPr>
        <w:numPr>
          <w:ilvl w:val="0"/>
          <w:numId w:val="1020"/>
        </w:numPr>
        <w:pStyle w:val="Compact"/>
      </w:pPr>
      <w:r>
        <w:t xml:space="preserve">Скопировала файл lab9-2.asm, созданный при выполнении лабораторной работы No9, с программой выводящей на экран аргументы командной строки (Листинг 9.2) в файл с именем lab10-3.asm. (рис. 23)</w:t>
      </w:r>
    </w:p>
    <w:p>
      <w:pPr>
        <w:pStyle w:val="CaptionedFigure"/>
      </w:pPr>
      <w:bookmarkStart w:id="118" w:name="fig:023"/>
      <w:r>
        <w:drawing>
          <wp:inline>
            <wp:extent cx="5334000" cy="363681"/>
            <wp:effectExtent b="0" l="0" r="0" t="0"/>
            <wp:docPr descr="Рис. 23: Копирование" title="" id="116" name="Picture"/>
            <a:graphic>
              <a:graphicData uri="http://schemas.openxmlformats.org/drawingml/2006/picture">
                <pic:pic>
                  <pic:nvPicPr>
                    <pic:cNvPr descr="image/2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Копирование</w:t>
      </w:r>
    </w:p>
    <w:p>
      <w:pPr>
        <w:numPr>
          <w:ilvl w:val="0"/>
          <w:numId w:val="1021"/>
        </w:numPr>
        <w:pStyle w:val="Compact"/>
      </w:pPr>
      <w:r>
        <w:t xml:space="preserve">Создала исполняемый файл. (рис. 24)</w:t>
      </w:r>
    </w:p>
    <w:p>
      <w:pPr>
        <w:pStyle w:val="CaptionedFigure"/>
      </w:pPr>
      <w:bookmarkStart w:id="122" w:name="fig:024"/>
      <w:r>
        <w:drawing>
          <wp:inline>
            <wp:extent cx="5334000" cy="450645"/>
            <wp:effectExtent b="0" l="0" r="0" t="0"/>
            <wp:docPr descr="Рис. 24: Исполняемый файл" title="" id="120" name="Picture"/>
            <a:graphic>
              <a:graphicData uri="http://schemas.openxmlformats.org/drawingml/2006/picture">
                <pic:pic>
                  <pic:nvPicPr>
                    <pic:cNvPr descr="image/2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Исполняемый файл</w:t>
      </w:r>
    </w:p>
    <w:p>
      <w:pPr>
        <w:numPr>
          <w:ilvl w:val="0"/>
          <w:numId w:val="1022"/>
        </w:numPr>
        <w:pStyle w:val="Compact"/>
      </w:pPr>
      <w:r>
        <w:t xml:space="preserve">Использовала ключ –args. Загрузила исполняемый файл в отладчик, указав аргументы. (рис. 25)</w:t>
      </w:r>
    </w:p>
    <w:p>
      <w:pPr>
        <w:pStyle w:val="CaptionedFigure"/>
      </w:pPr>
      <w:bookmarkStart w:id="126" w:name="fig:025"/>
      <w:r>
        <w:drawing>
          <wp:inline>
            <wp:extent cx="5334000" cy="2744838"/>
            <wp:effectExtent b="0" l="0" r="0" t="0"/>
            <wp:docPr descr="Рис. 25: Ключ –args" title="" id="124" name="Picture"/>
            <a:graphic>
              <a:graphicData uri="http://schemas.openxmlformats.org/drawingml/2006/picture">
                <pic:pic>
                  <pic:nvPicPr>
                    <pic:cNvPr descr="image/27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Ключ –args</w:t>
      </w:r>
    </w:p>
    <w:p>
      <w:pPr>
        <w:numPr>
          <w:ilvl w:val="0"/>
          <w:numId w:val="1023"/>
        </w:numPr>
        <w:pStyle w:val="Compact"/>
      </w:pPr>
      <w:r>
        <w:t xml:space="preserve">Установила точку останова перед первой инструкцией в программе и запустила ее. (рис. 26)</w:t>
      </w:r>
    </w:p>
    <w:p>
      <w:pPr>
        <w:pStyle w:val="CaptionedFigure"/>
      </w:pPr>
      <w:bookmarkStart w:id="130" w:name="fig:026"/>
      <w:r>
        <w:drawing>
          <wp:inline>
            <wp:extent cx="5334000" cy="769012"/>
            <wp:effectExtent b="0" l="0" r="0" t="0"/>
            <wp:docPr descr="Рис. 26: Установка точки останова" title="" id="128" name="Picture"/>
            <a:graphic>
              <a:graphicData uri="http://schemas.openxmlformats.org/drawingml/2006/picture">
                <pic:pic>
                  <pic:nvPicPr>
                    <pic:cNvPr descr="image/28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26: Установка точки останова</w:t>
      </w:r>
    </w:p>
    <w:p>
      <w:pPr>
        <w:numPr>
          <w:ilvl w:val="0"/>
          <w:numId w:val="1024"/>
        </w:numPr>
        <w:pStyle w:val="Compac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программы). (рис. 27)</w:t>
      </w:r>
    </w:p>
    <w:p>
      <w:pPr>
        <w:pStyle w:val="CaptionedFigure"/>
      </w:pPr>
      <w:bookmarkStart w:id="134" w:name="fig:027"/>
      <w:r>
        <w:drawing>
          <wp:inline>
            <wp:extent cx="5334000" cy="4519648"/>
            <wp:effectExtent b="0" l="0" r="0" t="0"/>
            <wp:docPr descr="Рис. 27: ." title="" id="132" name="Picture"/>
            <a:graphic>
              <a:graphicData uri="http://schemas.openxmlformats.org/drawingml/2006/picture">
                <pic:pic>
                  <pic:nvPicPr>
                    <pic:cNvPr descr="image/2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27: .</w:t>
      </w:r>
    </w:p>
    <w:p>
      <w:pPr>
        <w:numPr>
          <w:ilvl w:val="0"/>
          <w:numId w:val="1025"/>
        </w:numPr>
        <w:pStyle w:val="Compact"/>
      </w:pPr>
      <w:r>
        <w:t xml:space="preserve">Посмотрела остальные позиции стека. (рис. 28; рис. 29)</w:t>
      </w:r>
    </w:p>
    <w:p>
      <w:pPr>
        <w:pStyle w:val="CaptionedFigure"/>
      </w:pPr>
      <w:bookmarkStart w:id="138" w:name="fig:028"/>
      <w:r>
        <w:drawing>
          <wp:inline>
            <wp:extent cx="5334000" cy="4519648"/>
            <wp:effectExtent b="0" l="0" r="0" t="0"/>
            <wp:docPr descr="Рис. 28: Позиции стека" title="" id="136" name="Picture"/>
            <a:graphic>
              <a:graphicData uri="http://schemas.openxmlformats.org/drawingml/2006/picture">
                <pic:pic>
                  <pic:nvPicPr>
                    <pic:cNvPr descr="image/30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28: Позиции стека</w:t>
      </w:r>
    </w:p>
    <w:p>
      <w:pPr>
        <w:pStyle w:val="CaptionedFigure"/>
      </w:pPr>
      <w:bookmarkStart w:id="142" w:name="fig:029"/>
      <w:r>
        <w:drawing>
          <wp:inline>
            <wp:extent cx="5334000" cy="4519648"/>
            <wp:effectExtent b="0" l="0" r="0" t="0"/>
            <wp:docPr descr="Рис. 29: Позиции стека" title="" id="140" name="Picture"/>
            <a:graphic>
              <a:graphicData uri="http://schemas.openxmlformats.org/drawingml/2006/picture">
                <pic:pic>
                  <pic:nvPicPr>
                    <pic:cNvPr descr="image/3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29: Позиции стека</w:t>
      </w:r>
    </w:p>
    <w:p>
      <w:pPr>
        <w:pStyle w:val="BodyText"/>
      </w:pPr>
      <w:r>
        <w:t xml:space="preserve">Шаг изменения адреса равен 4 ([esp+4], [esp+8], [esp+12] и т.д.), потому что в теле цикла 4 строки кода.</w:t>
      </w:r>
    </w:p>
    <w:bookmarkEnd w:id="143"/>
    <w:bookmarkStart w:id="17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26"/>
        </w:numPr>
        <w:pStyle w:val="Compact"/>
      </w:pPr>
      <w:r>
        <w:t xml:space="preserve">Преобразовала программу из лабораторной работы No9 (Задание No1 для самостоятельной работы), реализовав вычисление значения функции f(x) как подпрограмму. (рис. 30; рис. 31; рис. 32)</w:t>
      </w:r>
    </w:p>
    <w:p>
      <w:pPr>
        <w:pStyle w:val="CaptionedFigure"/>
      </w:pPr>
      <w:bookmarkStart w:id="147" w:name="fig:030"/>
      <w:r>
        <w:drawing>
          <wp:inline>
            <wp:extent cx="5194300" cy="10020300"/>
            <wp:effectExtent b="0" l="0" r="0" t="0"/>
            <wp:docPr descr="Рис. 30: Текст программы" title="" id="145" name="Picture"/>
            <a:graphic>
              <a:graphicData uri="http://schemas.openxmlformats.org/drawingml/2006/picture">
                <pic:pic>
                  <pic:nvPicPr>
                    <pic:cNvPr descr="image/3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00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Текст программы</w:t>
      </w:r>
    </w:p>
    <w:p>
      <w:pPr>
        <w:pStyle w:val="CaptionedFigure"/>
      </w:pPr>
      <w:bookmarkStart w:id="151" w:name="fig:031"/>
      <w:r>
        <w:drawing>
          <wp:inline>
            <wp:extent cx="5194300" cy="10020300"/>
            <wp:effectExtent b="0" l="0" r="0" t="0"/>
            <wp:docPr descr="Рис. 31: Текст программы" title="" id="149" name="Picture"/>
            <a:graphic>
              <a:graphicData uri="http://schemas.openxmlformats.org/drawingml/2006/picture">
                <pic:pic>
                  <pic:nvPicPr>
                    <pic:cNvPr descr="image/3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00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Рис. 31: Текст программы</w:t>
      </w:r>
    </w:p>
    <w:p>
      <w:pPr>
        <w:pStyle w:val="CaptionedFigure"/>
      </w:pPr>
      <w:bookmarkStart w:id="155" w:name="fig:032"/>
      <w:r>
        <w:drawing>
          <wp:inline>
            <wp:extent cx="5334000" cy="1505300"/>
            <wp:effectExtent b="0" l="0" r="0" t="0"/>
            <wp:docPr descr="Рис. 32: Результат" title="" id="153" name="Picture"/>
            <a:graphic>
              <a:graphicData uri="http://schemas.openxmlformats.org/drawingml/2006/picture">
                <pic:pic>
                  <pic:nvPicPr>
                    <pic:cNvPr descr="image/3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Рис. 32: Результат</w:t>
      </w:r>
    </w:p>
    <w:p>
      <w:pPr>
        <w:numPr>
          <w:ilvl w:val="0"/>
          <w:numId w:val="1027"/>
        </w:numPr>
        <w:pStyle w:val="Compact"/>
      </w:pPr>
      <w:r>
        <w:t xml:space="preserve">В листинге 10.3 приведена программа вычисления выражения (3 + 2) ∗ 4 + 5. При запуске данная программа дает неверный результат. Проверила это с помощью отладчика GDB, анализируя изменения значений регистров, определила ошибку и исправила ее. (рис. 33; рис. 34; рис. 35; рис. 36)</w:t>
      </w:r>
    </w:p>
    <w:p>
      <w:pPr>
        <w:pStyle w:val="CaptionedFigure"/>
      </w:pPr>
      <w:bookmarkStart w:id="159" w:name="fig:033"/>
      <w:r>
        <w:drawing>
          <wp:inline>
            <wp:extent cx="5334000" cy="4320099"/>
            <wp:effectExtent b="0" l="0" r="0" t="0"/>
            <wp:docPr descr="Рис. 33: Начальный текст программы" title="" id="157" name="Picture"/>
            <a:graphic>
              <a:graphicData uri="http://schemas.openxmlformats.org/drawingml/2006/picture">
                <pic:pic>
                  <pic:nvPicPr>
                    <pic:cNvPr descr="image/3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Рис. 33: Начальный текст программы</w:t>
      </w:r>
    </w:p>
    <w:p>
      <w:pPr>
        <w:pStyle w:val="CaptionedFigure"/>
      </w:pPr>
      <w:bookmarkStart w:id="163" w:name="fig:034"/>
      <w:r>
        <w:drawing>
          <wp:inline>
            <wp:extent cx="5334000" cy="921623"/>
            <wp:effectExtent b="0" l="0" r="0" t="0"/>
            <wp:docPr descr="Рис. 34: Результат начальной программы" title="" id="161" name="Picture"/>
            <a:graphic>
              <a:graphicData uri="http://schemas.openxmlformats.org/drawingml/2006/picture">
                <pic:pic>
                  <pic:nvPicPr>
                    <pic:cNvPr descr="image/36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1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Рис. 34: Результат начальной программы</w:t>
      </w:r>
    </w:p>
    <w:p>
      <w:pPr>
        <w:pStyle w:val="CaptionedFigure"/>
      </w:pPr>
      <w:bookmarkStart w:id="167" w:name="fig:035"/>
      <w:r>
        <w:drawing>
          <wp:inline>
            <wp:extent cx="5207000" cy="6007100"/>
            <wp:effectExtent b="0" l="0" r="0" t="0"/>
            <wp:docPr descr="Рис. 35: Измененная программа" title="" id="165" name="Picture"/>
            <a:graphic>
              <a:graphicData uri="http://schemas.openxmlformats.org/drawingml/2006/picture">
                <pic:pic>
                  <pic:nvPicPr>
                    <pic:cNvPr descr="image/37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35: Измененная программа</w:t>
      </w:r>
    </w:p>
    <w:p>
      <w:pPr>
        <w:pStyle w:val="CaptionedFigure"/>
      </w:pPr>
      <w:bookmarkStart w:id="171" w:name="fig:036"/>
      <w:r>
        <w:drawing>
          <wp:inline>
            <wp:extent cx="5334000" cy="1170878"/>
            <wp:effectExtent b="0" l="0" r="0" t="0"/>
            <wp:docPr descr="Рис. 36: Результат" title="" id="169" name="Picture"/>
            <a:graphic>
              <a:graphicData uri="http://schemas.openxmlformats.org/drawingml/2006/picture">
                <pic:pic>
                  <pic:nvPicPr>
                    <pic:cNvPr descr="image/38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Рис. 36: Результат</w:t>
      </w:r>
    </w:p>
    <w:p>
      <w:pPr>
        <w:pStyle w:val="BodyText"/>
      </w:pPr>
      <w:r>
        <w:t xml:space="preserve">Данные изменения можно проверить по ссылке:</w:t>
      </w:r>
      <w:r>
        <w:t xml:space="preserve"> </w:t>
      </w:r>
      <w:hyperlink r:id="rId172">
        <w:r>
          <w:rPr>
            <w:rStyle w:val="Hyperlink"/>
          </w:rPr>
          <w:t xml:space="preserve">https://github.com/avobrezkova/study_2022-2023_arh-pc/tree/master/labs/lab10</w:t>
        </w:r>
      </w:hyperlink>
    </w:p>
    <w:bookmarkEnd w:id="173"/>
    <w:bookmarkEnd w:id="174"/>
    <w:bookmarkStart w:id="1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навыки написания программ с использованием подпрограмм. Ознакомилась с методами отладки при помощи GDB и его основными возможностями.</w:t>
      </w:r>
    </w:p>
    <w:bookmarkEnd w:id="175"/>
    <w:bookmarkStart w:id="17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8"/>
        </w:numPr>
        <w:pStyle w:val="Compact"/>
      </w:pPr>
      <w:hyperlink r:id="rId176">
        <w:r>
          <w:rPr>
            <w:rStyle w:val="Hyperlink"/>
          </w:rPr>
          <w:t xml:space="preserve">https://esystem.rudn.ru/pluginfile.php/1584394/mod_resource/content/1/%D0%9B%D0%B0%D0%B1%D0%BE%D1%80%D0%B0%D1%82%D0%BE%D1%80%D0%BD%D0%B0%D1%8F%20%D1%80%D0%B0%D0%B1%D0%BE%D1%82%D0%B0%20%E2%84%9610.pdf</w:t>
        </w:r>
      </w:hyperlink>
    </w:p>
    <w:bookmarkStart w:id="177" w:name="refs"/>
    <w:bookmarkEnd w:id="177"/>
    <w:bookmarkEnd w:id="1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176" Target="https://esystem.rudn.ru/pluginfile.php/1584394/mod_resource/content/1/%D0%9B%D0%B0%D0%B1%D0%BE%D1%80%D0%B0%D1%82%D0%BE%D1%80%D0%BD%D0%B0%D1%8F%20%D1%80%D0%B0%D0%B1%D0%BE%D1%82%D0%B0%20%E2%84%9610.pdf" TargetMode="External" /><Relationship Type="http://schemas.openxmlformats.org/officeDocument/2006/relationships/hyperlink" Id="rId172" Target="https://github.com/avobrezkova/study_2022-2023_arh-pc/tree/master/labs/lab1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76" Target="https://esystem.rudn.ru/pluginfile.php/1584394/mod_resource/content/1/%D0%9B%D0%B0%D0%B1%D0%BE%D1%80%D0%B0%D1%82%D0%BE%D1%80%D0%BD%D0%B0%D1%8F%20%D1%80%D0%B0%D0%B1%D0%BE%D1%82%D0%B0%20%E2%84%9610.pdf" TargetMode="External" /><Relationship Type="http://schemas.openxmlformats.org/officeDocument/2006/relationships/hyperlink" Id="rId172" Target="https://github.com/avobrezkova/study_2022-2023_arh-pc/tree/master/labs/lab1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Обрезкова Анастасия Владимировна</dc:creator>
  <dc:language>ru-RU</dc:language>
  <cp:keywords/>
  <dcterms:created xsi:type="dcterms:W3CDTF">2022-12-17T17:21:22Z</dcterms:created>
  <dcterms:modified xsi:type="dcterms:W3CDTF">2022-12-17T17:21:22Z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