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7924" w14:textId="552612A1" w:rsidR="003A6C4D" w:rsidRPr="003A6C4D" w:rsidRDefault="003A6C4D">
      <w:pPr>
        <w:rPr>
          <w:b/>
          <w:bCs/>
          <w:lang w:val="en-US"/>
        </w:rPr>
      </w:pPr>
      <w:r w:rsidRPr="003A6C4D">
        <w:rPr>
          <w:b/>
          <w:bCs/>
          <w:lang w:val="en-US"/>
        </w:rPr>
        <w:t>Add on behind the paragraph of the first method:</w:t>
      </w:r>
    </w:p>
    <w:p w14:paraId="3A507F7C" w14:textId="77777777" w:rsidR="003A6C4D" w:rsidRDefault="003A6C4D">
      <w:pPr>
        <w:rPr>
          <w:lang w:val="en-US"/>
        </w:rPr>
      </w:pPr>
    </w:p>
    <w:p w14:paraId="1848115D" w14:textId="59E307AA" w:rsidR="002C2ED8" w:rsidRDefault="00D656C0" w:rsidP="00980562">
      <w:pPr>
        <w:jc w:val="both"/>
        <w:rPr>
          <w:lang w:val="en-US"/>
        </w:rPr>
      </w:pPr>
      <w:r>
        <w:rPr>
          <w:lang w:val="en-US"/>
        </w:rPr>
        <w:t>For the second machine learning model, we chose to use the Support Vector Machine</w:t>
      </w:r>
      <w:r w:rsidR="002D684F">
        <w:rPr>
          <w:lang w:val="en-US"/>
        </w:rPr>
        <w:t xml:space="preserve"> (SVM)</w:t>
      </w:r>
      <w:r>
        <w:rPr>
          <w:lang w:val="en-US"/>
        </w:rPr>
        <w:t xml:space="preserve"> classifier class, Support Vector Classification (SVC)</w:t>
      </w:r>
      <w:r w:rsidR="002D684F">
        <w:rPr>
          <w:lang w:val="en-US"/>
        </w:rPr>
        <w:t>,</w:t>
      </w:r>
      <w:r>
        <w:rPr>
          <w:lang w:val="en-US"/>
        </w:rPr>
        <w:t xml:space="preserve"> for this simple binary classification task. </w:t>
      </w:r>
    </w:p>
    <w:p w14:paraId="7A849B4F" w14:textId="77777777" w:rsidR="002C2ED8" w:rsidRDefault="002C2ED8" w:rsidP="00980562">
      <w:pPr>
        <w:jc w:val="both"/>
        <w:rPr>
          <w:lang w:val="en-US"/>
        </w:rPr>
      </w:pPr>
    </w:p>
    <w:p w14:paraId="738590F8" w14:textId="77777777" w:rsidR="002C2ED8" w:rsidRDefault="002C2ED8" w:rsidP="00980562">
      <w:pPr>
        <w:jc w:val="both"/>
        <w:rPr>
          <w:lang w:val="en-US"/>
        </w:rPr>
      </w:pPr>
      <w:r>
        <w:rPr>
          <w:lang w:val="en-US"/>
        </w:rPr>
        <w:t xml:space="preserve">For SVC, it also uses a linear hypothesis space that maps </w:t>
      </w:r>
      <w:commentRangeStart w:id="0"/>
      <w:r>
        <w:rPr>
          <w:lang w:val="en-US"/>
        </w:rPr>
        <w:t xml:space="preserve">h(x) = </w:t>
      </w:r>
      <w:proofErr w:type="spellStart"/>
      <w:r>
        <w:rPr>
          <w:lang w:val="en-US"/>
        </w:rPr>
        <w:t>w^T</w:t>
      </w:r>
      <w:proofErr w:type="spellEnd"/>
      <w:r>
        <w:rPr>
          <w:lang w:val="en-US"/>
        </w:rPr>
        <w:t>(x)</w:t>
      </w:r>
      <w:commentRangeEnd w:id="0"/>
      <w:r>
        <w:rPr>
          <w:rStyle w:val="CommentReference"/>
        </w:rPr>
        <w:commentReference w:id="0"/>
      </w:r>
      <w:r>
        <w:rPr>
          <w:lang w:val="en-US"/>
        </w:rPr>
        <w:t>, identical to that of the logistic regression method used previously</w:t>
      </w:r>
      <w:r>
        <w:rPr>
          <w:lang w:val="en-US"/>
        </w:rPr>
        <w:t>. T</w:t>
      </w:r>
      <w:r w:rsidR="009D479F">
        <w:rPr>
          <w:lang w:val="en-US"/>
        </w:rPr>
        <w:t xml:space="preserve">he decision to opt for this method was so that we can compare the classification methods and evaluate which has better performance. </w:t>
      </w:r>
      <w:r w:rsidR="00D656C0">
        <w:rPr>
          <w:lang w:val="en-US"/>
        </w:rPr>
        <w:t xml:space="preserve">We did not choose to make use of </w:t>
      </w:r>
      <w:proofErr w:type="spellStart"/>
      <w:r w:rsidR="000A6550">
        <w:rPr>
          <w:lang w:val="en-US"/>
        </w:rPr>
        <w:t>LinearSVC</w:t>
      </w:r>
      <w:proofErr w:type="spellEnd"/>
      <w:r w:rsidR="000A6550">
        <w:rPr>
          <w:lang w:val="en-US"/>
        </w:rPr>
        <w:t xml:space="preserve"> or </w:t>
      </w:r>
      <w:proofErr w:type="spellStart"/>
      <w:r w:rsidR="000A6550">
        <w:rPr>
          <w:lang w:val="en-US"/>
        </w:rPr>
        <w:t>SGDClassifier</w:t>
      </w:r>
      <w:proofErr w:type="spellEnd"/>
      <w:r w:rsidR="000A6550">
        <w:rPr>
          <w:lang w:val="en-US"/>
        </w:rPr>
        <w:t xml:space="preserve"> over the basic SVC due to the dataset being not too large.</w:t>
      </w:r>
      <w:r w:rsidR="003A6C4D">
        <w:rPr>
          <w:lang w:val="en-US"/>
        </w:rPr>
        <w:t xml:space="preserve"> </w:t>
      </w:r>
    </w:p>
    <w:p w14:paraId="2E008441" w14:textId="77777777" w:rsidR="002C2ED8" w:rsidRDefault="002C2ED8" w:rsidP="00980562">
      <w:pPr>
        <w:jc w:val="both"/>
        <w:rPr>
          <w:lang w:val="en-US"/>
        </w:rPr>
      </w:pPr>
    </w:p>
    <w:p w14:paraId="6839C377" w14:textId="79A06D9B" w:rsidR="002D684F" w:rsidRDefault="002C2ED8" w:rsidP="00980562">
      <w:pPr>
        <w:jc w:val="both"/>
        <w:rPr>
          <w:lang w:val="en-US"/>
        </w:rPr>
      </w:pPr>
      <w:r>
        <w:rPr>
          <w:lang w:val="en-US"/>
        </w:rPr>
        <w:t>We also decided on using hinge loss to calculate the loss of our SVC method. The motivation for making use of hinge loss as the function for this method %</w:t>
      </w:r>
      <w:r w:rsidR="003A6C4D">
        <w:rPr>
          <w:lang w:val="en-US"/>
        </w:rPr>
        <w:t xml:space="preserve"> </w:t>
      </w:r>
      <w:commentRangeStart w:id="1"/>
      <w:commentRangeStart w:id="2"/>
      <w:r w:rsidR="003A6C4D">
        <w:rPr>
          <w:lang w:val="en-US"/>
        </w:rPr>
        <w:t>hinge loss function</w:t>
      </w:r>
      <w:commentRangeEnd w:id="1"/>
      <w:r w:rsidR="003A6C4D">
        <w:rPr>
          <w:rStyle w:val="CommentReference"/>
        </w:rPr>
        <w:commentReference w:id="1"/>
      </w:r>
      <w:commentRangeEnd w:id="2"/>
      <w:r w:rsidR="003A6C4D">
        <w:rPr>
          <w:rStyle w:val="CommentReference"/>
        </w:rPr>
        <w:commentReference w:id="2"/>
      </w:r>
      <w:r w:rsidR="003A6C4D">
        <w:rPr>
          <w:lang w:val="en-US"/>
        </w:rPr>
        <w:t>,</w:t>
      </w:r>
      <w:r>
        <w:rPr>
          <w:lang w:val="en-US"/>
        </w:rPr>
        <w:t>% is mainly because it is widely known as the loss functio</w:t>
      </w:r>
      <w:r w:rsidR="00406346">
        <w:rPr>
          <w:lang w:val="en-US"/>
        </w:rPr>
        <w:t>n tailored</w:t>
      </w:r>
      <w:r>
        <w:rPr>
          <w:lang w:val="en-US"/>
        </w:rPr>
        <w:t xml:space="preserve"> for SV</w:t>
      </w:r>
      <w:r w:rsidR="002D684F">
        <w:rPr>
          <w:lang w:val="en-US"/>
        </w:rPr>
        <w:t xml:space="preserve">M and also is easily accessible with </w:t>
      </w:r>
      <w:proofErr w:type="spellStart"/>
      <w:proofErr w:type="gramStart"/>
      <w:r w:rsidR="002D684F">
        <w:rPr>
          <w:lang w:val="en-US"/>
        </w:rPr>
        <w:t>sklearn.metrics</w:t>
      </w:r>
      <w:proofErr w:type="spellEnd"/>
      <w:proofErr w:type="gramEnd"/>
      <w:r>
        <w:rPr>
          <w:lang w:val="en-US"/>
        </w:rPr>
        <w:t xml:space="preserve">. Furthermore, it also makes sense to use this </w:t>
      </w:r>
      <w:r w:rsidR="002D684F">
        <w:rPr>
          <w:lang w:val="en-US"/>
        </w:rPr>
        <w:t xml:space="preserve">loss function for this binary classification task. </w:t>
      </w:r>
      <w:r w:rsidR="00406346">
        <w:rPr>
          <w:lang w:val="en-US"/>
        </w:rPr>
        <w:t>A</w:t>
      </w:r>
      <w:r w:rsidR="002D684F">
        <w:rPr>
          <w:lang w:val="en-US"/>
        </w:rPr>
        <w:t xml:space="preserve"> visualization and representation of the hinge loss function is shown in the following figure</w:t>
      </w:r>
      <w:r w:rsidR="00406346">
        <w:rPr>
          <w:lang w:val="en-US"/>
        </w:rPr>
        <w:t>s.</w:t>
      </w:r>
    </w:p>
    <w:p w14:paraId="0042CFDF" w14:textId="78BD7766" w:rsidR="002D684F" w:rsidRDefault="00406346" w:rsidP="00980562">
      <w:pPr>
        <w:jc w:val="center"/>
        <w:rPr>
          <w:lang w:val="en-US"/>
        </w:rPr>
      </w:pPr>
      <w:commentRangeStart w:id="3"/>
      <w:r w:rsidRPr="00406346">
        <w:rPr>
          <w:lang w:val="en-US"/>
        </w:rPr>
        <w:drawing>
          <wp:inline distT="0" distB="0" distL="0" distR="0" wp14:anchorId="179A8BC1" wp14:editId="1BF00BFD">
            <wp:extent cx="3280279" cy="2087880"/>
            <wp:effectExtent l="0" t="0" r="0" b="762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570" cy="20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980562">
        <w:rPr>
          <w:rStyle w:val="CommentReference"/>
        </w:rPr>
        <w:commentReference w:id="3"/>
      </w:r>
    </w:p>
    <w:p w14:paraId="5DD6D05D" w14:textId="33D9A9A7" w:rsidR="002D684F" w:rsidRDefault="00406346" w:rsidP="00980562">
      <w:pPr>
        <w:jc w:val="center"/>
        <w:rPr>
          <w:lang w:val="en-US"/>
        </w:rPr>
      </w:pPr>
      <w:commentRangeStart w:id="4"/>
      <w:r w:rsidRPr="00406346">
        <w:rPr>
          <w:lang w:val="en-US"/>
        </w:rPr>
        <w:drawing>
          <wp:inline distT="0" distB="0" distL="0" distR="0" wp14:anchorId="35E148B2" wp14:editId="5D4F138A">
            <wp:extent cx="3255299" cy="249936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300" cy="25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980562">
        <w:rPr>
          <w:rStyle w:val="CommentReference"/>
        </w:rPr>
        <w:commentReference w:id="4"/>
      </w:r>
    </w:p>
    <w:p w14:paraId="15C892B9" w14:textId="11DA5CDF" w:rsidR="00406346" w:rsidRDefault="00406346" w:rsidP="00980562">
      <w:pPr>
        <w:jc w:val="both"/>
        <w:rPr>
          <w:lang w:val="en-US"/>
        </w:rPr>
      </w:pPr>
      <w:r>
        <w:rPr>
          <w:lang w:val="en-US"/>
        </w:rPr>
        <w:t xml:space="preserve">From these figures, we can see that for observations that are of a margin distance of greater than or equal to 1, the hinge loss is valued at zero. While for observations of margin distance less than 1, the hinge loss value incurs a loss the increases linearly. To put simply, while the SVC bears the similarity </w:t>
      </w:r>
      <w:r>
        <w:rPr>
          <w:lang w:val="en-US"/>
        </w:rPr>
        <w:lastRenderedPageBreak/>
        <w:t>with logistic regression in that it aims to separate both classes with a line, the difference lies in this hinge loss function, that aims to maximize the margin distance between each data point and the separating line.</w:t>
      </w:r>
    </w:p>
    <w:p w14:paraId="44F458CF" w14:textId="6DFF081F" w:rsidR="00980562" w:rsidRDefault="00980562" w:rsidP="00980562">
      <w:pPr>
        <w:jc w:val="both"/>
        <w:rPr>
          <w:lang w:val="en-US"/>
        </w:rPr>
      </w:pPr>
    </w:p>
    <w:p w14:paraId="6BE7770F" w14:textId="1157AABD" w:rsidR="00980562" w:rsidRDefault="00980562" w:rsidP="00980562">
      <w:pPr>
        <w:jc w:val="both"/>
        <w:rPr>
          <w:lang w:val="en-US"/>
        </w:rPr>
      </w:pPr>
      <w:r>
        <w:rPr>
          <w:lang w:val="en-US"/>
        </w:rPr>
        <w:t xml:space="preserve">The dataset for the SVC method is also split into 5 parts to achieve the same 80% training to 20% validation ratio, for a </w:t>
      </w:r>
      <w:r w:rsidR="00CD705D">
        <w:rPr>
          <w:lang w:val="en-US"/>
        </w:rPr>
        <w:t>fairer</w:t>
      </w:r>
      <w:r>
        <w:rPr>
          <w:lang w:val="en-US"/>
        </w:rPr>
        <w:t xml:space="preserve"> comparison between the two methods.</w:t>
      </w:r>
      <w:r w:rsidR="00CD705D">
        <w:rPr>
          <w:lang w:val="en-US"/>
        </w:rPr>
        <w:t xml:space="preserve"> We also decided to use a linear kernel for the SVC given that the nature of our data.</w:t>
      </w:r>
    </w:p>
    <w:p w14:paraId="04D3723A" w14:textId="4B2E7383" w:rsidR="003A6C4D" w:rsidRDefault="003A6C4D" w:rsidP="00980562">
      <w:pPr>
        <w:jc w:val="both"/>
        <w:rPr>
          <w:lang w:val="en-US"/>
        </w:rPr>
      </w:pPr>
    </w:p>
    <w:p w14:paraId="115B0921" w14:textId="4B284F42" w:rsidR="003A6C4D" w:rsidRDefault="003A6C4D" w:rsidP="00980562">
      <w:pPr>
        <w:jc w:val="both"/>
        <w:rPr>
          <w:b/>
          <w:bCs/>
          <w:lang w:val="en-US"/>
        </w:rPr>
      </w:pPr>
      <w:r w:rsidRPr="003A6C4D">
        <w:rPr>
          <w:b/>
          <w:bCs/>
          <w:lang w:val="en-US"/>
        </w:rPr>
        <w:t>Results:</w:t>
      </w:r>
    </w:p>
    <w:p w14:paraId="64756B7E" w14:textId="5CDAC879" w:rsidR="003A6C4D" w:rsidRDefault="00980562" w:rsidP="00980562">
      <w:pPr>
        <w:jc w:val="both"/>
        <w:rPr>
          <w:lang w:val="en-US"/>
        </w:rPr>
      </w:pPr>
      <w:r>
        <w:rPr>
          <w:lang w:val="en-US"/>
        </w:rPr>
        <w:t>To evaluate and compare the two models, we have calculated the errors and the accuracy scores for each training and validation sets, obtaining the following results shown in the charts below.</w:t>
      </w:r>
    </w:p>
    <w:p w14:paraId="5049A13F" w14:textId="33BBDF2E" w:rsidR="00980562" w:rsidRDefault="00980562">
      <w:pPr>
        <w:rPr>
          <w:lang w:val="en-US"/>
        </w:rPr>
      </w:pPr>
    </w:p>
    <w:p w14:paraId="496DB3C3" w14:textId="00DC46AC" w:rsidR="00980562" w:rsidRDefault="00980562" w:rsidP="009805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66015A" wp14:editId="727943D4">
            <wp:extent cx="4869180" cy="2849880"/>
            <wp:effectExtent l="0" t="0" r="762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DBD0612-7146-F8B9-9419-75D6F4B45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8FEB1C" w14:textId="353B549C" w:rsidR="00980562" w:rsidRDefault="00980562" w:rsidP="00980562">
      <w:pPr>
        <w:jc w:val="center"/>
        <w:rPr>
          <w:lang w:val="en-US"/>
        </w:rPr>
      </w:pPr>
    </w:p>
    <w:tbl>
      <w:tblPr>
        <w:tblpPr w:leftFromText="180" w:rightFromText="180" w:vertAnchor="text" w:horzAnchor="margin" w:tblpXSpec="center" w:tblpY="138"/>
        <w:tblW w:w="52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6"/>
        <w:gridCol w:w="1947"/>
        <w:gridCol w:w="1517"/>
      </w:tblGrid>
      <w:tr w:rsidR="00980562" w:rsidRPr="00980562" w14:paraId="66DACBBD" w14:textId="77777777" w:rsidTr="00980562">
        <w:trPr>
          <w:trHeight w:val="325"/>
        </w:trPr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02F599CF" w14:textId="77777777" w:rsidR="00980562" w:rsidRPr="00980562" w:rsidRDefault="00980562" w:rsidP="00980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231A4F07" w14:textId="77777777" w:rsidR="00980562" w:rsidRPr="00980562" w:rsidRDefault="00980562" w:rsidP="00980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Logistic Regression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43567532" w14:textId="77777777" w:rsidR="00980562" w:rsidRPr="00980562" w:rsidRDefault="00980562" w:rsidP="00980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SVC</w:t>
            </w:r>
          </w:p>
        </w:tc>
      </w:tr>
      <w:tr w:rsidR="00980562" w:rsidRPr="00980562" w14:paraId="49B9F734" w14:textId="77777777" w:rsidTr="00980562">
        <w:trPr>
          <w:trHeight w:val="325"/>
        </w:trPr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72C703EC" w14:textId="77777777" w:rsidR="00980562" w:rsidRPr="00980562" w:rsidRDefault="00980562" w:rsidP="00980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Training Error</w:t>
            </w: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57EE7503" w14:textId="77777777" w:rsidR="00980562" w:rsidRPr="00980562" w:rsidRDefault="00980562" w:rsidP="00980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color w:val="000000"/>
                <w:lang w:val="en-SG"/>
              </w:rPr>
              <w:t>2.597054628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720BCCBA" w14:textId="77777777" w:rsidR="00980562" w:rsidRPr="00980562" w:rsidRDefault="00980562" w:rsidP="00980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color w:val="000000"/>
                <w:lang w:val="en-SG"/>
              </w:rPr>
              <w:t>0.201995064</w:t>
            </w:r>
          </w:p>
        </w:tc>
      </w:tr>
      <w:tr w:rsidR="00980562" w:rsidRPr="00980562" w14:paraId="03829410" w14:textId="77777777" w:rsidTr="00980562">
        <w:trPr>
          <w:trHeight w:val="325"/>
        </w:trPr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7E4D54A3" w14:textId="77777777" w:rsidR="00980562" w:rsidRPr="00980562" w:rsidRDefault="00980562" w:rsidP="00980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Training Accuracy</w:t>
            </w: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77B4EDBE" w14:textId="77777777" w:rsidR="00980562" w:rsidRPr="00980562" w:rsidRDefault="00980562" w:rsidP="00980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color w:val="000000"/>
                <w:lang w:val="en-SG"/>
              </w:rPr>
              <w:t>0.924808721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73118E07" w14:textId="77777777" w:rsidR="00980562" w:rsidRPr="00980562" w:rsidRDefault="00980562" w:rsidP="00980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color w:val="000000"/>
                <w:lang w:val="en-SG"/>
              </w:rPr>
              <w:t>0.935684903</w:t>
            </w:r>
          </w:p>
        </w:tc>
      </w:tr>
      <w:tr w:rsidR="00980562" w:rsidRPr="00980562" w14:paraId="1CFD7183" w14:textId="77777777" w:rsidTr="00980562">
        <w:trPr>
          <w:trHeight w:val="325"/>
        </w:trPr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4376E47B" w14:textId="77777777" w:rsidR="00980562" w:rsidRPr="00980562" w:rsidRDefault="00980562" w:rsidP="00980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Test Error</w:t>
            </w: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43282524" w14:textId="77777777" w:rsidR="00980562" w:rsidRPr="00980562" w:rsidRDefault="00980562" w:rsidP="00980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color w:val="000000"/>
                <w:lang w:val="en-SG"/>
              </w:rPr>
              <w:t>3.133209756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7625A37A" w14:textId="77777777" w:rsidR="00980562" w:rsidRPr="00980562" w:rsidRDefault="00980562" w:rsidP="00980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color w:val="000000"/>
                <w:lang w:val="en-SG"/>
              </w:rPr>
              <w:t>0.221038961</w:t>
            </w:r>
          </w:p>
        </w:tc>
      </w:tr>
      <w:tr w:rsidR="00980562" w:rsidRPr="00980562" w14:paraId="35DB032C" w14:textId="77777777" w:rsidTr="00980562">
        <w:trPr>
          <w:trHeight w:val="325"/>
        </w:trPr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41F88189" w14:textId="77777777" w:rsidR="00980562" w:rsidRPr="00980562" w:rsidRDefault="00980562" w:rsidP="00980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Test Accuracy</w:t>
            </w:r>
          </w:p>
        </w:tc>
        <w:tc>
          <w:tcPr>
            <w:tcW w:w="1947" w:type="dxa"/>
            <w:shd w:val="clear" w:color="auto" w:fill="auto"/>
            <w:noWrap/>
            <w:vAlign w:val="bottom"/>
            <w:hideMark/>
          </w:tcPr>
          <w:p w14:paraId="758E4187" w14:textId="77777777" w:rsidR="00980562" w:rsidRPr="00980562" w:rsidRDefault="00980562" w:rsidP="00980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color w:val="000000"/>
                <w:lang w:val="en-SG"/>
              </w:rPr>
              <w:t>0.909285714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6D74D34C" w14:textId="77777777" w:rsidR="00980562" w:rsidRPr="00980562" w:rsidRDefault="00980562" w:rsidP="00980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980562">
              <w:rPr>
                <w:rFonts w:ascii="Calibri" w:eastAsia="Times New Roman" w:hAnsi="Calibri" w:cs="Calibri"/>
                <w:color w:val="000000"/>
                <w:lang w:val="en-SG"/>
              </w:rPr>
              <w:t>0.916623377</w:t>
            </w:r>
          </w:p>
        </w:tc>
      </w:tr>
    </w:tbl>
    <w:p w14:paraId="4029B5EF" w14:textId="77777777" w:rsidR="00980562" w:rsidRPr="00980562" w:rsidRDefault="00980562" w:rsidP="00980562">
      <w:pPr>
        <w:jc w:val="center"/>
        <w:rPr>
          <w:lang w:val="en-US"/>
        </w:rPr>
      </w:pPr>
    </w:p>
    <w:p w14:paraId="463B4394" w14:textId="3DF47FE2" w:rsidR="003A6C4D" w:rsidRDefault="003A6C4D">
      <w:pPr>
        <w:rPr>
          <w:lang w:val="en-US"/>
        </w:rPr>
      </w:pPr>
    </w:p>
    <w:p w14:paraId="67DADAF0" w14:textId="520E2139" w:rsidR="00980562" w:rsidRDefault="00980562">
      <w:pPr>
        <w:rPr>
          <w:lang w:val="en-US"/>
        </w:rPr>
      </w:pPr>
    </w:p>
    <w:p w14:paraId="031D611A" w14:textId="1922CA4F" w:rsidR="00980562" w:rsidRDefault="00980562">
      <w:pPr>
        <w:rPr>
          <w:lang w:val="en-US"/>
        </w:rPr>
      </w:pPr>
    </w:p>
    <w:p w14:paraId="66B80474" w14:textId="3C8FB91F" w:rsidR="00980562" w:rsidRDefault="00980562">
      <w:pPr>
        <w:rPr>
          <w:lang w:val="en-US"/>
        </w:rPr>
      </w:pPr>
    </w:p>
    <w:p w14:paraId="70BDB213" w14:textId="38657E9C" w:rsidR="00980562" w:rsidRDefault="00980562">
      <w:pPr>
        <w:rPr>
          <w:lang w:val="en-US"/>
        </w:rPr>
      </w:pPr>
    </w:p>
    <w:p w14:paraId="3A3A80DA" w14:textId="3516AAB1" w:rsidR="00980562" w:rsidRDefault="00980562">
      <w:pPr>
        <w:rPr>
          <w:lang w:val="en-US"/>
        </w:rPr>
      </w:pPr>
      <w:r>
        <w:rPr>
          <w:lang w:val="en-US"/>
        </w:rPr>
        <w:t>As we can see from the charts and table above, both methods performed well in this binary classification to predict persons with lung cancer</w:t>
      </w:r>
      <w:r w:rsidR="00CD705D">
        <w:rPr>
          <w:lang w:val="en-US"/>
        </w:rPr>
        <w:t xml:space="preserve">, with the training and validation accuracies for both Logistic Regression and SVC valued above 90%. It can also be observed that for both training and validation, SVC performed better than the Logistic Regression model, with a 93.5% training and </w:t>
      </w:r>
      <w:r w:rsidR="00CD705D">
        <w:rPr>
          <w:lang w:val="en-US"/>
        </w:rPr>
        <w:lastRenderedPageBreak/>
        <w:t>91.7% validation accuracy, compared to the 92.5% training and 90.9% validation accuracy of the latter.</w:t>
      </w:r>
    </w:p>
    <w:p w14:paraId="4E6DA8DC" w14:textId="29015EFF" w:rsidR="00CD705D" w:rsidRDefault="00CD705D">
      <w:pPr>
        <w:rPr>
          <w:lang w:val="en-US"/>
        </w:rPr>
      </w:pPr>
      <w:r>
        <w:rPr>
          <w:lang w:val="en-US"/>
        </w:rPr>
        <w:t>Additionally, from our results, we can clearly see how the absolute errors for SVC using hinge loss is significantly smaller than that of Logistic Regression.</w:t>
      </w:r>
    </w:p>
    <w:p w14:paraId="34A6258B" w14:textId="716D8AF3" w:rsidR="00CD705D" w:rsidRDefault="00CD705D">
      <w:pPr>
        <w:rPr>
          <w:lang w:val="en-US"/>
        </w:rPr>
      </w:pPr>
      <w:r>
        <w:rPr>
          <w:lang w:val="en-US"/>
        </w:rPr>
        <w:t>From these results, we therefore come to the decision that SVC is the better method for this prediction of lung cancer binary classification task.</w:t>
      </w:r>
    </w:p>
    <w:p w14:paraId="1BD2C2D0" w14:textId="7F8872CF" w:rsidR="00980562" w:rsidRDefault="00980562">
      <w:pPr>
        <w:rPr>
          <w:lang w:val="en-US"/>
        </w:rPr>
      </w:pPr>
    </w:p>
    <w:p w14:paraId="30A979D1" w14:textId="77777777" w:rsidR="00980562" w:rsidRPr="00D656C0" w:rsidRDefault="00980562">
      <w:pPr>
        <w:rPr>
          <w:lang w:val="en-US"/>
        </w:rPr>
      </w:pPr>
    </w:p>
    <w:sectPr w:rsidR="00980562" w:rsidRPr="00D6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#TAN YI XIAN#" w:date="2022-10-04T17:29:00Z" w:initials="#YX">
    <w:p w14:paraId="492E9DCE" w14:textId="77777777" w:rsidR="002C2ED8" w:rsidRDefault="002C2ED8" w:rsidP="002C2ED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Add this into equation form</w:t>
      </w:r>
    </w:p>
  </w:comment>
  <w:comment w:id="1" w:author="#TAN YI XIAN#" w:date="2022-10-04T16:52:00Z" w:initials="#YX">
    <w:p w14:paraId="1DBB83E5" w14:textId="2DEBA7DC" w:rsidR="003A6C4D" w:rsidRDefault="003A6C4D" w:rsidP="009625C5">
      <w:pPr>
        <w:pStyle w:val="CommentText"/>
      </w:pPr>
      <w:r>
        <w:rPr>
          <w:rStyle w:val="CommentReference"/>
        </w:rPr>
        <w:annotationRef/>
      </w:r>
      <w:hyperlink r:id="rId1" w:history="1">
        <w:r w:rsidRPr="009625C5">
          <w:rPr>
            <w:rStyle w:val="Hyperlink"/>
          </w:rPr>
          <w:t>https://towardsdatascience.com/a-definitive-explanation-to-hinge-loss-for-support-vector-machines-ab6d8d3178f1</w:t>
        </w:r>
      </w:hyperlink>
    </w:p>
  </w:comment>
  <w:comment w:id="2" w:author="#TAN YI XIAN#" w:date="2022-10-04T16:52:00Z" w:initials="#YX">
    <w:p w14:paraId="1DB8F7FA" w14:textId="77777777" w:rsidR="003A6C4D" w:rsidRDefault="003A6C4D" w:rsidP="002971C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More about the hinge loss function that I can use to explain the loss functions</w:t>
      </w:r>
    </w:p>
  </w:comment>
  <w:comment w:id="3" w:author="#TAN YI XIAN#" w:date="2022-10-04T18:14:00Z" w:initials="#YX">
    <w:p w14:paraId="404E4D86" w14:textId="77777777" w:rsidR="00980562" w:rsidRDefault="00980562" w:rsidP="00AC63F6">
      <w:pPr>
        <w:pStyle w:val="CommentText"/>
      </w:pPr>
      <w:r>
        <w:rPr>
          <w:rStyle w:val="CommentReference"/>
        </w:rPr>
        <w:annotationRef/>
      </w:r>
      <w:hyperlink r:id="rId2" w:history="1">
        <w:r w:rsidRPr="00AC63F6">
          <w:rPr>
            <w:rStyle w:val="Hyperlink"/>
          </w:rPr>
          <w:t>https://towardsdatascience.com/a-definitive-explanation-to-hinge-loss-for-support-vector-machines-ab6d8d3178f1</w:t>
        </w:r>
      </w:hyperlink>
    </w:p>
  </w:comment>
  <w:comment w:id="4" w:author="#TAN YI XIAN#" w:date="2022-10-04T18:14:00Z" w:initials="#YX">
    <w:p w14:paraId="3500123A" w14:textId="77777777" w:rsidR="00980562" w:rsidRDefault="00980562" w:rsidP="009F10FB">
      <w:pPr>
        <w:pStyle w:val="CommentText"/>
      </w:pPr>
      <w:r>
        <w:rPr>
          <w:rStyle w:val="CommentReference"/>
        </w:rPr>
        <w:annotationRef/>
      </w:r>
      <w:hyperlink r:id="rId3" w:history="1">
        <w:r w:rsidRPr="009F10FB">
          <w:rPr>
            <w:rStyle w:val="Hyperlink"/>
          </w:rPr>
          <w:t>https://towardsdatascience.com/a-definitive-explanation-to-hinge-loss-for-support-vector-machines-ab6d8d3178f1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2E9DCE" w15:done="0"/>
  <w15:commentEx w15:paraId="1DBB83E5" w15:done="0"/>
  <w15:commentEx w15:paraId="1DB8F7FA" w15:paraIdParent="1DBB83E5" w15:done="0"/>
  <w15:commentEx w15:paraId="404E4D86" w15:done="0"/>
  <w15:commentEx w15:paraId="350012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EBF5" w16cex:dateUtc="2022-10-04T14:29:00Z"/>
  <w16cex:commentExtensible w16cex:durableId="26E6E33B" w16cex:dateUtc="2022-10-04T13:52:00Z"/>
  <w16cex:commentExtensible w16cex:durableId="26E6E351" w16cex:dateUtc="2022-10-04T13:52:00Z"/>
  <w16cex:commentExtensible w16cex:durableId="26E6F687" w16cex:dateUtc="2022-10-04T15:14:00Z"/>
  <w16cex:commentExtensible w16cex:durableId="26E6F68C" w16cex:dateUtc="2022-10-04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2E9DCE" w16cid:durableId="26E6EBF5"/>
  <w16cid:commentId w16cid:paraId="1DBB83E5" w16cid:durableId="26E6E33B"/>
  <w16cid:commentId w16cid:paraId="1DB8F7FA" w16cid:durableId="26E6E351"/>
  <w16cid:commentId w16cid:paraId="404E4D86" w16cid:durableId="26E6F687"/>
  <w16cid:commentId w16cid:paraId="3500123A" w16cid:durableId="26E6F6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TAN YI XIAN#">
    <w15:presenceInfo w15:providerId="None" w15:userId="#TAN YI XIAN#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C0"/>
    <w:rsid w:val="00093EB4"/>
    <w:rsid w:val="000A6550"/>
    <w:rsid w:val="002C2ED8"/>
    <w:rsid w:val="002D684F"/>
    <w:rsid w:val="003A6C4D"/>
    <w:rsid w:val="00406346"/>
    <w:rsid w:val="004E3F55"/>
    <w:rsid w:val="004E6C39"/>
    <w:rsid w:val="00571F4C"/>
    <w:rsid w:val="00980562"/>
    <w:rsid w:val="009D479F"/>
    <w:rsid w:val="00A06A2D"/>
    <w:rsid w:val="00CD705D"/>
    <w:rsid w:val="00D6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8FAB"/>
  <w15:chartTrackingRefBased/>
  <w15:docId w15:val="{8F88A28A-113C-402F-B6B2-9164FF8B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6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6C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6C4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C4D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A6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towardsdatascience.com/a-definitive-explanation-to-hinge-loss-for-support-vector-machines-ab6d8d3178f1" TargetMode="External"/><Relationship Id="rId2" Type="http://schemas.openxmlformats.org/officeDocument/2006/relationships/hyperlink" Target="https://towardsdatascience.com/a-definitive-explanation-to-hinge-loss-for-support-vector-machines-ab6d8d3178f1" TargetMode="External"/><Relationship Id="rId1" Type="http://schemas.openxmlformats.org/officeDocument/2006/relationships/hyperlink" Target="https://towardsdatascience.com/a-definitive-explanation-to-hinge-loss-for-support-vector-machines-ab6d8d3178f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chart" Target="charts/chart1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xia\OneDrive\Desktop\Aalto%20Mods\Machine%20Learning\ML%20Proj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Model</a:t>
            </a:r>
            <a:r>
              <a:rPr lang="en-SG" baseline="0"/>
              <a:t> Accuracy Comparison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Logistic Regression (Train)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Training Accuracy</c:v>
              </c:pt>
            </c:strLit>
          </c:cat>
          <c:val>
            <c:numRef>
              <c:f>Sheet1!$C$4</c:f>
              <c:numCache>
                <c:formatCode>General</c:formatCode>
                <c:ptCount val="1"/>
                <c:pt idx="0">
                  <c:v>0.92480872069107301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1C-4197-9C4C-C5582B87D473}"/>
            </c:ext>
          </c:extLst>
        </c:ser>
        <c:ser>
          <c:idx val="1"/>
          <c:order val="1"/>
          <c:tx>
            <c:v>SVC (Train)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Training Accuracy</c:v>
              </c:pt>
            </c:strLit>
          </c:cat>
          <c:val>
            <c:numRef>
              <c:f>Sheet1!$D$4</c:f>
              <c:numCache>
                <c:formatCode>General</c:formatCode>
                <c:ptCount val="1"/>
                <c:pt idx="0">
                  <c:v>0.93568490333196197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1C-4197-9C4C-C5582B87D473}"/>
            </c:ext>
          </c:extLst>
        </c:ser>
        <c:ser>
          <c:idx val="2"/>
          <c:order val="2"/>
          <c:tx>
            <c:v>Logistic Regression (Test)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Sheet1!$C$6</c:f>
              <c:numCache>
                <c:formatCode>General</c:formatCode>
                <c:ptCount val="1"/>
                <c:pt idx="0">
                  <c:v>0.90928571428571403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1C-4197-9C4C-C5582B87D473}"/>
            </c:ext>
          </c:extLst>
        </c:ser>
        <c:ser>
          <c:idx val="3"/>
          <c:order val="3"/>
          <c:tx>
            <c:v>SVC (Test)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Sheet1!$D$6</c:f>
              <c:numCache>
                <c:formatCode>General</c:formatCode>
                <c:ptCount val="1"/>
                <c:pt idx="0">
                  <c:v>0.91662337662337601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1C-4197-9C4C-C5582B87D47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69245312"/>
        <c:axId val="829343824"/>
      </c:barChart>
      <c:catAx>
        <c:axId val="7692453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29343824"/>
        <c:crosses val="autoZero"/>
        <c:auto val="1"/>
        <c:lblAlgn val="ctr"/>
        <c:lblOffset val="100"/>
        <c:noMultiLvlLbl val="0"/>
      </c:catAx>
      <c:valAx>
        <c:axId val="82934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245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YI XIAN#</dc:creator>
  <cp:keywords/>
  <dc:description/>
  <cp:lastModifiedBy>#TAN YI XIAN#</cp:lastModifiedBy>
  <cp:revision>2</cp:revision>
  <dcterms:created xsi:type="dcterms:W3CDTF">2022-10-04T07:23:00Z</dcterms:created>
  <dcterms:modified xsi:type="dcterms:W3CDTF">2022-10-04T15:28:00Z</dcterms:modified>
</cp:coreProperties>
</file>