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/>
          <w:b/>
          <w:i w:val="0"/>
          <w:sz w:val="28"/>
        </w:rPr>
        <w:t>GreenOps — PERT-диаграмма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&gt; Формула PERT: </w:t>
      </w:r>
      <w:r>
        <w:rPr>
          <w:rFonts w:ascii="Times New Roman" w:hAnsi="Times New Roman"/>
          <w:b/>
          <w:i w:val="0"/>
          <w:sz w:val="24"/>
        </w:rPr>
        <w:t>te = (мин + 4 × вероятное + макс) / 6</w:t>
      </w:r>
      <w:r>
        <w:rPr>
          <w:rFonts w:ascii="Times New Roman" w:hAnsi="Times New Roman"/>
          <w:b w:val="0"/>
          <w:i w:val="0"/>
          <w:sz w:val="24"/>
        </w:rPr>
        <w:t xml:space="preserve">  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&gt; Дисперсия: </w:t>
      </w:r>
      <w:r>
        <w:rPr>
          <w:rFonts w:ascii="Times New Roman" w:hAnsi="Times New Roman"/>
          <w:b/>
          <w:i w:val="0"/>
          <w:sz w:val="24"/>
        </w:rPr>
        <w:t>σ² = ((макс − мин) / 6)²</w:t>
      </w:r>
      <w:r>
        <w:rPr>
          <w:rFonts w:ascii="Times New Roman" w:hAnsi="Times New Roman"/>
          <w:b w:val="0"/>
          <w:i w:val="0"/>
          <w:sz w:val="24"/>
        </w:rPr>
        <w:t xml:space="preserve">  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&gt; Нумерация дней соответствует рабочим дням, начиная с 1 апреля 2026 г.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Узлы PERT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 задачи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 задачи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Мин (дни)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Вер. (дни)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Макс (дни)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te (дни)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σ²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Сбор требований и моделирование домена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Проектирование системной архитектуры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2.17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0.25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Проектирование API-контракта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0.063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T-04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Проектирование схемы БД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Среда разработки и базовый Docker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0.063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T-06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Макеты интерфейса (Wireframes)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Пакет Shared Kernel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2.17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0.25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ORM-модели SQLAlchemy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0.063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T-09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Миграции Alembic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0.063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Библиотека crudx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3.17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0.25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Доменный слой CRUD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0.063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Система аутентификации (JWT + bcrypt)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2.17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0.25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Прикладной слой CRUD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3.17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0.25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T-14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DB-репозитории CRUD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API-слой CRUD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3.17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0.25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T-16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DI-контейнер Dishka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0.063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Задачи APScheduler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0.063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Настройка Workers-сервиса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0.063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T-19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TelemetryService + SpikeDetector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Kafka-потребители и симулятор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0.028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Настройка Vue 3 + Vite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0.028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API-клиентский слой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0.063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Представления авторизации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T-24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DashboardView + StatsCards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3.17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0.25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BuildingTabs + SensorsView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T-26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UsageChart (Chart.js)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2.17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0.25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ThresholdsView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0.063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Настройка Nginx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0.028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T-29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Полный Docker Compose-стек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Настройка Prometheus + Grafana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Юнит-тесты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2.17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0.25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Интеграционное тестирование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2.33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E2E-тестирование с симулятором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2.17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0.25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T-34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Техническая документация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2.00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Буфер на исправление ошибок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1.33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</w:t>
            </w:r>
          </w:p>
        </w:tc>
      </w:tr>
      <w:tr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T-36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Финальный деплой и дымовые тесты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1.08</w:t>
            </w:r>
          </w:p>
        </w:tc>
        <w:tc>
          <w:tcPr>
            <w:tcW w:type="dxa" w:w="1234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0.063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Связи PERT (стрелки зависимостей)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СТАРТ  → T-01   начало проекта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СТАРТ  → T-02   начало проекта (параллельно)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T-01   → T-03   требования собраны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T-02   → T-03   архитектура определена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T-01   → T-04   требования собраны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T-02   → T-04   архитектура определена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T-02   → T-05   технологический стек подтверждён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T-01   → T-06   пользовательские истории готовы к макетированию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T-03   → T-07   API-контракты определяют форму сущностей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T-04   → T-07   схема БД определяет сущности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T-04   → T-08   схема готова для ORM-маппинга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T-07   → T-08   общие сущности определены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T-08   → T-09   модели готовы к генерации миграций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T-07   → T-10   общие сущности и DTO доступны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T-07   → T-11   доменные сущности определены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T-05   → T-18   Docker-инфраструктура доступна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T-07   → T-18   Shared Kernel доступен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T-05   → T-28   Docker-база для Nginx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T-05   → T-29   базовая инфраструктура готова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T-04   → T-29   конфигурация БД подтверждена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T-28   → T-29   конфиг Nginx для шлюза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T-29   → T-30   запущенный стек для сбора метрик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T-06   → T-21   макеты направляют реализацию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T-09   → T-14   миграции задают контракты схемы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T-10   → T-14   шлюз crudx доступен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T-11   → T-14   доменные репозитории определены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T-11   → T-12   сущность пользователя определена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T-11   → T-13   все доменные репозитории определены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T-12   → T-13   use cases авторизации готовы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T-13   → T-15   сервисы готовы к HTTP-подключению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T-14   → T-15   DB-репозитории доступны для DI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T-18   → T-19   инфраструктура воркеров готова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T-10   → T-19   crudx для доступа к БД воркеров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T-09   → T-19   миграции применены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T-18   → T-20   Kafka-топики созданы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T-15   → T-16   все роутеры и провайдеры готовы к подключению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T-13   → T-17   сервисы готовы к планированию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T-16   → T-17   контейнер доступен для планировщика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T-21   → T-22   Vue-проект инициализирован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T-03   → T-22   API-контракт для типизированного клиента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T-22   → T-23   API-клиент для вызовов авторизации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T-22   → T-24   API-клиент для данных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T-23   → T-24   маршрутные охранники для дашборда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T-24   → T-25   контекст здания установлен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T-25   → T-26   вкладки датчиков/зданий для графика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T-26   → T-27   контекст данных порогов доступен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T-10   → T-31   юнит-тесты crudx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T-19   → T-31   тесты SpikeDetector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T-13   → T-31   тесты XOR-валидации SensorService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T-15   → T-32   API-эндпоинты готовы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T-16   → T-32   DI-контейнер готов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T-17   → T-32   планировщик зарегистрирован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T-31   → T-32   юнит-тесты пройдены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T-32   → T-33   интеграционные тесты пройдены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T-30   → T-33   стек мониторинга доступен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T-27   → T-33   полный UI доступен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T-20   → T-33   симулятор доступен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T-15   → T-34   справочник API финализирован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T-33   → T-35   ошибки выявлены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T-35   → T-36   исправления применены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T-34   → T-36   документация завершена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T-36   → КОНЕЦ  полное завершение проекта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Формат узлов для draw.io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Скопируйте описания для построения узлов в draw.io.  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Формат узла: </w:t>
      </w:r>
      <w:r>
        <w:rPr>
          <w:rFonts w:ascii="Times New Roman" w:hAnsi="Times New Roman"/>
          <w:b w:val="0"/>
          <w:i/>
          <w:sz w:val="24"/>
        </w:rPr>
        <w:t>[ID] | Название | te | РН–РО | Резерв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[T-01] Сбор требований и моделирование домена      | te=2.00 | РН=1  РО=2  | Резерв=0 ★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[T-02] Проектирование системной архитектуры        | te=2.17 | РН=1  РО=2  | Резерв=0 ★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[T-03] Проектирование API-контракта                | te=1.08 | РН=3  РО=3  | Резерв=1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[T-04] Проектирование схемы БД                     | te=2.00 | РН=3  РО=4  | Резерв=0 ★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[T-05] Среда разработки и базовый Docker           | te=1.08 | РН=3  РО=3  | Резерв=9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[T-06] Макеты интерфейса (Wireframes)              | te=2.00 | РН=3  РО=4  | Резерв=3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[T-07] Пакет Shared Kernel                         | te=2.17 | РН=5  РО=6  | Резерв=0 ★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[T-08] ORM-модели SQLAlchemy                       | te=1.08 | РН=7  РО=7  | Резерв=2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[T-09] Миграции Alembic                            | te=1.08 | РН=8  РО=8  | Резерв=2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[T-10] Библиотека crudx                            | te=3.17 | РН=7  РО=9  | Резерв=1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[T-11] Доменный слой CRUD                          | te=1.08 | РН=7  РО=7  | Резерв=0 ★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[T-12] Система аутентификации (JWT + bcrypt)       | te=2.17 | РН=8  РО=9  | Резерв=0 ★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[T-13] Прикладной слой CRUD                        | te=3.17 | РН=10 РО=12 | Резерв=0 ★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[T-14] DB-репозитории CRUD                         | te=2.00 | РН=10 РО=11 | Резерв=1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[T-15] API-слой CRUD                               | te=3.17 | РН=13 РО=15 | Резерв=0 ★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[T-16] DI-контейнер Dishka                         | te=1.08 | РН=16 РО=16 | Резерв=0 ★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[T-17] Задачи APScheduler                          | te=1.08 | РН=17 РО=17 | Резерв=0 ★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[T-18] Настройка Workers-сервиса                   | te=1.08 | РН=7  РО=7  | Резерв=6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[T-19] TelemetryService + SpikeDetector            | te=2.00 | РН=10 РО=11 | Резерв=4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[T-20] Kafka-потребители и симулятор               | te=1.00 | РН=8  РО=8  | Резерв=11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[T-21] Настройка Vue 3 + Vite                      | te=1.00 | РН=5  РО=5  | Резерв=3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[T-22] API-клиентский слой                         | te=1.08 | РН=6  РО=6  | Резерв=3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[T-23] Представления авторизации                   | te=2.00 | РН=7  РО=8  | Резерв=3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[T-24] DashboardView + StatsCards                  | te=3.17 | РН=9  РО=11 | Резерв=3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[T-25] BuildingTabs + SensorsView                  | te=2.00 | РН=12 РО=13 | Резерв=3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[T-26] UsageChart (Chart.js)                       | te=2.17 | РН=14 РО=15 | Резерв=3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[T-27] ThresholdsView                              | te=1.08 | РН=16 РО=16 | Резерв=3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[T-28] Настройка Nginx                             | te=1.00 | РН=4  РО=4  | Резерв=13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[T-29] Полный Docker Compose-стек                  | te=2.00 | РН=5  РО=6  | Резерв=13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[T-30] Настройка Prometheus + Grafana              | te=2.00 | РН=7  РО=8  | Резерв=11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[T-31] Юнит-тесты                                  | te=2.17 | РН=13 РО=14 | Резерв=3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[T-32] Интеграционное тестирование                 | te=2.33 | РН=18 РО=19 | Резерв=0 ★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[T-33] E2E-тестирование с симулятором              | te=2.17 | РН=20 РО=21 | Резерв=0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[T-34] Техническая документация                    | te=2.00 | РН=16 РО=17 | Резерв=2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[T-35] Буфер на исправление ошибок                 | te=1.33 | РН=22 РО=22 | Резерв=0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[T-36] Финальный деплой и дымовые тесты            | te=1.08 | РН=22 РО=22 | Резерв=0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РН = ранний старт, РО = раннее окончание, ★ = узел критического пути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Критический путь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T-01/T-02 → T-04 → T-07 → T-11 → T-12 → T-13 → T-15 → T-16 → T-17 → T-32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Номинальная длительность (целые оценки)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T-01  2 дня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T-04  2 дня  (T-02 тоже завершается на день 2 — оба питают T-04)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T-07  2 дня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T-11  1 день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T-12  2 дня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T-13  3 дня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T-15  3 дня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T-16  1 день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T-17  1 день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T-32  2 дня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──────────────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Итого: 19 рабочих дней  (1 апр – 25 апр, нулевой буфер)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PERT-ожидаемая длительность критического пути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te(T-01) = 2.00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te(T-04) = 2.00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te(T-07) = 2.17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te(T-11) = 1.08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te(T-12) = 2.17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te(T-13) = 3.17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te(T-15) = 3.17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te(T-16) = 1.08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te(T-17) = 1.08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te(T-32) = 2.33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──────────────────────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Ожидаемая длительность до T-32 = 20.25 дня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Номинальный план до T-32       = 19.00 дней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Дельта PERT–номинал            = +1.25 дня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Дисперсия проекта и вероятность соблюдения срока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σ²(критический путь) = 0.11 + 0.11 + 0.25 + 0.063 + 0.25 + 0.25 + 0.25 + 0.063 + 0.063 + 0.11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= 1.52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σ = √1.52 ≈ 1.23 дня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Z = (номинал − ожидание) / σ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= (19 − 20.25) / 1.23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= −1.02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P(завершить T-32 в рамках 19-дневного номинального плана) ≈ 15%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&gt; </w:t>
      </w:r>
      <w:r>
        <w:rPr>
          <w:rFonts w:ascii="Times New Roman" w:hAnsi="Times New Roman"/>
          <w:b/>
          <w:i w:val="0"/>
          <w:sz w:val="24"/>
        </w:rPr>
        <w:t>Критический путь до T-32 имеет лишь ~15% вероятности завершения в рамках точного 19-дневного номинального плана.</w:t>
      </w:r>
      <w:r>
        <w:rPr>
          <w:rFonts w:ascii="Times New Roman" w:hAnsi="Times New Roman"/>
          <w:b w:val="0"/>
          <w:i w:val="0"/>
          <w:sz w:val="24"/>
        </w:rPr>
        <w:t xml:space="preserve">  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&gt; Для достижения 50% вероятности требуется ~20.25 дней (+1.25 дня буфера сверх номинала).  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&gt; Для достижения 85% вероятности — ~21.5 дней (+2.5 дня буфера).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Сводка резервов по потокам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Поток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Типичный резерв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Интерпретация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Критический путь (бэкенд)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0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Каждый день на счету; нет пространства для манёвра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Библиотека crudx (T-10)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Одни сутки промедления — и она входит в критический путь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DB-репозитории CRUD (T-14)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Параллельны с T-13; едва выходит из критического пути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Frontend (T-21–T-27)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Удобный буфер, но полностью съедается при задержке API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Workers (T-18–T-20)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4–11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Хорошо изолирован; независимый Kafka-поток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 / Docker / Nginx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9–13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Не несёт риска по срокам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Мониторинг (T-30)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Наименьший приоритет в рамках дедлайна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Юнит-тесты (T-31)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Должны стартовать 17 апр; нельзя сдвигать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Документация (T-34)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Можно начать не позднее 22 апреля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