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rFonts w:asciiTheme="minorAscii" w:hAnsiTheme="minorAscii"/>
          <w:b/>
          <w:bCs/>
          <w:sz w:val="20"/>
          <w:szCs w:val="20"/>
          <w:lang w:val="ru-RU"/>
        </w:rPr>
        <w:t>Вступление:</w:t>
      </w:r>
    </w:p>
    <w:p>
      <w:pPr>
        <w:pStyle w:val="Normal"/>
        <w:rPr>
          <w:rFonts w:ascii="Calibri" w:hAnsi="Calibri" w:asciiTheme="minorAscii" w:hAnsiTheme="minorAscii"/>
          <w:sz w:val="20"/>
          <w:szCs w:val="20"/>
          <w:lang w:val="ru-RU"/>
        </w:rPr>
      </w:pPr>
      <w:r>
        <w:rPr/>
      </w:r>
    </w:p>
    <w:p>
      <w:pPr>
        <w:pStyle w:val="Normal"/>
        <w:rPr>
          <w:rFonts w:ascii="Calibri" w:hAnsi="Calibri" w:asciiTheme="minorAscii" w:hAnsiTheme="minorAscii"/>
          <w:sz w:val="20"/>
          <w:szCs w:val="20"/>
          <w:lang w:val="ru-RU"/>
        </w:rPr>
      </w:pPr>
      <w:r>
        <w:rPr>
          <w:rFonts w:asciiTheme="minorAscii" w:hAnsiTheme="minorAscii"/>
          <w:sz w:val="20"/>
          <w:szCs w:val="20"/>
          <w:lang w:val="ru-RU"/>
        </w:rPr>
        <w:t xml:space="preserve">– </w:t>
      </w:r>
      <w:r>
        <w:rPr>
          <w:rFonts w:asciiTheme="minorAscii" w:hAnsiTheme="minorAscii"/>
          <w:sz w:val="20"/>
          <w:szCs w:val="20"/>
          <w:lang w:val="ru-RU"/>
        </w:rPr>
        <w:t xml:space="preserve">Здравствуйте мы команды </w:t>
      </w:r>
      <w:r>
        <w:rPr>
          <w:rFonts w:asciiTheme="minorAscii" w:hAnsiTheme="minorAscii"/>
          <w:sz w:val="20"/>
          <w:szCs w:val="20"/>
          <w:lang w:val="en-US"/>
        </w:rPr>
        <w:t>Elbrus</w:t>
      </w:r>
      <w:r>
        <w:rPr>
          <w:rFonts w:asciiTheme="minorAscii" w:hAnsiTheme="minorAscii"/>
          <w:sz w:val="20"/>
          <w:szCs w:val="20"/>
          <w:lang w:val="ru-RU"/>
        </w:rPr>
        <w:t xml:space="preserve">, студенты факультета физики и информационных технологий. </w:t>
      </w:r>
    </w:p>
    <w:p>
      <w:pPr>
        <w:pStyle w:val="Normal"/>
        <w:rPr>
          <w:rFonts w:ascii="Calibri" w:hAnsi="Calibri" w:asciiTheme="minorAscii" w:hAnsiTheme="minorAscii"/>
          <w:sz w:val="20"/>
          <w:szCs w:val="20"/>
          <w:lang w:val="ru-RU"/>
        </w:rPr>
      </w:pPr>
      <w:r>
        <w:rPr/>
      </w:r>
    </w:p>
    <w:p>
      <w:pPr>
        <w:pStyle w:val="Normal"/>
        <w:rPr>
          <w:rFonts w:ascii="Calibri" w:hAnsi="Calibri" w:asciiTheme="minorAscii" w:hAnsiTheme="minorAscii"/>
          <w:sz w:val="20"/>
          <w:szCs w:val="20"/>
          <w:lang w:val="ru-RU"/>
        </w:rPr>
      </w:pPr>
      <w:r>
        <w:rPr>
          <w:rFonts w:asciiTheme="minorAscii" w:hAnsiTheme="minorAscii"/>
          <w:sz w:val="20"/>
          <w:szCs w:val="20"/>
          <w:lang w:val="ru-RU"/>
        </w:rPr>
        <w:t xml:space="preserve">– </w:t>
      </w:r>
      <w:r>
        <w:rPr>
          <w:rFonts w:asciiTheme="minorAscii" w:hAnsiTheme="minorAscii"/>
          <w:sz w:val="20"/>
          <w:szCs w:val="20"/>
          <w:lang w:val="ru-RU"/>
        </w:rPr>
        <w:t>Мы обучаемся на специальности П</w:t>
      </w:r>
      <w:r>
        <w:rPr>
          <w:rFonts w:asciiTheme="minorAscii" w:hAnsiTheme="minorAscii"/>
          <w:sz w:val="20"/>
          <w:szCs w:val="20"/>
          <w:lang w:val="ru-RU"/>
        </w:rPr>
        <w:t xml:space="preserve">рограммируемые </w:t>
      </w:r>
      <w:r>
        <w:rPr>
          <w:rFonts w:asciiTheme="minorAscii" w:hAnsiTheme="minorAscii"/>
          <w:sz w:val="20"/>
          <w:szCs w:val="20"/>
          <w:lang w:val="ru-RU"/>
        </w:rPr>
        <w:t>М</w:t>
      </w:r>
      <w:r>
        <w:rPr>
          <w:rFonts w:asciiTheme="minorAscii" w:hAnsiTheme="minorAscii"/>
          <w:sz w:val="20"/>
          <w:szCs w:val="20"/>
          <w:lang w:val="ru-RU"/>
        </w:rPr>
        <w:t xml:space="preserve">обильные </w:t>
      </w:r>
      <w:r>
        <w:rPr>
          <w:rFonts w:asciiTheme="minorAscii" w:hAnsiTheme="minorAscii"/>
          <w:sz w:val="20"/>
          <w:szCs w:val="20"/>
          <w:lang w:val="ru-RU"/>
        </w:rPr>
        <w:t>С</w:t>
      </w:r>
      <w:r>
        <w:rPr>
          <w:rFonts w:asciiTheme="minorAscii" w:hAnsiTheme="minorAscii"/>
          <w:sz w:val="20"/>
          <w:szCs w:val="20"/>
          <w:lang w:val="ru-RU"/>
        </w:rPr>
        <w:t>истемы</w:t>
      </w:r>
      <w:r>
        <w:rPr>
          <w:rFonts w:asciiTheme="minorAscii" w:hAnsiTheme="minorAscii"/>
          <w:sz w:val="20"/>
          <w:szCs w:val="20"/>
          <w:lang w:val="ru-RU"/>
        </w:rPr>
        <w:t xml:space="preserve"> и один из наших  основных предметов связан с изучением архитектуры микроконтроллеров. </w:t>
      </w:r>
    </w:p>
    <w:p>
      <w:pPr>
        <w:pStyle w:val="Normal"/>
        <w:rPr>
          <w:rFonts w:ascii="Calibri" w:hAnsi="Calibri" w:asciiTheme="minorAscii" w:hAnsiTheme="minorAscii"/>
          <w:sz w:val="20"/>
          <w:szCs w:val="20"/>
          <w:lang w:val="ru-RU"/>
        </w:rPr>
      </w:pPr>
      <w:r>
        <w:rPr/>
      </w:r>
    </w:p>
    <w:p>
      <w:pPr>
        <w:pStyle w:val="Normal"/>
        <w:rPr>
          <w:rFonts w:ascii="Calibri" w:hAnsi="Calibri" w:asciiTheme="minorAscii" w:hAnsiTheme="minorAscii"/>
          <w:sz w:val="20"/>
          <w:szCs w:val="20"/>
          <w:lang w:val="ru-RU"/>
        </w:rPr>
      </w:pPr>
      <w:r>
        <w:rPr>
          <w:rFonts w:asciiTheme="minorAscii" w:hAnsiTheme="minorAscii"/>
          <w:sz w:val="20"/>
          <w:szCs w:val="20"/>
          <w:lang w:val="ru-RU"/>
        </w:rPr>
        <w:t xml:space="preserve">– </w:t>
      </w:r>
      <w:r>
        <w:rPr>
          <w:rFonts w:asciiTheme="minorAscii" w:hAnsiTheme="minorAscii"/>
          <w:sz w:val="20"/>
          <w:szCs w:val="20"/>
          <w:lang w:val="ru-RU"/>
        </w:rPr>
        <w:t xml:space="preserve">Именно поэтому мы хотим вам рассказать о Российской разработке - процессорах </w:t>
      </w:r>
      <w:r>
        <w:rPr>
          <w:rFonts w:asciiTheme="minorAscii" w:hAnsiTheme="minorAscii"/>
          <w:sz w:val="20"/>
          <w:szCs w:val="20"/>
          <w:lang w:val="en-US"/>
        </w:rPr>
        <w:t>Elbrus.</w:t>
      </w:r>
    </w:p>
    <w:p>
      <w:pPr>
        <w:pStyle w:val="Normal"/>
        <w:rPr>
          <w:rFonts w:ascii="Calibri" w:hAnsi="Calibri" w:asciiTheme="minorAscii" w:hAnsiTheme="minorAscii"/>
          <w:sz w:val="20"/>
          <w:szCs w:val="20"/>
          <w:lang w:val="ru-RU"/>
        </w:rPr>
      </w:pPr>
      <w:r>
        <w:rPr/>
      </w:r>
    </w:p>
    <w:p>
      <w:pPr>
        <w:pStyle w:val="Normal"/>
        <w:rPr>
          <w:rFonts w:ascii="Calibri" w:hAnsi="Calibri" w:asciiTheme="minorAscii" w:hAnsiTheme="minorAscii"/>
          <w:sz w:val="20"/>
          <w:szCs w:val="20"/>
          <w:lang w:val="ru-RU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Theme="minorAscii" w:hAnsiTheme="minorAscii"/>
          <w:b/>
          <w:bCs/>
          <w:sz w:val="20"/>
          <w:szCs w:val="20"/>
          <w:lang w:val="ru-RU"/>
        </w:rPr>
        <w:t>История:</w:t>
      </w:r>
    </w:p>
    <w:p>
      <w:pPr>
        <w:pStyle w:val="Normal"/>
        <w:rPr>
          <w:rFonts w:ascii="Calibri" w:hAnsi="Calibri" w:asciiTheme="minorAscii" w:hAnsiTheme="minorAscii"/>
          <w:sz w:val="20"/>
          <w:szCs w:val="20"/>
          <w:lang w:val="ru-RU"/>
        </w:rPr>
      </w:pPr>
      <w:r>
        <w:rPr>
          <w:rFonts w:asciiTheme="minorAscii" w:hAnsiTheme="minorAscii"/>
          <w:sz w:val="20"/>
          <w:szCs w:val="20"/>
          <w:lang w:val="ru-RU"/>
        </w:rPr>
        <w:tab/>
      </w:r>
    </w:p>
    <w:p>
      <w:pPr>
        <w:pStyle w:val="Normal"/>
        <w:rPr>
          <w:rFonts w:ascii="Calibri" w:hAnsi="Calibri" w:eastAsia="Segoe UI" w:cs="Segoe UI" w:asciiTheme="minorAscii" w:hAnsiTheme="minorAscii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/>
        <w:t xml:space="preserve">– </w:t>
      </w:r>
      <w:r>
        <w:rPr/>
        <w:t>Архитектуру компьютера “Эльбрус”</w:t>
      </w:r>
      <w:r>
        <w:rPr/>
        <w:t xml:space="preserve"> </w:t>
      </w:r>
      <w:r>
        <w:rPr/>
        <w:t>начали разрабатывать в 1970-х</w:t>
      </w:r>
      <w:r>
        <w:rPr/>
        <w:t xml:space="preserve">. </w:t>
      </w:r>
      <w:r>
        <w:rPr/>
        <w:t xml:space="preserve">Разработчики должны были создать вычислительную систему с </w:t>
      </w:r>
      <w:r>
        <w:rPr>
          <w:lang w:val="ru-RU"/>
        </w:rPr>
        <w:t>производительностью</w:t>
      </w:r>
      <w:r>
        <w:rPr/>
        <w:t xml:space="preserve"> 100 млн операций в секунду.</w:t>
      </w:r>
    </w:p>
    <w:p>
      <w:pPr>
        <w:pStyle w:val="Normal"/>
        <w:ind w:firstLine="708"/>
        <w:rPr>
          <w:rFonts w:ascii="Calibri" w:hAnsi="Calibri" w:eastAsia="Segoe UI" w:cs="Segoe UI" w:asciiTheme="minorAscii" w:hAnsiTheme="minorAscii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</w:r>
    </w:p>
    <w:p>
      <w:pPr>
        <w:pStyle w:val="Normal"/>
        <w:ind w:hanging="0"/>
        <w:rPr>
          <w:rFonts w:ascii="Calibri" w:hAnsi="Calibri" w:eastAsia="Segoe UI" w:cs="Segoe UI" w:asciiTheme="minorAscii" w:hAnsiTheme="minorAscii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 xml:space="preserve">– </w:t>
      </w: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 xml:space="preserve">В 1980 г. «Эльбрус-1» успешно прошел государственные испытания. </w:t>
      </w: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Его производительность составляла 15 млн операций в секунду.</w:t>
      </w: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 xml:space="preserve"> Это была первая ЭВМ в Советском Союзе, построенная на базе Т</w:t>
      </w: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ранзисторно-транзисторных микросхем (Transistor-transistor microcircuit)</w:t>
      </w: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.</w:t>
      </w:r>
    </w:p>
    <w:p>
      <w:pPr>
        <w:pStyle w:val="Normal"/>
        <w:ind w:hanging="0"/>
        <w:rPr>
          <w:rFonts w:ascii="Calibri" w:hAnsi="Calibri" w:eastAsia="Segoe UI" w:cs="Segoe UI" w:asciiTheme="minorAscii" w:hAnsiTheme="minorAscii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/>
      </w:r>
    </w:p>
    <w:p>
      <w:pPr>
        <w:pStyle w:val="Normal"/>
        <w:ind w:hanging="0"/>
        <w:rPr>
          <w:rFonts w:ascii="Calibri" w:hAnsi="Calibri" w:eastAsia="Segoe UI" w:cs="Segoe UI" w:asciiTheme="minorAscii" w:hAnsiTheme="minorAscii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 xml:space="preserve">– </w:t>
      </w: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Масштабируемая архитектура стала особенностью этой ЭВМ. Она поддерживала одновременную работу до 10 процессов.</w:t>
      </w:r>
    </w:p>
    <w:p>
      <w:pPr>
        <w:pStyle w:val="Normal"/>
        <w:ind w:hanging="0"/>
        <w:rPr>
          <w:rFonts w:ascii="Calibri" w:hAnsi="Calibri" w:eastAsia="Segoe UI" w:cs="Segoe UI" w:asciiTheme="minorAscii" w:hAnsiTheme="minorAscii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/>
      </w:r>
    </w:p>
    <w:p>
      <w:pPr>
        <w:pStyle w:val="Normal"/>
        <w:ind w:hanging="0"/>
        <w:rPr>
          <w:rFonts w:ascii="Calibri" w:hAnsi="Calibri" w:eastAsia="Segoe UI" w:cs="Segoe UI" w:asciiTheme="minorAscii" w:hAnsiTheme="minorAscii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 xml:space="preserve">– </w:t>
      </w: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Затем был создан “Эльбрус-2”. Он был построен на базе микросхем с Эмиттерно-связанной-логикой. Этот процессор запустили серийное производство.</w:t>
      </w:r>
    </w:p>
    <w:p>
      <w:pPr>
        <w:pStyle w:val="Normal"/>
        <w:ind w:hanging="0"/>
        <w:rPr>
          <w:rFonts w:ascii="Calibri" w:hAnsi="Calibri" w:eastAsia="Segoe UI" w:cs="Segoe UI" w:asciiTheme="minorAscii" w:hAnsiTheme="minorAscii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/>
      </w:r>
    </w:p>
    <w:p>
      <w:pPr>
        <w:pStyle w:val="Normal"/>
        <w:ind w:hanging="0"/>
        <w:rPr>
          <w:rFonts w:ascii="Calibri" w:hAnsi="Calibri" w:eastAsia="Segoe UI" w:cs="Segoe UI" w:asciiTheme="minorAscii" w:hAnsiTheme="minorAscii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– “</w:t>
      </w: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Эльбрус-2” имел производительность 125 млн операций в секунду, оперативную память 144 Мб и тактовую частоту 20 Мгц.</w:t>
      </w:r>
    </w:p>
    <w:p>
      <w:pPr>
        <w:pStyle w:val="Normal"/>
        <w:ind w:firstLine="708"/>
        <w:rPr>
          <w:rFonts w:ascii="Calibri" w:hAnsi="Calibri" w:eastAsia="Segoe UI" w:cs="Segoe UI" w:asciiTheme="minorAscii" w:hAnsiTheme="minorAscii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/>
      </w:r>
    </w:p>
    <w:p>
      <w:pPr>
        <w:pStyle w:val="Normal"/>
        <w:ind w:hanging="0"/>
        <w:rPr/>
      </w:pPr>
      <w:r>
        <w:rPr/>
        <w:t xml:space="preserve">– </w:t>
      </w:r>
      <w:r>
        <w:rPr/>
        <w:t xml:space="preserve">Инженеры работали над процессором </w:t>
      </w:r>
      <w:r>
        <w:rPr/>
        <w:t>“</w:t>
      </w:r>
      <w:r>
        <w:rPr/>
        <w:t>Эльбрус-3” с 1986 по 1994 год.</w:t>
      </w:r>
    </w:p>
    <w:p>
      <w:pPr>
        <w:pStyle w:val="Normal"/>
        <w:ind w:hanging="0"/>
        <w:rPr/>
      </w:pPr>
      <w:r>
        <w:rPr/>
        <w:t>В нем о</w:t>
      </w:r>
      <w:r>
        <w:rPr/>
        <w:t xml:space="preserve">ни реализовали </w:t>
      </w:r>
      <w:r>
        <w:rPr/>
        <w:t>суперскалярный подход. В разработке участвовал советский ученый Борис Арташесович Бабаян.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–  </w:t>
      </w: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 xml:space="preserve">Эльбрус-3» не был выпущен в серийное производство. </w:t>
      </w: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Но его архитектура использовалась для создания микропроцессоров “Эльбрус-2000” и “Эльбрус-3М1”.</w:t>
      </w:r>
    </w:p>
    <w:p>
      <w:pPr>
        <w:pStyle w:val="Normal"/>
        <w:ind w:firstLine="708"/>
        <w:rPr>
          <w:rFonts w:ascii="Calibri" w:hAnsi="Calibri" w:eastAsia="Segoe UI" w:cs="Segoe UI" w:asciiTheme="minorAscii" w:hAnsiTheme="minorAscii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Технические характеристики:</w:t>
      </w:r>
    </w:p>
    <w:p>
      <w:pPr>
        <w:pStyle w:val="Normal"/>
        <w:ind w:firstLine="708"/>
        <w:rPr>
          <w:rFonts w:ascii="Calibri" w:hAnsi="Calibri" w:eastAsia="Segoe UI" w:cs="Segoe UI" w:asciiTheme="minorAscii" w:hAnsiTheme="minorAscii"/>
          <w:i w:val="false"/>
          <w:i w:val="false"/>
          <w:iCs w:val="false"/>
          <w:caps w:val="false"/>
          <w:smallCaps w:val="false"/>
          <w:color w:val="222222"/>
          <w:spacing w:val="0"/>
          <w:sz w:val="19"/>
          <w:szCs w:val="19"/>
          <w:highlight w:val="white"/>
        </w:rPr>
      </w:pPr>
      <w:r>
        <w:rPr>
          <w:rFonts w:eastAsia="Segoe UI" w:cs="Segoe UI"/>
          <w:i w:val="false"/>
          <w:iCs w:val="false"/>
          <w:caps w:val="false"/>
          <w:smallCaps w:val="false"/>
          <w:color w:val="222222"/>
          <w:spacing w:val="0"/>
          <w:sz w:val="19"/>
          <w:szCs w:val="19"/>
          <w:shd w:fill="FFFFFF" w:val="clear"/>
        </w:rPr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sz w:val="20"/>
          <w:szCs w:val="20"/>
        </w:rPr>
        <w:t>Процессор</w:t>
      </w:r>
      <w:r>
        <w:rPr>
          <w:sz w:val="20"/>
          <w:szCs w:val="20"/>
          <w:lang w:val="ru-RU"/>
        </w:rPr>
        <w:t>ы</w:t>
      </w:r>
      <w:r>
        <w:rPr>
          <w:sz w:val="20"/>
          <w:szCs w:val="20"/>
        </w:rPr>
        <w:t xml:space="preserve"> Эльбрус име</w:t>
      </w:r>
      <w:r>
        <w:rPr>
          <w:sz w:val="20"/>
          <w:szCs w:val="20"/>
          <w:lang w:val="ru-RU"/>
        </w:rPr>
        <w:t>ю</w:t>
      </w:r>
      <w:r>
        <w:rPr>
          <w:sz w:val="20"/>
          <w:szCs w:val="20"/>
        </w:rPr>
        <w:t>т VLIW (Very Long Instruction Word) архитектуру. Это означает, что компилятор lcc анализирует исходный код программы при компиляции, определяет зависимости между командами и формирует широкие командные слова</w:t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/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sz w:val="20"/>
          <w:szCs w:val="20"/>
        </w:rPr>
        <w:t>В одном слове может содержаться 23 действия. Они будут выполняться одновременно.  Если использовать SIMD (Single Instruction Multiple Data), то это число действий может увеличиться до 33 и более.</w:t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/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sz w:val="20"/>
          <w:szCs w:val="20"/>
        </w:rPr>
        <w:t>Команды исполняются параллельно и используют все 6 арифметико-логических устройства. Это возможно благодаря оптимизирующему компилятору. Работа компилятора снижает электропотребление до 45 Вт.</w:t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/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>
          <w:rFonts w:asciiTheme="minorAscii" w:hAnsiTheme="minorAscii"/>
          <w:b w:val="false"/>
          <w:bCs/>
          <w:color w:val="222222"/>
          <w:sz w:val="20"/>
          <w:szCs w:val="20"/>
          <w:highlight w:val="white"/>
        </w:rPr>
        <w:t xml:space="preserve">– </w:t>
      </w:r>
      <w:r>
        <w:rPr>
          <w:rFonts w:asciiTheme="minorAscii" w:hAnsiTheme="minorAscii"/>
          <w:b w:val="false"/>
          <w:bCs/>
          <w:color w:val="222222"/>
          <w:sz w:val="20"/>
          <w:szCs w:val="20"/>
          <w:highlight w:val="white"/>
        </w:rPr>
        <w:t>Производительность вычислительных систем возрастает благодаря одновременному выполнению нескольких команд независимо друг от друга.</w:t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/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>
          <w:rFonts w:asciiTheme="minorAscii" w:hAnsiTheme="minorAscii"/>
          <w:b w:val="false"/>
          <w:bCs/>
          <w:color w:val="222222"/>
          <w:sz w:val="20"/>
          <w:szCs w:val="20"/>
          <w:highlight w:val="white"/>
        </w:rPr>
        <w:t xml:space="preserve">– </w:t>
      </w:r>
      <w:r>
        <w:rPr>
          <w:rFonts w:asciiTheme="minorAscii" w:hAnsiTheme="minorAscii"/>
          <w:b w:val="false"/>
          <w:bCs/>
          <w:color w:val="222222"/>
          <w:sz w:val="20"/>
          <w:szCs w:val="20"/>
          <w:highlight w:val="white"/>
        </w:rPr>
        <w:t>Процессоры с такой особенностью называются ILP-процессорами. ILP - Instruction Level Parallelism.</w:t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/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>
          <w:rFonts w:asciiTheme="minorAscii" w:hAnsiTheme="minorAscii"/>
          <w:b w:val="false"/>
          <w:bCs/>
          <w:color w:val="222222"/>
          <w:sz w:val="20"/>
          <w:szCs w:val="20"/>
          <w:highlight w:val="white"/>
        </w:rPr>
        <w:t xml:space="preserve">– </w:t>
      </w:r>
      <w:r>
        <w:rPr>
          <w:rFonts w:asciiTheme="minorAscii" w:hAnsiTheme="minorAscii"/>
          <w:b w:val="false"/>
          <w:bCs/>
          <w:color w:val="222222"/>
          <w:sz w:val="20"/>
          <w:szCs w:val="20"/>
          <w:highlight w:val="white"/>
        </w:rPr>
        <w:t>Эти процессоры строятся на двух архитектурах: суперскалярной архитектуре или (Very Large Instruction Word) VLIW архитектуре</w:t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/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/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bookmarkStart w:id="0" w:name="_6jozpgynexzr"/>
      <w:bookmarkEnd w:id="0"/>
      <w:r>
        <w:rPr/>
        <w:t>Принцип работы суперскалярной архитектуры основан на динамическом планировании исполнения команд ядром процессора, что требует дополнительных вычислительных ресурсов, способных в течение наносекунд выбрать оптимальное решение по распределению команд. В VLIW-процессорах планирование исполнения команд отводиться компилятору. Такие процессоры сразу получают длинные командные слова, в которых все исполняемые инструкции заблаговременно распараллелены. При использовании VLIW-процессоров можно добиться большей производительности, поскольку при статическом анализе компилятор использует мощные  вычислительные ресурсы и не имеет существенных ограничений по времени подготовки команд.</w:t>
      </w:r>
      <w:bookmarkStart w:id="1" w:name="_z2137c50fb9c"/>
      <w:bookmarkEnd w:id="1"/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/>
        <w:t>Таким образом, VLIW-процессор может обрабатывать несколько инструкций за один такт и при меньшей тактовой частоте работать эффективнее процессоров с суперскалярной архитектурой. Например, процессоры с архитектурой Эльбрус имеют шесть каналов арифметико-логических устройств (АЛУ) работающий параллельно. Использование широкого командного слова позволяет выполнять в одном такте до 23 операций. В то же время в суперскалярном процессоре пределом является одновременное исполнение 7-8 команд. Это максимальное количество операций при динамическом планировании вычислительного процесса не приводящее к многократному усложнению микропроцессора.</w:t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/>
        <w:t>Совместимость с программным обеспечением, написанным для архитектурых86, достигается системой динамической трансляции кодов. При ее работе создается виртуальная машина, в которой работает гостевая операционная система.  Многоуровневая оптимизация позволяет достичь высокой скорости работы оттранслированного кода, что подтверждается запуском на платформе Эльбрус более 20 операционных систем, в том числе нескольких из семейства Windows.</w:t>
      </w:r>
    </w:p>
    <w:p>
      <w:pPr>
        <w:pStyle w:val="Normal"/>
        <w:rPr>
          <w:rFonts w:ascii="Calibri" w:hAnsi="Calibri" w:asciiTheme="minorAscii" w:hAnsiTheme="minorAscii"/>
          <w:b w:val="false"/>
          <w:b w:val="false"/>
          <w:bCs/>
          <w:color w:val="333333"/>
          <w:sz w:val="20"/>
          <w:szCs w:val="20"/>
        </w:rPr>
      </w:pPr>
      <w:r>
        <w:rPr/>
        <w:t>Если развитие вычислительной техники в отдаленном будущем связывают с квантовыми компьютерами, то в ближайшей перспективе рост производительности можно обеспечить за счет распараллеливания вычислений. Архитектура Эльбрус построена по этому принципу и хорошо подходит под актуальные задачи цифровой обработки голосовых и видео потоков, телекоммуникации, видеоконференций и др.</w:t>
      </w:r>
    </w:p>
    <w:p>
      <w:pPr>
        <w:pStyle w:val="Normal"/>
        <w:rPr>
          <w:rFonts w:ascii="Calibri" w:hAnsi="Calibri" w:eastAsia="SimSun" w:cs="SimSun" w:asciiTheme="minorAscii" w:hAnsiTheme="minorAscii"/>
          <w:sz w:val="20"/>
          <w:szCs w:val="20"/>
        </w:rPr>
      </w:pPr>
      <w:r>
        <w:rPr/>
        <w:t xml:space="preserve">Среди возможных применений серверов и рабочих станций, производимых на базе Эльбрус, называются: государственные учреждения и бизнес-структуры, требующие повышенных свойств информационной безопасности, высокопроизводительные вычисления, обработка сигналов, телекоммуникационные применения. За последнее время было создано несколько разновидностей ПК на базе процессоров «Эльбрус». К серийному производству был подготовлен персональный компьютер в форм-факторе моноблока (монитор и системный блок в одном корпусе) на базе микропроцессора «Эльбрус-8С». Моноблок получил название «Эльбрус 801М».  </w:t>
      </w:r>
    </w:p>
    <w:p>
      <w:pPr>
        <w:pStyle w:val="Normal"/>
        <w:rPr>
          <w:rFonts w:ascii="Calibri" w:hAnsi="Calibri" w:eastAsia="SimSun" w:cs="SimSun" w:asciiTheme="minorAscii" w:hAnsiTheme="minorAscii"/>
          <w:sz w:val="20"/>
          <w:szCs w:val="20"/>
        </w:rPr>
      </w:pPr>
      <w:r>
        <w:rPr/>
        <w:t>31 мая 2020 года компания МЦСТ опубликовала руководство по эффективному программированию на платформе «Эльбрус». Данное руководство «содержит основные материалы для обучения программированию на платформе „Эльбрус“ и применимо на любом варианте Linux-подобной операционной системы». Данное руководство предназначено для пользователей вычислительной платформы «Эльбрус», использующих или оптимизирующих свое программное обеспечение на языках C и C++. В руководстве содержится информация: ● о платформе «Эльбрус» в целом и о фирменном компиляторе LCC; ● об языке ассемблер и системе команд процессоров «Эльбрус»; ● об особенности оптимизации и технике повышения производительности программного кода на платформе «Эльбрус». Данное руководство находится в открытом доступе, его можно найти на официальном сайте МЦСТ Эльбрус.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Эльбрус – относительно </w:t>
      </w:r>
      <w:r>
        <w:rPr>
          <w:b/>
          <w:sz w:val="20"/>
          <w:szCs w:val="20"/>
        </w:rPr>
        <w:t xml:space="preserve">сырой </w:t>
      </w:r>
      <w:r>
        <w:rPr>
          <w:sz w:val="20"/>
          <w:szCs w:val="20"/>
        </w:rPr>
        <w:t>и существенно проигрывает своим конкурентам. Но с другой ст</w:t>
      </w:r>
      <w:bookmarkStart w:id="2" w:name="_GoBack"/>
      <w:bookmarkEnd w:id="2"/>
      <w:r>
        <w:rPr>
          <w:sz w:val="20"/>
          <w:szCs w:val="20"/>
        </w:rPr>
        <w:t>ороны далеко не каждая страна способна заняться разработкой собственных процессоров. Китай, например, активно разрабатывает свои процессоры Loongson. К 2020 году они обещают освоить техпроцесс 12 нанометров.</w:t>
      </w:r>
    </w:p>
    <w:p>
      <w:pPr>
        <w:pStyle w:val="Normal"/>
        <w:rPr>
          <w:rFonts w:ascii="Calibri" w:hAnsi="Calibri" w:eastAsia="SimSun" w:cs="SimSun" w:asciiTheme="minorAscii" w:hAnsiTheme="minorAscii"/>
          <w:sz w:val="20"/>
          <w:szCs w:val="20"/>
          <w:lang w:val="ru-RU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08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2">
    <w:name w:val="Heading 2"/>
    <w:basedOn w:val="Normal"/>
    <w:next w:val="Normal"/>
    <w:uiPriority w:val="0"/>
    <w:qFormat/>
    <w:pPr>
      <w:keepNext w:val="true"/>
      <w:keepLines/>
      <w:spacing w:before="360" w:after="120"/>
    </w:pPr>
    <w:rPr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3</Pages>
  <Words>746</Words>
  <Characters>5582</Characters>
  <CharactersWithSpaces>6328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2021-05-04T09:33:00Z</dcterms:created>
  <dc:creator>ILaptev</dc:creator>
  <dc:description/>
  <dc:language>ru-RU</dc:language>
  <cp:lastModifiedBy/>
  <dcterms:modified xsi:type="dcterms:W3CDTF">2021-05-05T12:01:06Z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1049-11.2.0.10093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