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00"/>
        <w:jc w:val="center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PROCESS DOCUMENTATION</w:t>
      </w:r>
    </w:p>
    <w:p>
      <w:pPr>
        <w:spacing w:before="100" w:after="100"/>
        <w:jc w:val="center"/>
      </w:pPr>
      <w:r>
        <w:rPr>
          <w:rFonts w:ascii="Arial" w:cs="Arial" w:eastAsia="Arial" w:hAnsi="Arial"/>
          <w:color w:val="2E5090"/>
          <w:sz w:val="32"/>
          <w:szCs w:val="32"/>
        </w:rPr>
        <w:t xml:space="preserve">Private Markets Fund Administration</w:t>
      </w:r>
    </w:p>
    <w:p>
      <w:pPr>
        <w:spacing w:before="100" w:after="600"/>
        <w:jc w:val="center"/>
      </w:pPr>
      <w:r>
        <w:rPr>
          <w:rFonts w:ascii="Arial" w:cs="Arial" w:eastAsia="Arial" w:hAnsi="Arial"/>
          <w:color w:val="2E5090"/>
          <w:sz w:val="32"/>
          <w:szCs w:val="32"/>
        </w:rPr>
        <w:t xml:space="preserve">Data &amp; Reporting Portfolio</w:t>
      </w:r>
    </w:p>
    <w:p>
      <w:pPr>
        <w:pBdr>
          <w:bottom w:val="single" w:color="1B2A4A" w:sz="8" w:space="4"/>
        </w:pBdr>
        <w:spacing w:before="0" w:after="400"/>
        <w:jc w:val="center"/>
      </w:pPr>
      <w:r>
        <w:t xml:space="preserve"/>
      </w:r>
    </w:p>
    <w:p>
      <w:pPr>
        <w:spacing w:before="80" w:after="80"/>
        <w:jc w:val="center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Author:  </w:t>
      </w:r>
      <w:r>
        <w:rPr>
          <w:rFonts w:ascii="Arial" w:cs="Arial" w:eastAsia="Arial" w:hAnsi="Arial"/>
          <w:sz w:val="22"/>
          <w:szCs w:val="22"/>
        </w:rPr>
        <w:t xml:space="preserve">Akhil Vohra</w:t>
      </w:r>
    </w:p>
    <w:p>
      <w:pPr>
        <w:spacing w:before="80" w:after="80"/>
        <w:jc w:val="center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Date:  </w:t>
      </w:r>
      <w:r>
        <w:rPr>
          <w:rFonts w:ascii="Arial" w:cs="Arial" w:eastAsia="Arial" w:hAnsi="Arial"/>
          <w:sz w:val="22"/>
          <w:szCs w:val="22"/>
        </w:rPr>
        <w:t xml:space="preserve">March 2026</w:t>
      </w:r>
    </w:p>
    <w:p>
      <w:pPr>
        <w:spacing w:before="80" w:after="80"/>
        <w:jc w:val="center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Target Role:  </w:t>
      </w:r>
      <w:r>
        <w:rPr>
          <w:rFonts w:ascii="Arial" w:cs="Arial" w:eastAsia="Arial" w:hAnsi="Arial"/>
          <w:sz w:val="22"/>
          <w:szCs w:val="22"/>
        </w:rPr>
        <w:t xml:space="preserve">Data &amp; Reporting Analyst — Private Markets Fund Administration</w:t>
      </w:r>
    </w:p>
    <w:p>
      <w:pPr>
        <w:spacing w:before="80" w:after="80"/>
        <w:jc w:val="center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Portfolio Repository:  </w:t>
      </w:r>
      <w:r>
        <w:rPr>
          <w:rFonts w:ascii="Arial" w:cs="Arial" w:eastAsia="Arial" w:hAnsi="Arial"/>
          <w:sz w:val="22"/>
          <w:szCs w:val="22"/>
        </w:rPr>
        <w:t xml:space="preserve">github.com/avohra223/bbh-reporting-portfolio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B2A4A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1. Overview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This document describes the end-to-end data and reporting workflow built as a private markets fund administration portfolio. The work spans three layers: structured data querying (SQL), visual analytics and governance dashboards (Power BI), and client-facing LP reporting (Excel). Together, these deliverables mirror the operational reporting environment at a fund administrator such as BBH, where data integrity, accuracy, and timely delivery are non-negotiable.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underlying dataset covers three private equity funds across six interconnected data tables: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360"/>
      </w:tblGrid>
      <w:tr>
        <w:trPr>
          <w:tblHeader/>
        </w:trPr>
        <w:tc>
          <w:tcPr>
            <w:tcW w:type="dxa" w:w="30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Fund</w:t>
            </w:r>
          </w:p>
        </w:tc>
        <w:tc>
          <w:tcPr>
            <w:tcW w:type="dxa" w:w="20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W w:type="dxa" w:w="20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Fund Size</w:t>
            </w:r>
          </w:p>
        </w:tc>
        <w:tc>
          <w:tcPr>
            <w:tcW w:type="dxa" w:w="236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 Currency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Apex Buyout Fund III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Buyout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$1.5B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Meridian Growth Capital II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Growth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$750M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Crestline Senior Credit Partners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Credit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$500M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B2A4A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2. Data Architecture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2.1 Source Data &amp; Table Relationships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raw dataset was provided as a structured Excel workbook (private_markets_raw_data.xlsx) containing six worksheets. A Python script (excel_to_sqlite.py) converted this into a relational SQLite database, enabling structured SQL querying. The data model follows a standard fund administration schema: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rPr>
          <w:tblHeader/>
        </w:trPr>
        <w:tc>
          <w:tcPr>
            <w:tcW w:type="dxa" w:w="35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Relationship</w:t>
            </w:r>
          </w:p>
        </w:tc>
        <w:tc>
          <w:tcPr>
            <w:tcW w:type="dxa" w:w="25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Join Key</w:t>
            </w:r>
          </w:p>
        </w:tc>
        <w:tc>
          <w:tcPr>
            <w:tcW w:type="dxa" w:w="336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Commitments → Funds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Fund_ID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Each LP may commit to multiple funds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Commitments → Investors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Investor_ID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Links LP profile to fund commitments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Transactions → Funds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Fund_ID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cash flows linked to fund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Transactions → Investors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Investor_ID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cash flows linked to LP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NAV_Quarterly → Funds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Fund_ID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Quarterly valuation snapshots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2.2 Known Data Issues Identified and Resolved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Issue 1 — JOIN Duplication: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When joining Investors, Commitments, and Transactions simultaneously, row multiplication occurred — each commitment row matched against every transaction for the same investor, inflating aggregated totals. This is a common data integrity risk in fund administration where an LP may have multiple commitments across multiple funds.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Resolution: All affected queries were restructured using CTEs. Each table was pre-aggregated independently before joining, eliminating duplication. This mirrors production best practice.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Issue 2 — Missing FX Rate (TXN079):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Transaction TXN079 (EUR management fee, Apex Buyout Fund III, June 2023) had a NULL FX rate, meaning no currency conversion could be applied. In production, this would block quarterly close and require escalation to the FX data provider.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Resolution: Surfaced in Power BI as an open exception with status MISSING FX, requiring manual remediation before reporting.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Issue 3 — NAV Reconciliation Breaks: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Comparison of NAV-reported called capital against the transaction ledger revealed variances across all three funds. In a production environment, these breaks require investigation and sign-off before quarter-end reporting is finalised.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rPr>
          <w:tblHeader/>
        </w:trPr>
        <w:tc>
          <w:tcPr>
            <w:tcW w:type="dxa" w:w="40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Fund</w:t>
            </w:r>
          </w:p>
        </w:tc>
        <w:tc>
          <w:tcPr>
            <w:tcW w:type="dxa" w:w="268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Called Variance</w:t>
            </w:r>
          </w:p>
        </w:tc>
        <w:tc>
          <w:tcPr>
            <w:tcW w:type="dxa" w:w="268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Distributed Variance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Apex Buyout Fund III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($198,247,325)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Crestline Senior Credit Partners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($23,940,625)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($3,042,800)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Meridian Growth Capital II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($6,640,060)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B2A4A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3. SQL Queries — Objectives and Techniques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3.1 Query Index and Business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5860"/>
      </w:tblGrid>
      <w:tr>
        <w:trPr>
          <w:tblHeader/>
        </w:trPr>
        <w:tc>
          <w:tcPr>
            <w:tcW w:type="dxa" w:w="5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Query Name</w:t>
            </w:r>
          </w:p>
        </w:tc>
        <w:tc>
          <w:tcPr>
            <w:tcW w:type="dxa" w:w="586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Question Answered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Fund Overview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What funds are we administering and what is their size?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LP Commitments Ranked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Which investors have the largest total commitments?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Commitment Utilization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What percentage of each LP's commitment has been called?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Capital Calls by Fund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How much capital has been drawn down per fund?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Distributions by Fund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How much has been returned to investors per fund?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Investor Type Breakdown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What is our LP base composition by investor type?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Net Cash Flow by Fund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What is the net cash position per fund?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Transaction Activity by Quarter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How has transaction volume trended over time?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LP Statement by Investor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What is each investor's complete financial position?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FX Exposure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Which transactions involved currency conversion and what was the FX impact?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NAV Progression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How has each fund's NAV evolved quarter by quarter?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Fund DPI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How much have investors gotten back relative to what they put in?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Investor Concentration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What percentage of total AUM does each LP represent?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Unfunded Commitments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How much capital is each LP still obligated to contribute?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Quarterly Reporting Pack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What is the complete fund health snapshot for the current quarter?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3.2 SQL Techniques Used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Basic Querying: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SELECT, WHERE, ORDER BY, GROUP BY for data extraction and filtering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SUM, COUNT, ROUND, AVG for aggregations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CASE WHEN for conditional logic — e.g. separating capital calls from distributions in the same column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COALESCE for NULL handling, particularly in funds with no distribution activity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Intermediate Techniques: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Multi-table JOIN and LEFT JOIN across 3+ tables with explicit table-prefixed column references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Date formatting using STRFTIME for SQLite-compatible quarter extraction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Percentage calculations using floating point division (* 100.0 /)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Advanced Techniques: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CTEs (Common Table Expressions): Used in Queries 09, 12, 13, 14, and 15 to pre-aggregate data before joining, eliminating duplication. CTEs make complex multi-table logic readable and auditable.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Window Functions: LAG() with PARTITION BY and ORDER BY used in Query 11 to calculate quarter-on-quarter NAV change without a self-join.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CROSS JOIN: Used in Query 13 to attach the portfolio-level grand total to every investor row for percentage calculation.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Multi-CTE Reporting Pack: Query 15 combines NAV, calls, distributions, DPI, and RVPI across four CTE blocks in a single query output.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3.3 Key Metrics Calculated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5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  <w:tc>
          <w:tcPr>
            <w:tcW w:type="dxa" w:w="336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DPI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Distributed / Total Called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Cash-on-cash return to investors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RVPI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Current Net NAV / Total Called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Unrealised value remaining in fund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Utilization %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Called / Total Committed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Deployment progress per LP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Unfunded Commitment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Committed - Total Called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Remaining callable capital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Concentration Risk %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LP Commitment / Portfolio Total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LP concentration above 20% threshold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B2A4A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4. Power BI Dashboard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dashboard connects directly to private_markets_raw_data.xlsx via Excel Workbook connector. All five table relationships were validated against the SQL data model before building visuals.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4.1 Page 1 — Fund Performance Overview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Audience: Senior management, investor relations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2360"/>
        <w:gridCol w:w="2200"/>
      </w:tblGrid>
      <w:tr>
        <w:trPr>
          <w:tblHeader/>
        </w:trPr>
        <w:tc>
          <w:tcPr>
            <w:tcW w:type="dxa" w:w="30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Visual</w:t>
            </w:r>
          </w:p>
        </w:tc>
        <w:tc>
          <w:tcPr>
            <w:tcW w:type="dxa" w:w="18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Chart Type</w:t>
            </w:r>
          </w:p>
        </w:tc>
        <w:tc>
          <w:tcPr>
            <w:tcW w:type="dxa" w:w="236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Source</w:t>
            </w:r>
          </w:p>
        </w:tc>
        <w:tc>
          <w:tcPr>
            <w:tcW w:type="dxa" w:w="22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NAV Progression (2021-2024)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Line Chart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NAV_Quarterly + Funds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NAV growth per fund over time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LP Commitments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Bar Chart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Commitments + Investors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Rank LPs by commitment size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Capital Calls vs Distributions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Clustered Column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Transactions + Funds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Deployment vs return activity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Investor Concentration by AUM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Pie Chart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Commitments + Investors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Concentration risk visualisation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4.2 Page 2 — Data Governance &amp; Exception Reporting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Audience: Operations, compliance, fund accounting teams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type="dxa" w:w="30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Visual</w:t>
            </w:r>
          </w:p>
        </w:tc>
        <w:tc>
          <w:tcPr>
            <w:tcW w:type="dxa" w:w="18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Transactions Missing FX Conversion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KPI Card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Flags count of open FX exceptions requiring 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FX Exceptions — Requires Review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Lists specific transactions with missing or invalid FX rates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Capital Commitment Compliance Check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LPs with commitment, called capital, and OK/EXCEPTION 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LP Committed vs Called Capital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Bar Chart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Dual-series view of commitment utilization per LP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4.3 Page 3 — LP Activity &amp; NAV Reconciliation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Audience: Fund accounting, reporting analysts, auditors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type="dxa" w:w="30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Visual</w:t>
            </w:r>
          </w:p>
        </w:tc>
        <w:tc>
          <w:tcPr>
            <w:tcW w:type="dxa" w:w="18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Capital Activity Reconciliation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Compares NAV-reported called/distributed vs transaction ledger, flags variances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Reconciliation Breaks by Fund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Bar Chart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Visualises absolute size of called and distributed breaks per fund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Exception Count by Control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Bar Chart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Summary of open exceptions: Reconciliation Breaks and Missing FX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4.4 DAX Measures Created</w:t>
      </w:r>
    </w:p>
    <w:p>
      <w:pPr>
        <w:shd w:fill="F2F2F2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Total Called = CALCULATE(SUM(tbl_Transactions[Amount_Fund_Base]), tbl_Transactions[Txn_Type] = "Capital Call")</w:t>
      </w:r>
    </w:p>
    <w:p>
      <w:pPr>
        <w:spacing w:before="80" w:after="80"/>
      </w:pPr>
      <w:r>
        <w:t xml:space="preserve"/>
      </w:r>
    </w:p>
    <w:p>
      <w:pPr>
        <w:shd w:fill="F2F2F2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Called_Variance = [NAV_Reported_Called] - [Called_To_Date]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Note: The Called_Variance measure calculates the difference at the fund level. The total row was intentionally hidden in the reconciliation table as variance should not be aggregated across funds — aggregating would produce a misleading grand total rather than fund-by-fund accountability.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B2A4A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5. Excel LP Quarterly Statement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LP Quarterly Statement replicates the client-facing output produced by a fund administrator and delivered to each LP at quarter-end. It is built for Stichting Pensioenfonds ABN — a Dutch pension fund reporting in EUR — as at Q2 2024.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5.1 Sheet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Sheet</w:t>
            </w:r>
          </w:p>
        </w:tc>
        <w:tc>
          <w:tcPr>
            <w:tcW w:type="dxa" w:w="686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LP Statement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Cover page — investor details, KYC status, portfolio summary across all funds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Transaction Detail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capital call, distribution and management fee with dates, FX rates, and USD equivalents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Fund Performance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DPI per fund with methodology note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NAV Attribution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Quarterly NAV movement: Opening NAV + Capital Called + Unrealised Gains/(Losses) - Fees = Closing NAV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Cash Flow Timeline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J-curve analysis — cumulative net cash flow per quarter from inception, with In J-Curve / Above Water 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Fee Summary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management fees by fund and period, annual totals, fees as % of called capital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FX Impact Summary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EUR/USD translation impact per transaction, quarterly EUR/USD rate history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5.2 Design and Modelling Principles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Formula-driven throughout — no hardcoded calculated values; all figures reference source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Cross-sheet references between Fund Performance and LP Statement ensure commitment figures stay in sync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Unrealised Gains/(Losses) is the balancing figure in the NAV Attribution sheet: Closing NAV - Opening NAV - Capital Called + Fees. This is self-checking by design.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Industry colour conventions applied: blue for hardcoded inputs, black for formulas, green for gains/distributions, red for losses/outflows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Zero formula errors confirmed via LibreOffice recalculation script across all sheets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J-Curve status logic tied directly to the sign of Cumulative Net Cash Flow — negative means In J-Curve, zero or positive means Above Water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5.3 Key Findings — Stichting Pensioenfonds ABN as at Q2 2024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536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Committed (both funds)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$550,000,000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Called to Date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$455,932,875  (82.9% utilization)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Distributed to Date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$25,000,000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DPI (Distributions to Paid-In)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0.05x — early stage, pre-distribution phase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Cumulative Net Cash Flow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($430,932,875) — investor remains in J-Curve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 FX Exceptions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(TXN079 — management fee, EUR, Jun 2023)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Cumulative FX Impact (EUR/USD)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+$26,689,773 on USD-equivalent transaction values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B2A4A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6. Governance Controls Summary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following controls were built and validated across all three layers of the portfolio: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18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476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Catches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JOIN duplication prevention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 (CTEs)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Inflated totals from multi-table joins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Missing FX rate flag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 BI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Transactions with NULL FX rates — open exceptions requiring action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NAV reconciliation break detection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 BI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Mismatch between NAV-reported and ledger-calculated called/distributed capital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Called &gt; Committed validation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Excel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LP over-commitment data errors surfaced in Fund Performance sheet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J-Curve status tracking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Excel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Investor cumulative cash flow position monitored quarter by quarter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Fee burden monitoring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Excel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Management fees as % of called capital — tracked annually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B2A4A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7. Tools and Technologies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636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 (pandas, openpyxl)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Excel-to-SQLite conversion; automated LP statement generation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SQLite / DB Browser for SQLite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Relational database engine; SQL query development and testing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 BI Desktop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 development, DAX measure creation, governance visualisation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Microsoft Excel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Client-facing LP quarterly statement; formula-driven financial reporting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Version control and portfolio presentation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B2A4A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8. Repository Structure</w:t>
      </w:r>
    </w:p>
    <w:p>
      <w:pPr>
        <w:shd w:fill="F2F2F2" w:val="clear"/>
        <w:spacing w:before="80" w:after="8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bbh-reporting-portfolio/</w:t>
      </w:r>
    </w:p>
    <w:p>
      <w:pPr>
        <w:shd w:fill="F2F2F2" w:val="clear"/>
        <w:spacing w:before="20"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├── sql/                    15 SQL queries (01–15)</w:t>
      </w:r>
    </w:p>
    <w:p>
      <w:pPr>
        <w:shd w:fill="F2F2F2" w:val="clear"/>
        <w:spacing w:before="20"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├── powerbi/</w:t>
      </w:r>
    </w:p>
    <w:p>
      <w:pPr>
        <w:shd w:fill="F2F2F2" w:val="clear"/>
        <w:spacing w:before="20"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private_markets_dashboard.pbix</w:t>
      </w:r>
    </w:p>
    <w:p>
      <w:pPr>
        <w:shd w:fill="F2F2F2" w:val="clear"/>
        <w:spacing w:before="20"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private_markets_dashboard.pdf</w:t>
      </w:r>
    </w:p>
    <w:p>
      <w:pPr>
        <w:shd w:fill="F2F2F2" w:val="clear"/>
        <w:spacing w:before="20"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├── excel/</w:t>
      </w:r>
    </w:p>
    <w:p>
      <w:pPr>
        <w:shd w:fill="F2F2F2" w:val="clear"/>
        <w:spacing w:before="20"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LP_Quarterly_Statement_Stichting_Pensioenfonds_ABN_Q2_2024.xlsx</w:t>
      </w:r>
    </w:p>
    <w:p>
      <w:pPr>
        <w:shd w:fill="F2F2F2" w:val="clear"/>
        <w:spacing w:before="20"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├── private_markets_raw_data.xlsx</w:t>
      </w:r>
    </w:p>
    <w:p>
      <w:pPr>
        <w:shd w:fill="F2F2F2" w:val="clear"/>
        <w:spacing w:before="20"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├── README.md</w:t>
      </w:r>
    </w:p>
    <w:p>
      <w:pPr>
        <w:shd w:fill="F2F2F2" w:val="clear"/>
        <w:spacing w:before="20"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└── PROCESS_DOCUMENTATION.docx</w:t>
      </w:r>
    </w:p>
    <w:p>
      <w:pPr>
        <w:spacing w:before="80" w:after="80"/>
      </w:pPr>
      <w:r>
        <w:t xml:space="preserve"/>
      </w:r>
    </w:p>
    <w:p>
      <w:pPr>
        <w:pBdr>
          <w:top w:val="single" w:color="1B2A4A" w:sz="4" w:space="4"/>
        </w:pBdr>
        <w:spacing w:before="400" w:after="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All data used in this portfolio is synthetic and created solely for demonstration purposes.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2A4A" w:sz="4" w:space="4"/>
      </w:pBdr>
    </w:pPr>
    <w:r>
      <w:rPr>
        <w:rFonts w:ascii="Arial" w:cs="Arial" w:eastAsia="Arial" w:hAnsi="Arial"/>
        <w:color w:val="666666"/>
        <w:sz w:val="16"/>
        <w:szCs w:val="16"/>
      </w:rPr>
      <w:t xml:space="preserve">Akhil Vohra  |  March 2026  |  Confidential — Portfolio Work Sample</w:t>
    </w:r>
    <w:r>
      <w:rPr>
        <w:rFonts w:ascii="Arial" w:cs="Arial" w:eastAsia="Arial" w:hAnsi="Arial"/>
        <w:color w:val="666666"/>
        <w:sz w:val="16"/>
        <w:szCs w:val="16"/>
      </w:rPr>
      <w:t xml:space="preserve">  |  Page </w:t>
    </w:r>
    <w:r>
      <w:rPr>
        <w:rFonts w:ascii="Arial" w:cs="Arial" w:eastAsia="Arial" w:hAnsi="Arial"/>
        <w:color w:val="666666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2A4A" w:sz="4" w:space="4"/>
      </w:pBdr>
    </w:pPr>
    <w:r>
      <w:rPr>
        <w:rFonts w:ascii="Arial" w:cs="Arial" w:eastAsia="Arial" w:hAnsi="Arial"/>
        <w:color w:val="666666"/>
        <w:sz w:val="16"/>
        <w:szCs w:val="16"/>
      </w:rPr>
      <w:t xml:space="preserve">PROCESS DOCUMENTATION  |  Private Markets Fund Administration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509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2026-03-03T13:40:07.666Z</dcterms:created>
  <dcterms:modified xsi:type="dcterms:W3CDTF">2026-03-03T13:40:07.667Z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