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8"/>
          <w:szCs w:val="38"/>
        </w:rPr>
        <w:t xml:space="preserve">Technical Plan &amp; Build Brief — Literature Review Agent</w:t>
      </w:r>
    </w:p>
    <w:p>
      <w:pPr>
        <w:spacing w:after="40"/>
      </w:pPr>
      <w:r>
        <w:rPr>
          <w:color w:val="1F3864"/>
          <w:sz w:val="22"/>
          <w:szCs w:val="22"/>
        </w:rPr>
        <w:t xml:space="preserve">PDAC Research Agent System · Standalone-first · Design rationale + Claude Code instructions</w:t>
      </w:r>
    </w:p>
    <w:p>
      <w:pPr>
        <w:pBdr>
          <w:bottom w:val="single" w:color="2E75B6" w:sz="6" w:space="1"/>
        </w:pBdr>
        <w:spacing w:after="200"/>
      </w:pPr>
      <w:r>
        <w:rPr>
          <w:i/>
          <w:iCs/>
          <w:color w:val="595959"/>
          <w:sz w:val="20"/>
          <w:szCs w:val="20"/>
        </w:rPr>
        <w:t xml:space="preserve">Author: Annie Voigt · June 15, 2026 · Internal design doc</w:t>
      </w:r>
    </w:p>
    <w:p>
      <w:pPr>
        <w:pBdr>
          <w:left w:val="single" w:color="2E75B6" w:sz="18" w:space="8"/>
        </w:pBdr>
        <w:shd w:fill="EAF1F8" w:val="clear"/>
        <w:spacing w:after="160" w:before="80" w:line="276"/>
        <w:ind w:left="120"/>
      </w:pPr>
      <w:r>
        <w:rPr>
          <w:b/>
          <w:bCs/>
          <w:sz w:val="21"/>
          <w:szCs w:val="21"/>
        </w:rPr>
        <w:t xml:space="preserve">Purpose of this document. </w:t>
      </w:r>
      <w:r>
        <w:rPr>
          <w:sz w:val="21"/>
          <w:szCs w:val="21"/>
        </w:rPr>
        <w:t xml:space="preserve">This is a working design doc, not a customer deliverable. It records the design decisions behind the Literature Review Agent and translates them into a concrete, phase-by-phase brief that can be handed to Claude Code to build. Sections 3 and 10–11 are the operative parts: the decision log, the component specifications, and the per-phase instructions (the “tell Claude Code” blocks) with acceptance criteria.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t xml:space="preserve">A </w:t>
      </w:r>
      <w:r>
        <w:rPr>
          <w:b/>
          <w:bCs/>
        </w:rPr>
        <w:t xml:space="preserve">Literature Review Agent</w:t>
      </w:r>
      <w:r>
        <w:t xml:space="preserve"> for the BCC that (1) emails a curated weekly digest of newly published open-access PDAC literature to a 5–20-person list, (2) produces “what was most covered” analytics over week / month / year windows, and (3) runs on Hugging Face Spaces as an expert chat for grounded follow-up questions about the papers it surfaced.</w:t>
      </w:r>
    </w:p>
    <w:p>
      <w:pPr>
        <w:spacing w:after="140" w:line="276"/>
      </w:pPr>
      <w:r>
        <w:t xml:space="preserve">It is designed </w:t>
      </w:r>
      <w:r>
        <w:rPr>
          <w:b/>
          <w:bCs/>
        </w:rPr>
        <w:t xml:space="preserve">standalone-first</w:t>
      </w:r>
      <w:r>
        <w:t xml:space="preserve"> — its own HF Space plus a scheduled ingestion/email job. It is a </w:t>
      </w:r>
      <w:r>
        <w:rPr>
          <w:b/>
          <w:bCs/>
        </w:rPr>
        <w:t xml:space="preserve">separate system</w:t>
      </w:r>
      <w:r>
        <w:t xml:space="preserve"> from DecoupleRpy / biodata-registry / the Research Coordinator: those operate on transcriptomic data; this operates on published papers. There is no runtime dependency between them. What carries over is </w:t>
      </w:r>
      <w:r>
        <w:rPr>
          <w:b/>
          <w:bCs/>
        </w:rPr>
        <w:t xml:space="preserve">engineering experience and reusable scaffolding</w:t>
      </w:r>
      <w:r>
        <w:t xml:space="preserve"> (the Gradio chat shell, the deploy/sync setup, the eval-harness design, and the “answer only from real sources” discipline), which is why the build is cheaper than from-scratch — not because the systems integrate. The hardest part is the </w:t>
      </w:r>
      <w:r>
        <w:rPr>
          <w:b/>
          <w:bCs/>
        </w:rPr>
        <w:t xml:space="preserve">trust layer</w:t>
      </w:r>
      <w:r>
        <w:t xml:space="preserve">: dedup/recency, BCC-relevance precision, and grounding Q&amp;A in real full text. If the OHSU library can grant text-and-data-mining (TDM) access, that trust layer gets dramatically easier (§9.1).</w:t>
      </w:r>
    </w:p>
    <w:p>
      <w:pPr>
        <w:pStyle w:val="Heading1"/>
      </w:pPr>
      <w:r>
        <w:t xml:space="preserve">2. Scope &amp; Functional Requirements</w:t>
      </w:r>
    </w:p>
    <w:p>
      <w:pPr>
        <w:pStyle w:val="Heading2"/>
      </w:pPr>
      <w:r>
        <w:t xml:space="preserve">2.1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Weekly digest email</w:t>
      </w:r>
      <w:r>
        <w:t xml:space="preserve"> — newest OA PDAC literature, grouped by topic, to 5–20 addresses, each item tagged with the BCC focus area(s) it serves and a one-line relevance note inferred from the BCC interest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Coverage analytics</w:t>
      </w:r>
      <w:r>
        <w:t xml:space="preserve"> — most-covered PDAC topics over week / month / year: counts, deltas vs prior period, movers.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Expert Q&amp;A on HF</w:t>
      </w:r>
      <w:r>
        <w:t xml:space="preserve"> — chat answering follow-ups grounded in the ingested corpus (methods, comparisons, “apply to our data” reasoning).</w:t>
      </w:r>
    </w:p>
    <w:p>
      <w:pPr>
        <w:pStyle w:val="Heading2"/>
      </w:pPr>
      <w:r>
        <w:t xml:space="preserve">2.2 Out of scope (v1)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Closed-access full text (metadata + abstracts always; full text only for OA, unless OHSU TDM is enabled).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Wet-lab / protocol design (same boundary the Coordinator enforces).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Running analyses on BCC datasets (that stays with DecoupleRpy; the Lit Agent may suggest a handoff but does not execute).</w:t>
      </w:r>
    </w:p>
    <w:p>
      <w:pPr>
        <w:pStyle w:val="Heading1"/>
      </w:pPr>
      <w:r>
        <w:t xml:space="preserve">3. Design Decisions &amp; Rationale</w:t>
      </w:r>
    </w:p>
    <w:p>
      <w:pPr>
        <w:spacing w:after="140" w:line="276"/>
      </w:pPr>
      <w:r>
        <w:t xml:space="preserve">The decisions below are the spine of the design. Each is a deliberate choice with a rationale and, where relevant, the alternative that was rejected — these are what Claude Code should treat as fixed constraints unless explicitly revisited.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/ rejected alternative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boundary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Standalone HF Space + scheduled job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Q&amp;A needs the agent to hold corpus state; the Coordinator is thin/stateless. Rejected: building it inside the Coordinator (couples a slow pipeline to interactive chat).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Relationship to existing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Independent; optional future seam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Different data domain (papers vs transcriptomics). Coordinator integration is later and cheap (one agents.yaml entry), but NOT built in v1.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Ingestion timing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scheduled pipeline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Decouples slow, rate-limited, failure-prone API work from the live chat. Rejected: ingest-on-demand in the Space (latency + reliability).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Europe PMC REST (primary) + bioRxiv/medRxiv + PubMed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Europe PMC ingests all PubMed and adds OA full text + text-mined annotations. Preprints needed for “newest.” PubMed adds MeSH.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Full-text policy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OA-only v1; pursue OHSU TDM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Honest and safe. TDM via library-provisioned tokens is the sanctioned automation path; raw proxy scraping is prohibited (§9.1).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Corpus persistence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Durable store (SQLite + vector index, hosted as an HF Dataset or external DB)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HF Space storage is ephemeral on restart. The corpus is the system’s memory and must survive restarts.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Interest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Versioned YAML profile, not hardcoded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BCC priorities drift; edit config without redeploying. Mirrors the Coordinator keeping scope in prompts/registry.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Biomedical-grade (e.g. Voyage) over commodity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accuracy + paper-length context window improve retrieval; modest cost at this volume. Commodity (OpenAI) is the cheaper fallback.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Transactional provider (Resend/Postmark/SES)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Solves SPF/DKIM, bounces, deliverability. Rejected: raw SMTP.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cron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Reuses the surface already used to sync to HF; team knows it.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surface first, dry-run email, then promote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Mirrors how the Coordinator/DecoupleRpy were hardened before prod.</w:t>
            </w:r>
          </w:p>
        </w:tc>
      </w:tr>
    </w:tbl>
    <w:p>
      <w:pPr>
        <w:pStyle w:val="Heading1"/>
      </w:pPr>
      <w:r>
        <w:t xml:space="preserve">4. Architecture Overview</w:t>
      </w:r>
    </w:p>
    <w:p>
      <w:pPr>
        <w:spacing w:after="140" w:line="276"/>
      </w:pPr>
      <w:r>
        <w:t xml:space="preserve">Two runtime surfaces share one persistent corpus: an </w:t>
      </w:r>
      <w:r>
        <w:rPr>
          <w:b/>
          <w:bCs/>
        </w:rPr>
        <w:t xml:space="preserve">offline pipeline</w:t>
      </w:r>
      <w:r>
        <w:t xml:space="preserve"> (scheduled: ingest → dedup → score → persist → email → analytics) and an </w:t>
      </w:r>
      <w:r>
        <w:rPr>
          <w:b/>
          <w:bCs/>
        </w:rPr>
        <w:t xml:space="preserve">online Space</w:t>
      </w:r>
      <w:r>
        <w:t xml:space="preserve"> (Gradio chat for grounded Q&amp;A + cached analytics).</w:t>
      </w:r>
    </w:p>
    <w:p>
      <w:pPr>
        <w:pStyle w:val="Heading3"/>
      </w:pPr>
      <w:r>
        <w:t xml:space="preserve">4.1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· Harvest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 job queries Europe PMC / PubMed / bioRxiv / medRxiv for the trailing window using the saved PDAC query; pulls metadata + abstracts (+ OA full text where available).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· Normalize &amp; dedup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Records → common schema; cross-source duplicates collapsed (DOI norm + fuzzy title + preprint→published linkage).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· Classify &amp;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paper embedded; assigned BCC focus area(s) + relevance score via embeddings + an LLM confirm against the interest profile.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· Persist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records + embeddings + scores written to the corpus store.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· Digest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composes the weekly email from top-ranked new items, grouped by topic, with per-item relevance notes; rendered to HTML; sent.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· 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 counts/trends recomputed and cached for the Space.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· Q&amp;A (online)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Space answers via retrieval over the corpus — abstracts always, full text for OA — grounded with citations.</w:t>
            </w:r>
          </w:p>
        </w:tc>
      </w:tr>
    </w:tbl>
    <w:p>
      <w:pPr>
        <w:pStyle w:val="Heading1"/>
      </w:pPr>
      <w:r>
        <w:t xml:space="preserve">5. Literature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gives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Europe PMC REST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33M+ records incl. all PubMed; OA full-text search; Annotations API (genes, diseases, chemicals)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PubMed E-utilities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Authoritative index (esearch/efetch); MeSH terms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Secondary / MeSH tagging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bioRxiv + medRxiv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Preprints by date range as 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for recency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Limits to design around: </w:t>
      </w:r>
      <w:r>
        <w:t xml:space="preserve">PubMed E-utilities = 3 req/s (10 with a free API key). bioRxiv/medRxiv </w:t>
      </w:r>
      <w:r>
        <w:rPr>
          <w:rFonts w:ascii="Consolas" w:cs="Consolas" w:eastAsia="Consolas" w:hAnsi="Consolas"/>
          <w:sz w:val="20"/>
          <w:szCs w:val="20"/>
        </w:rPr>
        <w:t xml:space="preserve">details</w:t>
      </w:r>
      <w:r>
        <w:t xml:space="preserve"> endpoint paginates by cursor. Europe PMC paginates via </w:t>
      </w:r>
      <w:r>
        <w:rPr>
          <w:rFonts w:ascii="Consolas" w:cs="Consolas" w:eastAsia="Consolas" w:hAnsi="Consolas"/>
          <w:sz w:val="20"/>
          <w:szCs w:val="20"/>
        </w:rPr>
        <w:t xml:space="preserve">cursorMark</w:t>
      </w:r>
      <w:r>
        <w:t xml:space="preserve">. Use a single saved, version-controlled PDAC query so coverage is reproducible.</w:t>
      </w:r>
    </w:p>
    <w:p>
      <w:pPr>
        <w:pStyle w:val="Heading1"/>
      </w:pPr>
      <w:r>
        <w:t xml:space="preserve">6. The BCC Interest Model</w:t>
      </w:r>
    </w:p>
    <w:p>
      <w:pPr>
        <w:spacing w:after="140" w:line="276"/>
      </w:pPr>
      <w:r>
        <w:t xml:space="preserve">A versioned YAML profile (schema in §10.4) describes each BCC focus area with keywords, exemplar papers, and an audience note. Two consumers: </w:t>
      </w:r>
      <w:r>
        <w:rPr>
          <w:b/>
          <w:bCs/>
        </w:rPr>
        <w:t xml:space="preserve">classification</w:t>
      </w:r>
      <w:r>
        <w:t xml:space="preserve"> (multi-label assignment via embedding similarity + a cheap LLM confirm) and </w:t>
      </w:r>
      <w:r>
        <w:rPr>
          <w:b/>
          <w:bCs/>
        </w:rPr>
        <w:t xml:space="preserve">relevance inference</w:t>
      </w:r>
      <w:r>
        <w:t xml:space="preserve"> (the per-item “why this matters to &lt;area&gt;” line, grounded in the abstract). Config, not code, so priorities can change without a redeploy.</w:t>
      </w:r>
    </w:p>
    <w:p>
      <w:pPr>
        <w:pStyle w:val="Heading1"/>
      </w:pPr>
      <w:r>
        <w:t xml:space="preserve">7. Weekly Digest &amp; Analytics</w:t>
      </w:r>
    </w:p>
    <w:p>
      <w:pPr>
        <w:spacing w:after="140" w:line="276"/>
      </w:pPr>
      <w:r>
        <w:t xml:space="preserve">Triggered by a GitHub Actions cron. The composer selects top-ranked new items per area, has the LLM write the topic intros + relevance lines, renders templated HTML, and sends via the transactional provider. A </w:t>
      </w:r>
      <w:r>
        <w:rPr>
          <w:b/>
          <w:bCs/>
        </w:rPr>
        <w:t xml:space="preserve">dry-run mode</w:t>
      </w:r>
      <w:r>
        <w:t xml:space="preserve"> writes the email to a file for review before any live send. Analytics are simple aggregations over the timestamped, topic-tagged corpus, precomputed and cached so the Space renders them instantly.</w:t>
      </w:r>
    </w:p>
    <w:p>
      <w:pPr>
        <w:pStyle w:val="Heading1"/>
      </w:pPr>
      <w:r>
        <w:t xml:space="preserve">8. Expert Q&amp;A on Hugging Face</w:t>
      </w:r>
    </w:p>
    <w:p>
      <w:pPr>
        <w:spacing w:after="140" w:line="276"/>
      </w:pPr>
      <w:r>
        <w:t xml:space="preserve">Reuses the Coordinator’s Gradio chat shell. The difference is </w:t>
      </w:r>
      <w:r>
        <w:rPr>
          <w:b/>
          <w:bCs/>
        </w:rPr>
        <w:t xml:space="preserve">retrieval-augmented generation</w:t>
      </w:r>
      <w:r>
        <w:t xml:space="preserve">: retrieve relevant passages from the corpus, answer strictly from them with DOI citations, and </w:t>
      </w:r>
      <w:r>
        <w:rPr>
          <w:b/>
          <w:bCs/>
        </w:rPr>
        <w:t xml:space="preserve">guard</w:t>
      </w:r>
      <w:r>
        <w:t xml:space="preserve"> — if a methods question targets a paper with no OA full text, say so plainly rather than inventing methods (the Q&amp;A analogue of the DecoupleRpy anti-fabrication discipline).</w:t>
      </w:r>
    </w:p>
    <w:p>
      <w:pPr>
        <w:pStyle w:val="Heading1"/>
      </w:pPr>
      <w:r>
        <w:t xml:space="preserve">9. The Hardest Part</w:t>
      </w:r>
    </w:p>
    <w:p>
      <w:pPr>
        <w:spacing w:after="140" w:line="276"/>
      </w:pPr>
      <w:r>
        <w:rPr>
          <w:b/>
          <w:bCs/>
        </w:rPr>
        <w:t xml:space="preserve">The trust layer, not the plumbing. </w:t>
      </w:r>
      <w:r>
        <w:t xml:space="preserve">APIs, a chat, a cron, and an email send are routine. Risk concentrates where a wrong answer is worse than none:</w:t>
      </w:r>
    </w:p>
    <w:p>
      <w:pPr>
        <w:pStyle w:val="Heading3"/>
      </w:pPr>
      <w:r>
        <w:t xml:space="preserve">9.1 Full-text access is the binding constraint on Q&amp;A</w:t>
      </w:r>
    </w:p>
    <w:p>
      <w:pPr>
        <w:spacing w:after="140" w:line="276"/>
      </w:pPr>
      <w:r>
        <w:t xml:space="preserve">Methods questions need full text, but many new PDAC papers are paywalled. The agent always has the </w:t>
      </w:r>
      <w:r>
        <w:rPr>
          <w:b/>
          <w:bCs/>
        </w:rPr>
        <w:t xml:space="preserve">abstract</w:t>
      </w:r>
      <w:r>
        <w:t xml:space="preserve">; full text only for OA. The failure mode is confidently describing a method it never read. Mitigation is architectural: retrieve-then-answer, hard-refuse method detail not in retrieved text, label “abstract-only.”</w:t>
      </w:r>
    </w:p>
    <w:p>
      <w:pPr>
        <w:spacing w:after="140" w:line="276"/>
      </w:pPr>
      <w:r>
        <w:rPr>
          <w:b/>
          <w:bCs/>
        </w:rPr>
        <w:t xml:space="preserve">OHSU access is the single biggest lever. </w:t>
      </w:r>
      <w:r>
        <w:t xml:space="preserve">If OHSU library subscriptions include TDM entitlements, the OA-only limit largely dissolves. Nuances: (1) you </w:t>
      </w:r>
      <w:r>
        <w:rPr>
          <w:b/>
          <w:bCs/>
        </w:rPr>
        <w:t xml:space="preserve">cannot</w:t>
      </w:r>
      <w:r>
        <w:t xml:space="preserve"> crawl the library proxy (EZproxy/OpenAthens/Shibboleth) — licenses forbid it and it risks blocking OHSU’s whole IP range; the sanctioned path is publisher </w:t>
      </w:r>
      <w:r>
        <w:rPr>
          <w:b/>
          <w:bCs/>
        </w:rPr>
        <w:t xml:space="preserve">TDM/API programs</w:t>
      </w:r>
      <w:r>
        <w:t xml:space="preserve"> with a token the library provisions once. (2) </w:t>
      </w:r>
      <w:r>
        <w:rPr>
          <w:b/>
          <w:bCs/>
        </w:rPr>
        <w:t xml:space="preserve">Access ≠ redistribution</w:t>
      </w:r>
      <w:r>
        <w:t xml:space="preserve"> — read full text to ground answers, but don’t embed licensed full text in emails; link out, quote short fair-use snippets.</w:t>
      </w:r>
    </w:p>
    <w:p>
      <w:pPr>
        <w:pBdr>
          <w:left w:val="single" w:color="E0A93B" w:sz="18" w:space="8"/>
        </w:pBdr>
        <w:shd w:fill="FFF6E5" w:val="clear"/>
        <w:spacing w:after="160" w:before="80" w:line="276"/>
        <w:ind w:left="120"/>
      </w:pPr>
      <w:r>
        <w:rPr>
          <w:b/>
          <w:bCs/>
          <w:sz w:val="21"/>
          <w:szCs w:val="21"/>
        </w:rPr>
        <w:t xml:space="preserve">Aside — the one email to send the OHSU library: </w:t>
      </w:r>
      <w:r>
        <w:rPr>
          <w:i/>
          <w:iCs/>
          <w:sz w:val="21"/>
          <w:szCs w:val="21"/>
        </w:rPr>
        <w:t xml:space="preserve">“Do our institutional subscriptions include text-and-data-mining (TDM) or API access to publisher full text, and if so how do we obtain the API tokens? Do we authenticate via OpenAthens or Shibboleth?” </w:t>
      </w:r>
      <w:r>
        <w:rPr>
          <w:sz w:val="21"/>
          <w:szCs w:val="21"/>
        </w:rPr>
        <w:t xml:space="preserve">The answer decides whether Q&amp;A is OA-only or near-comprehensive — resolve before Phase 1.</w:t>
      </w:r>
    </w:p>
    <w:p>
      <w:pPr>
        <w:pStyle w:val="Heading3"/>
      </w:pPr>
      <w:r>
        <w:t xml:space="preserve">9.2 Dedup &amp; “what’s genuinely new”</w:t>
      </w:r>
    </w:p>
    <w:p>
      <w:pPr>
        <w:spacing w:after="140" w:line="276"/>
      </w:pPr>
      <w:r>
        <w:t xml:space="preserve">The same paper appears as bioRxiv → medRxiv → PubMed → Europe PMC with drifting titles. Without DOI normalization, fuzzy title matching, and preprint→published linkage, the digest double-counts and analytics inflate. “New” must be defined explicitly (first-seen vs published vs indexed date) and applied consistently.</w:t>
      </w:r>
    </w:p>
    <w:p>
      <w:pPr>
        <w:pStyle w:val="Heading3"/>
      </w:pPr>
      <w:r>
        <w:t xml:space="preserve">9.3 Relevance precision</w:t>
      </w:r>
    </w:p>
    <w:p>
      <w:pPr>
        <w:spacing w:after="140" w:line="276"/>
      </w:pPr>
      <w:r>
        <w:t xml:space="preserve">“Of interest to the BCC” is a precision problem — a noisy email gets ignored within weeks. The interest model must be tuned against real feedback, and the eval must grade digest relevance, not just Q&amp;A correctness. This is harder to evaluate than routing correctness because relevance is subjective and needs human labels.</w:t>
      </w:r>
    </w:p>
    <w:p>
      <w:pPr>
        <w:pStyle w:val="Heading1"/>
      </w:pPr>
      <w:r>
        <w:t xml:space="preserve">10. Component Specifications for Claude Code</w:t>
      </w:r>
    </w:p>
    <w:p>
      <w:pPr>
        <w:spacing w:after="140" w:line="276"/>
      </w:pPr>
      <w:r>
        <w:t xml:space="preserve">Concrete contracts so Claude Code builds to spec rather than improvising. Treat these as the source of truth for structure, schemas, and interfaces.</w:t>
      </w:r>
    </w:p>
    <w:p>
      <w:pPr>
        <w:pStyle w:val="Heading3"/>
      </w:pPr>
      <w:r>
        <w:t xml:space="preserve">10.1 Project structure</w:t>
      </w:r>
    </w:p>
    <w:p>
      <w:pPr>
        <w:shd w:fill="F3F4F6" w:val="clear"/>
        <w:spacing w:after="0" w:before="8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lit-agent/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app.py                  # Gradio entrypoint (HF Space)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ui.py                   # chat UI (reuse research-coordinator/gradio_ui.py patterns)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config/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interest_profile.yaml # BCC focus areas (see 10.4)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sources.yaml          # PDAC query string + per-source params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recipients.yaml       # digest distribution list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pipeline/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harvest.py            # per-source API clients + windowed pull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normalize.py          # schema mapping + dedup/linkage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score.py              # embed + classify + relevance score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digest.py             # compose + render HTML + send (dry-run flag)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analytics.py          # window aggregations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run_weekly.py         # orchestrates harvest-&gt;...-&gt;digest-&gt;analytics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store/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db.py                 # SQLite schema + read/write (see 10.3)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vectors.py            # embedding index read/write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qa/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retrieve.py           # top-k retrieval over corpus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answer.py             # grounded answer + guards (see 10.5)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eval/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questions.json        # Q&amp;A bank   relevance_set.json # digest labels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run_eval.py           # reuse research-coordinator/eval design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.github/workflows/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weekly.yml            # cron trigger for run_weekly.py</w:t>
      </w:r>
    </w:p>
    <w:p>
      <w:pPr>
        <w:shd w:fill="F3F4F6" w:val="clear"/>
        <w:spacing w:after="16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requirements.txt  README.md  DEPLOYMENT.md</w:t>
      </w:r>
    </w:p>
    <w:p>
      <w:pPr>
        <w:pStyle w:val="Heading3"/>
      </w:pPr>
      <w:r>
        <w:t xml:space="preserve">10.2 Normalized paper record</w:t>
      </w:r>
    </w:p>
    <w:p>
      <w:pPr>
        <w:spacing w:after="140" w:line="276"/>
      </w:pPr>
      <w:r>
        <w:t xml:space="preserve">Every source maps into this shape before storage:</w:t>
      </w:r>
    </w:p>
    <w:p>
      <w:pPr>
        <w:shd w:fill="F3F4F6" w:val="clear"/>
        <w:spacing w:after="0" w:before="8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"doi": "10.x/...",            // normalized, lowercase; primary key when present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"ids": {"pmid": "...", "pmcid": "...", "preprint_doi": "..."},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"title": "...", "abstract": "...",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"authors": ["..."], "journal_or_server": "...",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"published_date": "YYYY-MM-DD", "first_seen_date": "YYYY-MM-DD",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"is_oa": true, "oa_fulltext_url": "..." | null,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"source": "europepmc|pubmed|biorxiv|medrxiv",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"is_preprint": false, "linked_published_doi": "..." | null,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"mesh": ["..."], "annotations": {"genes": [], "diseases": []},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"focus_areas": ["..."], "relevance_score": 0.0,   // filled by score.py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"embedding_id": "..."</w:t>
      </w:r>
    </w:p>
    <w:p>
      <w:pPr>
        <w:shd w:fill="F3F4F6" w:val="clear"/>
        <w:spacing w:after="16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10.3 Corpus store (SQLite + vector index)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papers</w:t>
      </w:r>
      <w:r>
        <w:t xml:space="preserve"> — one row per deduped record (fields above); PK = DOI, fallback synthetic 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topic_tags</w:t>
      </w:r>
      <w:r>
        <w:t xml:space="preserve"> — (paper_id, focus_area, score); supports multi-label + analytics.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runs</w:t>
      </w:r>
      <w:r>
        <w:t xml:space="preserve"> — (run_date, window, n_harvested, n_new, n_emailed) for audit + analytics deltas.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vectors</w:t>
      </w:r>
      <w:r>
        <w:t xml:space="preserve"> — embedding per paper (abstract; + chunked OA full text where available) in the vector index.</w:t>
      </w:r>
    </w:p>
    <w:p>
      <w:pPr>
        <w:spacing w:after="140" w:line="276"/>
      </w:pPr>
      <w:r>
        <w:rPr>
          <w:b/>
          <w:bCs/>
        </w:rPr>
        <w:t xml:space="preserve">Persistence: </w:t>
      </w:r>
      <w:r>
        <w:t xml:space="preserve">commit the SQLite file + index to a durable store (HF Dataset repo or external DB) at the end of each run; the Space loads it read-only at startup.</w:t>
      </w:r>
    </w:p>
    <w:p>
      <w:pPr>
        <w:pStyle w:val="Heading3"/>
      </w:pPr>
      <w:r>
        <w:t xml:space="preserve">10.4 Interest profile YAML</w:t>
      </w:r>
    </w:p>
    <w:p>
      <w:pPr>
        <w:shd w:fill="F3F4F6" w:val="clear"/>
        <w:spacing w:after="0" w:before="8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focus_areas: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 id: kras_targeting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name: KRAS-directed therapy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keywords: [KRAS, G12C, G12D, pan-RAS, SHP2]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exemplar_dois: [10.x/..., 10.x/...]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audience_note: &gt;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The BCC's translational group works on KRAS-mutant PDAC;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surface mechanism, resistance, and combination-therapy results.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 id: tumor_microenvironment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name: Tumor microenvironment &amp; immunology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keywords: [stroma, CAF, immune evasion, T cell]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exemplar_dois: [...]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audience_note: &gt;</w:t>
      </w:r>
    </w:p>
    <w:p>
      <w:pPr>
        <w:shd w:fill="F3F4F6" w:val="clear"/>
        <w:spacing w:after="16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...</w:t>
      </w:r>
    </w:p>
    <w:p>
      <w:pPr>
        <w:spacing w:after="140" w:line="276"/>
      </w:pPr>
      <w:r>
        <w:rPr>
          <w:b/>
          <w:bCs/>
        </w:rPr>
        <w:t xml:space="preserve">Needed from the BCC to seed this: </w:t>
      </w:r>
      <w:r>
        <w:t xml:space="preserve">the actual focus areas and a few exemplar DOIs per area. Quality of the whole digest tracks the quality of this file.</w:t>
      </w:r>
    </w:p>
    <w:p>
      <w:pPr>
        <w:pStyle w:val="Heading3"/>
      </w:pPr>
      <w:r>
        <w:t xml:space="preserve">10.5 Prompt skeletons</w:t>
      </w:r>
    </w:p>
    <w:p>
      <w:pPr>
        <w:spacing w:after="140" w:line="276"/>
      </w:pPr>
      <w:r>
        <w:rPr>
          <w:b/>
          <w:bCs/>
        </w:rPr>
        <w:t xml:space="preserve">Classification (cheap model): </w:t>
      </w:r>
      <w:r>
        <w:t xml:space="preserve">“Given this title+abstract and these focus-area descriptors, return the matching area ids and a 0–1 confidence each. Return [] if none fit. JSON only.”</w:t>
      </w:r>
    </w:p>
    <w:p>
      <w:pPr>
        <w:spacing w:after="140" w:line="276"/>
      </w:pPr>
      <w:r>
        <w:rPr>
          <w:b/>
          <w:bCs/>
        </w:rPr>
        <w:t xml:space="preserve">Relevance note (digest): </w:t>
      </w:r>
      <w:r>
        <w:t xml:space="preserve">“In one sentence, explain why this paper matters to &lt;area audience_note&gt;, using only claims supported by the abstract. No overstatement.”</w:t>
      </w:r>
    </w:p>
    <w:p>
      <w:pPr>
        <w:spacing w:after="140" w:line="276"/>
      </w:pPr>
      <w:r>
        <w:rPr>
          <w:b/>
          <w:bCs/>
        </w:rPr>
        <w:t xml:space="preserve">Q&amp;A grounding (with guard): </w:t>
      </w:r>
      <w:r>
        <w:t xml:space="preserve">“Answer ONLY from the retrieved passages below, citing DOIs. If the question asks about methodology and no full-text passage is present (abstract only), say the full text isn’t available and summarize what the abstract states — do not infer methods.”</w:t>
      </w:r>
    </w:p>
    <w:p>
      <w:pPr>
        <w:pStyle w:val="Heading3"/>
      </w:pPr>
      <w:r>
        <w:t xml:space="preserve">10.6 Reference repositories for Claude Code</w:t>
      </w:r>
    </w:p>
    <w:p>
      <w:pPr>
        <w:spacing w:after="140" w:line="276"/>
      </w:pPr>
      <w:r>
        <w:t xml:space="preserve">The existing repos are </w:t>
      </w:r>
      <w:r>
        <w:rPr>
          <w:b/>
          <w:bCs/>
        </w:rPr>
        <w:t xml:space="preserve">structural templates to copy from</w:t>
      </w:r>
      <w:r>
        <w:t xml:space="preserve">, not systems this agent calls at runtime. Giving Claude Code these as read-only references makes it build something shaped like what already works. State explicitly that they are </w:t>
      </w:r>
      <w:r>
        <w:rPr>
          <w:b/>
          <w:bCs/>
        </w:rPr>
        <w:t xml:space="preserve">references, not dependencies</w:t>
      </w:r>
      <w:r>
        <w:t xml:space="preserve"> — do not add them to </w:t>
      </w:r>
      <w:r>
        <w:rPr>
          <w:rFonts w:ascii="Consolas" w:cs="Consolas" w:eastAsia="Consolas" w:hAnsi="Consolas"/>
          <w:sz w:val="20"/>
          <w:szCs w:val="20"/>
        </w:rPr>
        <w:t xml:space="preserve">requirements.txt</w:t>
      </w:r>
      <w:r>
        <w:t xml:space="preserve"> or import from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research-coordinator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Space + chat shell (app.py, gradio_ui.py), eval harness (eval/run_eval.py), deploy/sync (.github/workflows/sync-to-hf-space.yml), config design (prompts.yaml, agents.yaml)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biodata-registry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store/ package model — manifests + loaders + a *_list_available accessor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DecoupleRpy_Agent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Groundedness discipline ONLY (answer from evidence, show trace, refuse to fabricate). Do not copy domain logic.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Wiring: </w:t>
      </w:r>
      <w:r>
        <w:t xml:space="preserve">place the reference repos on disk in the working tree (sibling dirs / a small workspace with </w:t>
      </w:r>
      <w:r>
        <w:rPr>
          <w:rFonts w:ascii="Consolas" w:cs="Consolas" w:eastAsia="Consolas" w:hAnsi="Consolas"/>
          <w:sz w:val="20"/>
          <w:szCs w:val="20"/>
        </w:rPr>
        <w:t xml:space="preserve">lit-agent/</w:t>
      </w:r>
      <w:r>
        <w:t xml:space="preserve"> beside read-only checkouts) — local files beat URLs — and add a </w:t>
      </w:r>
      <w:r>
        <w:rPr>
          <w:rFonts w:ascii="Consolas" w:cs="Consolas" w:eastAsia="Consolas" w:hAnsi="Consolas"/>
          <w:sz w:val="20"/>
          <w:szCs w:val="20"/>
        </w:rPr>
        <w:t xml:space="preserve">CLAUDE.md</w:t>
      </w:r>
      <w:r>
        <w:t xml:space="preserve"> to the new repo naming what to mirror and what not to copy:</w:t>
      </w:r>
    </w:p>
    <w:p>
      <w:pPr>
        <w:shd w:fill="F3F4F6" w:val="clear"/>
        <w:spacing w:after="0" w:before="8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lit-agent — build conventions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STANDALONE. The repos below are STRUCTURAL REFERENCES ONLY —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do not depend on, import from, or list them in requirements.txt.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Mirror these patterns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Space + chat, eval, deploy:  ../research-coordinator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app.py, gradio_ui.py        (Space + streaming chat)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eval/run_eval.py            (eval harness + judge)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.github/workflows/sync-to-hf-space.yml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prompts.yaml, agents.yaml   (config-driven design)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Corpus store package:        ../biodata-registry  -&gt; model store/ on it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Groundedness discipline ONLY: ../DecoupleRpy_Agent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Do not copy</w:t>
      </w:r>
    </w:p>
    <w:p>
      <w:pPr>
        <w:shd w:fill="F3F4F6" w:val="clear"/>
        <w:spacing w:after="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decoupleR/scanpy computation or dataset-selection heuristics</w:t>
      </w:r>
    </w:p>
    <w:p>
      <w:pPr>
        <w:shd w:fill="F3F4F6" w:val="clear"/>
        <w:spacing w:after="160" w:before="0" w:line="248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(different data domain).</w:t>
      </w:r>
    </w:p>
    <w:p>
      <w:pPr>
        <w:pStyle w:val="Heading1"/>
      </w:pPr>
      <w:r>
        <w:t xml:space="preserve">11. Build Brief — Phase-by-Phase Instructions for Claude Code</w:t>
      </w:r>
    </w:p>
    <w:p>
      <w:pPr>
        <w:spacing w:after="140" w:line="276"/>
      </w:pPr>
      <w:r>
        <w:t xml:space="preserve">Each phase is independently demoable. The “Tell Claude Code” line is the instruction to paste; “Done when” is the acceptance criterion to verify before moving on. Build on a dev surface and keep the weekly email in dry-run until Phase 3.</w:t>
      </w:r>
    </w:p>
    <w:p>
      <w:pPr>
        <w:pStyle w:val="Heading3"/>
      </w:pPr>
      <w:r>
        <w:t xml:space="preserve">Phase 0 — Spike</w:t>
      </w:r>
    </w:p>
    <w:p>
      <w:pPr>
        <w:pBdr>
          <w:left w:val="single" w:color="2E75B6" w:sz="18" w:space="8"/>
        </w:pBdr>
        <w:shd w:fill="EAF1F8" w:val="clear"/>
        <w:spacing w:after="160" w:before="80" w:line="276"/>
        <w:ind w:left="120"/>
      </w:pPr>
      <w:r>
        <w:rPr>
          <w:b/>
          <w:bCs/>
          <w:sz w:val="21"/>
          <w:szCs w:val="21"/>
        </w:rPr>
        <w:t xml:space="preserve">Tell Claude Code: </w:t>
      </w:r>
      <w:r>
        <w:rPr>
          <w:i/>
          <w:iCs/>
          <w:sz w:val="21"/>
          <w:szCs w:val="21"/>
        </w:rPr>
        <w:t xml:space="preserve">“Build pipeline/harvest.py with clients for Europe PMC, PubMed (esearch/efetch), and bioRxiv/medRxiv. Read the PDAC query and per-source params from config/sources.yaml. Pull the last 7 days, map each result into the normalized paper record (§10.2), and write the combined list to data/spike.json. Respect a 3 req/s cap (PubMed) and paginate fully.”</w:t>
      </w:r>
    </w:p>
    <w:p>
      <w:pPr>
        <w:spacing w:after="140" w:line="276"/>
      </w:pPr>
      <w:r>
        <w:rPr>
          <w:b/>
          <w:bCs/>
        </w:rPr>
        <w:t xml:space="preserve">Done when: </w:t>
      </w:r>
      <w:r>
        <w:t xml:space="preserve">spike.json contains a week of PDAC papers from all sources with populated title/abstract/doi/dates, and counts per source are printed.</w:t>
      </w:r>
    </w:p>
    <w:p>
      <w:pPr>
        <w:pStyle w:val="Heading3"/>
      </w:pPr>
      <w:r>
        <w:t xml:space="preserve">Phase 1 — Corpus</w:t>
      </w:r>
    </w:p>
    <w:p>
      <w:pPr>
        <w:pBdr>
          <w:left w:val="single" w:color="2E75B6" w:sz="18" w:space="8"/>
        </w:pBdr>
        <w:shd w:fill="EAF1F8" w:val="clear"/>
        <w:spacing w:after="160" w:before="80" w:line="276"/>
        <w:ind w:left="120"/>
      </w:pPr>
      <w:r>
        <w:rPr>
          <w:b/>
          <w:bCs/>
          <w:sz w:val="21"/>
          <w:szCs w:val="21"/>
        </w:rPr>
        <w:t xml:space="preserve">Tell Claude Code: </w:t>
      </w:r>
      <w:r>
        <w:rPr>
          <w:i/>
          <w:iCs/>
          <w:sz w:val="21"/>
          <w:szCs w:val="21"/>
        </w:rPr>
        <w:t xml:space="preserve">“Build store/db.py and store/vectors.py per §10.3. Add normalize.py: DOI-normalize, fuzzy-title dedup, and link preprints to published versions; define ‘new’ as first_seen_date. Add score.py to embed abstracts (biomedical embedding model) and write everything to the store. Persist the SQLite file + index to the durable store at end of run.”</w:t>
      </w:r>
    </w:p>
    <w:p>
      <w:pPr>
        <w:spacing w:after="140" w:line="276"/>
      </w:pPr>
      <w:r>
        <w:rPr>
          <w:b/>
          <w:bCs/>
        </w:rPr>
        <w:t xml:space="preserve">Done when: </w:t>
      </w:r>
      <w:r>
        <w:t xml:space="preserve">Re-running ingestion adds only genuinely new papers (no duplicates across sources/preprints), and the store reloads intact after a restart.</w:t>
      </w:r>
    </w:p>
    <w:p>
      <w:pPr>
        <w:pStyle w:val="Heading3"/>
      </w:pPr>
      <w:r>
        <w:t xml:space="preserve">Phase 2 — Digest (dry-run)</w:t>
      </w:r>
    </w:p>
    <w:p>
      <w:pPr>
        <w:pBdr>
          <w:left w:val="single" w:color="2E75B6" w:sz="18" w:space="8"/>
        </w:pBdr>
        <w:shd w:fill="EAF1F8" w:val="clear"/>
        <w:spacing w:after="160" w:before="80" w:line="276"/>
        <w:ind w:left="120"/>
      </w:pPr>
      <w:r>
        <w:rPr>
          <w:b/>
          <w:bCs/>
          <w:sz w:val="21"/>
          <w:szCs w:val="21"/>
        </w:rPr>
        <w:t xml:space="preserve">Tell Claude Code: </w:t>
      </w:r>
      <w:r>
        <w:rPr>
          <w:i/>
          <w:iCs/>
          <w:sz w:val="21"/>
          <w:szCs w:val="21"/>
        </w:rPr>
        <w:t xml:space="preserve">“Implement the interest model: load config/interest_profile.yaml, classify each new paper into focus areas (embeddings + LLM confirm, §10.5), and compute relevance_score. Build digest.py to group top items per area, generate topic intros + per-item relevance notes, render templated HTML, and (in --dry-run) write it to out/digest_&lt;date&gt;.html WITHOUT sending.”</w:t>
      </w:r>
    </w:p>
    <w:p>
      <w:pPr>
        <w:spacing w:after="140" w:line="276"/>
      </w:pPr>
      <w:r>
        <w:rPr>
          <w:b/>
          <w:bCs/>
        </w:rPr>
        <w:t xml:space="preserve">Done when: </w:t>
      </w:r>
      <w:r>
        <w:t xml:space="preserve">out/digest_&lt;date&gt;.html is well-organized, items map to sensible focus areas, and relevance notes are accurate to the abstracts on manual review.</w:t>
      </w:r>
    </w:p>
    <w:p>
      <w:pPr>
        <w:pStyle w:val="Heading3"/>
      </w:pPr>
      <w:r>
        <w:t xml:space="preserve">Phase 3 — Deliver</w:t>
      </w:r>
    </w:p>
    <w:p>
      <w:pPr>
        <w:pBdr>
          <w:left w:val="single" w:color="2E75B6" w:sz="18" w:space="8"/>
        </w:pBdr>
        <w:shd w:fill="EAF1F8" w:val="clear"/>
        <w:spacing w:after="160" w:before="80" w:line="276"/>
        <w:ind w:left="120"/>
      </w:pPr>
      <w:r>
        <w:rPr>
          <w:b/>
          <w:bCs/>
          <w:sz w:val="21"/>
          <w:szCs w:val="21"/>
        </w:rPr>
        <w:t xml:space="preserve">Tell Claude Code: </w:t>
      </w:r>
      <w:r>
        <w:rPr>
          <w:i/>
          <w:iCs/>
          <w:sz w:val="21"/>
          <w:szCs w:val="21"/>
        </w:rPr>
        <w:t xml:space="preserve">“Wire digest.py to a transactional email provider (key + sender from env). Read recipients from config/recipients.yaml. Add .github/workflows/weekly.yml to run pipeline/run_weekly.py on a weekly cron. Keep a --dry-run guard and a SEND_LIVE env flag so live sending is explicit.”</w:t>
      </w:r>
    </w:p>
    <w:p>
      <w:pPr>
        <w:spacing w:after="140" w:line="276"/>
      </w:pPr>
      <w:r>
        <w:rPr>
          <w:b/>
          <w:bCs/>
        </w:rPr>
        <w:t xml:space="preserve">Done when: </w:t>
      </w:r>
      <w:r>
        <w:t xml:space="preserve">A scheduled run delivers a correctly formatted email to a test address; flipping SEND_LIVE sends to the real list; SPF/DKIM pass.</w:t>
      </w:r>
    </w:p>
    <w:p>
      <w:pPr>
        <w:pStyle w:val="Heading3"/>
      </w:pPr>
      <w:r>
        <w:t xml:space="preserve">Phase 4 — Analytics</w:t>
      </w:r>
    </w:p>
    <w:p>
      <w:pPr>
        <w:pBdr>
          <w:left w:val="single" w:color="2E75B6" w:sz="18" w:space="8"/>
        </w:pBdr>
        <w:shd w:fill="EAF1F8" w:val="clear"/>
        <w:spacing w:after="160" w:before="80" w:line="276"/>
        <w:ind w:left="120"/>
      </w:pPr>
      <w:r>
        <w:rPr>
          <w:b/>
          <w:bCs/>
          <w:sz w:val="21"/>
          <w:szCs w:val="21"/>
        </w:rPr>
        <w:t xml:space="preserve">Tell Claude Code: </w:t>
      </w:r>
      <w:r>
        <w:rPr>
          <w:i/>
          <w:iCs/>
          <w:sz w:val="21"/>
          <w:szCs w:val="21"/>
        </w:rPr>
        <w:t xml:space="preserve">“Build analytics.py to compute per-topic counts and deltas for week/month/year windows from the store, cache results to a file the Space reads, and append a compact ‘analytics at a glance’ block to the digest email.”</w:t>
      </w:r>
    </w:p>
    <w:p>
      <w:pPr>
        <w:spacing w:after="140" w:line="276"/>
      </w:pPr>
      <w:r>
        <w:rPr>
          <w:b/>
          <w:bCs/>
        </w:rPr>
        <w:t xml:space="preserve">Done when: </w:t>
      </w:r>
      <w:r>
        <w:t xml:space="preserve">Window counts reconcile against the runs table, deltas are correct vs the prior window, and the email footer matches.</w:t>
      </w:r>
    </w:p>
    <w:p>
      <w:pPr>
        <w:pStyle w:val="Heading3"/>
      </w:pPr>
      <w:r>
        <w:t xml:space="preserve">Phase 5 — Q&amp;A Space</w:t>
      </w:r>
    </w:p>
    <w:p>
      <w:pPr>
        <w:pBdr>
          <w:left w:val="single" w:color="2E75B6" w:sz="18" w:space="8"/>
        </w:pBdr>
        <w:shd w:fill="EAF1F8" w:val="clear"/>
        <w:spacing w:after="160" w:before="80" w:line="276"/>
        <w:ind w:left="120"/>
      </w:pPr>
      <w:r>
        <w:rPr>
          <w:b/>
          <w:bCs/>
          <w:sz w:val="21"/>
          <w:szCs w:val="21"/>
        </w:rPr>
        <w:t xml:space="preserve">Tell Claude Code: </w:t>
      </w:r>
      <w:r>
        <w:rPr>
          <w:i/>
          <w:iCs/>
          <w:sz w:val="21"/>
          <w:szCs w:val="21"/>
        </w:rPr>
        <w:t xml:space="preserve">“Build app.py/ui.py (reuse research-coordinator/gradio_ui.py patterns), qa/retrieve.py (top-k over the corpus, filterable by paper/week), and qa/answer.py with the grounding guard (§10.5). Stream answers with DOI citations.”</w:t>
      </w:r>
    </w:p>
    <w:p>
      <w:pPr>
        <w:spacing w:after="140" w:line="276"/>
      </w:pPr>
      <w:r>
        <w:rPr>
          <w:b/>
          <w:bCs/>
        </w:rPr>
        <w:t xml:space="preserve">Done when: </w:t>
      </w:r>
      <w:r>
        <w:t xml:space="preserve">Asking about a known paper returns a grounded, cited answer; asking methods on an abstract-only paper triggers the ‘full text unavailable’ guard instead of fabricating.</w:t>
      </w:r>
    </w:p>
    <w:p>
      <w:pPr>
        <w:pStyle w:val="Heading3"/>
      </w:pPr>
      <w:r>
        <w:t xml:space="preserve">Phase 6 — Eval &amp; harden</w:t>
      </w:r>
    </w:p>
    <w:p>
      <w:pPr>
        <w:pBdr>
          <w:left w:val="single" w:color="2E75B6" w:sz="18" w:space="8"/>
        </w:pBdr>
        <w:shd w:fill="EAF1F8" w:val="clear"/>
        <w:spacing w:after="160" w:before="80" w:line="276"/>
        <w:ind w:left="120"/>
      </w:pPr>
      <w:r>
        <w:rPr>
          <w:b/>
          <w:bCs/>
          <w:sz w:val="21"/>
          <w:szCs w:val="21"/>
        </w:rPr>
        <w:t xml:space="preserve">Tell Claude Code: </w:t>
      </w:r>
      <w:r>
        <w:rPr>
          <w:i/>
          <w:iCs/>
          <w:sz w:val="21"/>
          <w:szCs w:val="21"/>
        </w:rPr>
        <w:t xml:space="preserve">“Adapt research-coordinator/eval into eval/run_eval.py: a Q&amp;A bank graded for groundedness (no claim absent from retrieved text) and a labeled digest set graded for relevance precision. Report pass rates; iterate the interest profile and guards against failures.”</w:t>
      </w:r>
    </w:p>
    <w:p>
      <w:pPr>
        <w:spacing w:after="140" w:line="276"/>
      </w:pPr>
      <w:r>
        <w:rPr>
          <w:b/>
          <w:bCs/>
        </w:rPr>
        <w:t xml:space="preserve">Done when: </w:t>
      </w:r>
      <w:r>
        <w:t xml:space="preserve">Eval runs green on the bank; groundedness violations and irrelevant digest items are driven down across iterations.</w:t>
      </w:r>
    </w:p>
    <w:p>
      <w:pPr>
        <w:pStyle w:val="Heading3"/>
      </w:pPr>
      <w:r>
        <w:t xml:space="preserve">Phase 7 — Optional integration</w:t>
      </w:r>
    </w:p>
    <w:p>
      <w:pPr>
        <w:pBdr>
          <w:left w:val="single" w:color="2E75B6" w:sz="18" w:space="8"/>
        </w:pBdr>
        <w:shd w:fill="EAF1F8" w:val="clear"/>
        <w:spacing w:after="160" w:before="80" w:line="276"/>
        <w:ind w:left="120"/>
      </w:pPr>
      <w:r>
        <w:rPr>
          <w:b/>
          <w:bCs/>
          <w:sz w:val="21"/>
          <w:szCs w:val="21"/>
        </w:rPr>
        <w:t xml:space="preserve">Tell Claude Code: </w:t>
      </w:r>
      <w:r>
        <w:rPr>
          <w:i/>
          <w:iCs/>
          <w:sz w:val="21"/>
          <w:szCs w:val="21"/>
        </w:rPr>
        <w:t xml:space="preserve">“Only if desired: register the Lit Agent as a second specialist in the Coordinator’s agents.yaml with trigger keywords for literature questions. No router.py changes.”</w:t>
      </w:r>
    </w:p>
    <w:p>
      <w:pPr>
        <w:spacing w:after="140" w:line="276"/>
      </w:pPr>
      <w:r>
        <w:rPr>
          <w:b/>
          <w:bCs/>
        </w:rPr>
        <w:t xml:space="preserve">Done when: </w:t>
      </w:r>
      <w:r>
        <w:t xml:space="preserve">The Coordinator routes a literature question to the Lit Agent and relays its answer.</w:t>
      </w:r>
    </w:p>
    <w:p>
      <w:pPr>
        <w:pStyle w:val="Heading1"/>
      </w:pPr>
      <w:r>
        <w:t xml:space="preserve">12. Level of Effort vs. Everything Built So Far</w:t>
      </w:r>
    </w:p>
    <w:p>
      <w:pPr>
        <w:spacing w:after="140" w:line="276"/>
      </w:pPr>
      <w:r>
        <w:t xml:space="preserve">The fair baseline is the whole body of work: the Coordinator router, the </w:t>
      </w:r>
      <w:r>
        <w:rPr>
          <w:b/>
          <w:bCs/>
        </w:rPr>
        <w:t xml:space="preserve">DecoupleRpy specialist</w:t>
      </w:r>
      <w:r>
        <w:t xml:space="preserve">, the </w:t>
      </w:r>
      <w:r>
        <w:rPr>
          <w:b/>
          <w:bCs/>
        </w:rPr>
        <w:t xml:space="preserve">biodata-registry</w:t>
      </w:r>
      <w:r>
        <w:t xml:space="preserve">, the eval harness, and two-Space deployment hardening. If the router alone is “1 unit,” that full system is ~6–9 units (DecoupleRpy and the registry are the bulk).</w:t>
      </w:r>
    </w:p>
    <w:p>
      <w:pPr>
        <w:spacing w:after="140" w:line="276"/>
      </w:pPr>
      <w:r>
        <w:rPr>
          <w:b/>
          <w:bCs/>
        </w:rPr>
        <w:t xml:space="preserve">Important honesty check: </w:t>
      </w:r>
      <w:r>
        <w:t xml:space="preserve">the Lit Agent does </w:t>
      </w:r>
      <w:r>
        <w:rPr>
          <w:b/>
          <w:bCs/>
        </w:rPr>
        <w:t xml:space="preserve">not</w:t>
      </w:r>
      <w:r>
        <w:t xml:space="preserve"> functionally integrate with those systems — it works on a different data domain. What lowers its cost is </w:t>
      </w:r>
      <w:r>
        <w:rPr>
          <w:b/>
          <w:bCs/>
        </w:rPr>
        <w:t xml:space="preserve">reuse of patterns, scaffolding, and experience</w:t>
      </w:r>
      <w:r>
        <w:t xml:space="preserve">, not shared runtime: the corpus store re-skins the registry </w:t>
      </w:r>
      <w:r>
        <w:rPr>
          <w:b/>
          <w:bCs/>
        </w:rPr>
        <w:t xml:space="preserve">pattern</w:t>
      </w:r>
      <w:r>
        <w:t xml:space="preserve">; the grounded Q&amp;A re-applies the DecoupleRpy anti-fabrication </w:t>
      </w:r>
      <w:r>
        <w:rPr>
          <w:b/>
          <w:bCs/>
        </w:rPr>
        <w:t xml:space="preserve">approach</w:t>
      </w:r>
      <w:r>
        <w:t xml:space="preserve">; the eval reuses the harness </w:t>
      </w:r>
      <w:r>
        <w:rPr>
          <w:b/>
          <w:bCs/>
        </w:rPr>
        <w:t xml:space="preserve">design</w:t>
      </w:r>
      <w:r>
        <w:t xml:space="preserve">; the Gradio/deploy scaffolding is directly reusable. That is real leverage, but it is engineering carry-over, not a half-finished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Gradio/HF Space + chat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Reuse of gradio_ui.py + streaming/panels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Harvester (multi-source ingestion)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Net-new: 3–4 API clients, windowing, rate limits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Dedup + normalization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Net-new and genuinely hard (§9.2)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Corpus store + vector 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Re-skins the biodata-registry pattern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Interest model + relevance scoring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 + embeddings + LLM tuning; precision-critical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Digest composer + mailer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Net-new delivery surface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 (windows/trends)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Straightforward given the schema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Q&amp;A + groundedness guards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Reuses DecoupleRpy anti-fabrication lesson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Scheduler + 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 cron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 (relevance + groundedness)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Reuses harness design; new graders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(net of reuse)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3.5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Concentrated in the four net-new rows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Net: ~0.4–0.6× of everything built so far — about half. </w:t>
      </w:r>
      <w:r>
        <w:t xml:space="preserve">The Lit Agent is ~3–3.5 router-equivalent units vs ~6–9 for the full prior system. Net-new effort is just ingestion, dedup, email, and analytics; only </w:t>
      </w:r>
      <w:r>
        <w:rPr>
          <w:b/>
          <w:bCs/>
        </w:rPr>
        <w:t xml:space="preserve">dedup/recency</w:t>
      </w:r>
      <w:r>
        <w:t xml:space="preserve"> is novel difficulty. The biggest schedule risk is the </w:t>
      </w:r>
      <w:r>
        <w:rPr>
          <w:b/>
          <w:bCs/>
        </w:rPr>
        <w:t xml:space="preserve">iterate-with-real-feedback</w:t>
      </w:r>
      <w:r>
        <w:t xml:space="preserve"> loop on relevance/groundedness, which needs a few real weekly cycles + human labels.</w:t>
      </w:r>
    </w:p>
    <w:p>
      <w:pPr>
        <w:pStyle w:val="Heading1"/>
      </w:pPr>
      <w:r>
        <w:t xml:space="preserve">13. Open Questions &amp; Risks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OHSU TDM access: </w:t>
      </w:r>
      <w:r>
        <w:t xml:space="preserve">decides OA-only vs near-comprehensive Q&amp;A — resolve before Phase 1 (§9.1).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BCC focus areas: </w:t>
      </w:r>
      <w:r>
        <w:t xml:space="preserve">need the real priorities + exemplar DOIs to seed §10.4.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Definition of “new”: </w:t>
      </w:r>
      <w:r>
        <w:t xml:space="preserve">first-seen vs published vs indexed date — pick one (plan assumes first-seen) and document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Email provider + sender domain: </w:t>
      </w:r>
      <w:r>
        <w:t xml:space="preserve">choose before Phase 3 for SPF/DKIM.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Persistence host: </w:t>
      </w:r>
      <w:r>
        <w:t xml:space="preserve">HF Dataset vs external DB vs managed vector store — decide before Phase 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Embedding model: </w:t>
      </w:r>
      <w:r>
        <w:t xml:space="preserve">biomedical quality vs commodity cost — confirm the choice.</w:t>
      </w:r>
    </w:p>
    <w:p>
      <w:pPr>
        <w:pStyle w:val="Heading1"/>
      </w:pPr>
      <w:r>
        <w:t xml:space="preserve">Appendix · Sources Consulted</w:t>
      </w:r>
    </w:p>
    <w:p>
      <w:pPr>
        <w:spacing w:after="140" w:line="276"/>
      </w:pPr>
      <w:r>
        <w:t xml:space="preserve">Current API/tooling facts verified against: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gsjq0zxdflj032mkvxljs">
        <w:r>
          <w:rPr>
            <w:rStyle w:val="Hyperlink"/>
          </w:rPr>
          <w:t xml:space="preserve">NCBI E-utilities API &amp; rate limits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qb4pt7mkqpkmwlezw4fsu">
        <w:r>
          <w:rPr>
            <w:rStyle w:val="Hyperlink"/>
          </w:rPr>
          <w:t xml:space="preserve">NCBI E-utilities API keys (3–10 rps)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vjteibcwidyyy7jdsjp3b">
        <w:r>
          <w:rPr>
            <w:rStyle w:val="Hyperlink"/>
          </w:rPr>
          <w:t xml:space="preserve">Europe PMC RESTful Web Service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essvkdceeczd4u9t836mh">
        <w:r>
          <w:rPr>
            <w:rStyle w:val="Hyperlink"/>
          </w:rPr>
          <w:t xml:space="preserve">bioRxiv / medRxiv API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l-bky9yaymb2v33z6nxzy">
        <w:r>
          <w:rPr>
            <w:rStyle w:val="Hyperlink"/>
          </w:rPr>
          <w:t xml:space="preserve">Embedding comparison for biomedical retrieval</w:t>
        </w:r>
      </w:hyperlink>
    </w:p>
    <w:p>
      <w:pPr>
        <w:spacing w:after="60"/>
      </w:pPr>
      <w:r>
        <w:t xml:space="preserve"/>
      </w:r>
    </w:p>
    <w:p>
      <w:pPr>
        <w:pBdr>
          <w:top w:val="single" w:color="BFBFBF" w:sz="4" w:space="4"/>
        </w:pBdr>
        <w:spacing w:before="120"/>
      </w:pPr>
      <w:r>
        <w:rPr>
          <w:i/>
          <w:iCs/>
          <w:color w:val="595959"/>
          <w:sz w:val="18"/>
          <w:szCs w:val="18"/>
        </w:rPr>
        <w:t xml:space="preserve">Grounded in the current research-coordinator repository (router.py, gradio_ui.py, agents.yaml, prompts.yaml, eval/) as of June 15,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PDAC Research Agent System</w:t>
    </w:r>
    <w:r>
      <w:rPr>
        <w:sz w:val="16"/>
        <w:szCs w:val="16"/>
      </w:rPr>
      <w:t xml:space="preserve">	</w:t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Literature Review Agent — Technical Plan &amp; Build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sjq0zxdflj032mkvxljs" Type="http://schemas.openxmlformats.org/officeDocument/2006/relationships/hyperlink" Target="https://www.ncbi.nlm.nih.gov/home/develop/api/" TargetMode="External"/><Relationship Id="rIdqb4pt7mkqpkmwlezw4fsu" Type="http://schemas.openxmlformats.org/officeDocument/2006/relationships/hyperlink" Target="https://support.nlm.nih.gov/kbArticle/?pn=KA-05317" TargetMode="External"/><Relationship Id="rIdvjteibcwidyyy7jdsjp3b" Type="http://schemas.openxmlformats.org/officeDocument/2006/relationships/hyperlink" Target="https://europepmc.org/RestfulWebService" TargetMode="External"/><Relationship Id="rIdessvkdceeczd4u9t836mh" Type="http://schemas.openxmlformats.org/officeDocument/2006/relationships/hyperlink" Target="https://api.biorxiv.org/" TargetMode="External"/><Relationship Id="rIdl-bky9yaymb2v33z6nxzy" Type="http://schemas.openxmlformats.org/officeDocument/2006/relationships/hyperlink" Target="https://document360.com/blog/text-embedding-model-analysis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2026-06-17T15:15:58.697Z</dcterms:created>
  <dcterms:modified xsi:type="dcterms:W3CDTF">2026-06-17T15:15:58.702Z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