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Комплект материалов для фиксации программы для ЭВМ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</w:rPr>
        <w:t xml:space="preserve">Программный инструмент для неинвазивной вспомогательной диагностики рака мочеполовой системы на основе анализа мочи методом ВЭЖХ-МС (UroMetabR), версия 1.0.0 от 2026-10-26</w:t>
      </w:r>
    </w:p>
    <w:p>
      <w:pPr>
        <w:pStyle w:val="Heading1"/>
      </w:pPr>
      <w:r>
        <w:rPr>
          <w:rFonts w:ascii="Times New Roman" w:cs="Times New Roman" w:eastAsia="Times New Roman" w:hAnsi="Times New Roman"/>
        </w:rPr>
        <w:t xml:space="preserve">1 Название программы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Программный инструмент для неинвазивной вспомогательной диагностики рака мочеполовой системы на основе анализа мочи методом ВЭЖХ-МС</w:t>
      </w:r>
      <w:r>
        <w:rPr>
          <w:rFonts w:ascii="Times New Roman" w:cs="Times New Roman" w:eastAsia="Times New Roman" w:hAnsi="Times New Roman"/>
        </w:rPr>
        <w:t xml:space="preserve"> (краткое название — UroMetabR). Версия 1.0.0, дата версии 2026-10-26.</w:t>
      </w:r>
    </w:p>
    <w:p>
      <w:pPr>
        <w:pStyle w:val="Heading1"/>
      </w:pPr>
      <w:r>
        <w:rPr>
          <w:rFonts w:ascii="Times New Roman" w:cs="Times New Roman" w:eastAsia="Times New Roman" w:hAnsi="Times New Roman"/>
        </w:rPr>
        <w:t xml:space="preserve">2 Реферат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9"/>
        <w:gridCol w:w="7016"/>
      </w:tblGrid>
      <w:tr>
        <w:trPr>
          <w:tblHeader/>
        </w:trPr>
        <w:tc>
          <w:tcPr>
            <w:tcW w:type="dxa" w:w="2339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7016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Содержание</w:t>
            </w:r>
          </w:p>
        </w:tc>
      </w:tr>
      <w:tr>
        <w:tc>
          <w:tcPr>
            <w:tcW w:type="dxa" w:w="233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Назначение</w:t>
            </w:r>
          </w:p>
        </w:tc>
        <w:tc>
          <w:tcPr>
            <w:tcW w:type="dxa" w:w="70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Полуавтоматическая обработка и статистический анализ данных ненаправленного метаболомного профилирования мочи методом высокоэффективной жидкостной хроматографии – масс-спектрометрии (ВЭЖХ-МС) для поиска метаболомных признаков, ассоциированных с раком мочеполовой системы, и формирования расширяемой базы метаболомных признаков.</w:t>
            </w:r>
          </w:p>
        </w:tc>
      </w:tr>
      <w:tr>
        <w:tc>
          <w:tcPr>
            <w:tcW w:type="dxa" w:w="233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Область применения</w:t>
            </w:r>
          </w:p>
        </w:tc>
        <w:tc>
          <w:tcPr>
            <w:tcW w:type="dxa" w:w="70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Клиническая лабораторная диагностика, онкоурология, научные исследования в области метаболомики.</w:t>
            </w:r>
          </w:p>
        </w:tc>
      </w:tr>
      <w:tr>
        <w:tc>
          <w:tcPr>
            <w:tcW w:type="dxa" w:w="233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Основные функции (модули)</w:t>
            </w:r>
          </w:p>
        </w:tc>
        <w:tc>
          <w:tcPr>
            <w:tcW w:type="dxa" w:w="70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 — загрузка и проверка входных данных (mzML, mzXML, CDF, CSV, TSV, TXT, экспорт MS-DIAL) и метаданных; 1 — оптимизация параметров и построение таблицы пиков (xcms, IPO); 2 — контроль качества (PCA с образцами QC, доля пропусков, TIC, RSD); 3 — фильтр устойчивых признаков (стандартный профиль для анализа и строгий профиль для базы признаков); 4 — удаление QC, усреднение повторных измерений, сортировка по порядку ввода; 5 — заполнение пропусков случайным лесом; 6 — коррекция систематической ошибки сигнала (EigenMS) и логарифмирование; 7 — одномерный статистический фильтр, четыре модели машинного обучения, отбор по частоте встречаемости, рекурсивный отбор переменных, вложенная кросс-валидация; 8 — визуализация (PCA, иерархическая кластеризация, тепловые карты, диаграммы размаха, PLS-DA с VIP); 9 — пополнение базы метаболомных признаков (сигналы, устойчивые во всех образцах) и формирование HTML-отчёта. Графический интерфейс (Shiny) и запуск из командной строки.</w:t>
            </w:r>
          </w:p>
        </w:tc>
      </w:tr>
      <w:tr>
        <w:tc>
          <w:tcPr>
            <w:tcW w:type="dxa" w:w="233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Язык программирования</w:t>
            </w:r>
          </w:p>
        </w:tc>
        <w:tc>
          <w:tcPr>
            <w:tcW w:type="dxa" w:w="70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 (версия не ниже 4.0.0); отчёт — R Markdown</w:t>
            </w:r>
          </w:p>
        </w:tc>
      </w:tr>
      <w:tr>
        <w:tc>
          <w:tcPr>
            <w:tcW w:type="dxa" w:w="233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Операционные системы</w:t>
            </w:r>
          </w:p>
        </w:tc>
        <w:tc>
          <w:tcPr>
            <w:tcW w:type="dxa" w:w="70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Windows 8 и новее (основная), Linux, macOS — везде, где работает R ≥ 4.0.0</w:t>
            </w:r>
          </w:p>
        </w:tc>
      </w:tr>
      <w:tr>
        <w:tc>
          <w:tcPr>
            <w:tcW w:type="dxa" w:w="233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Требования к ПК</w:t>
            </w:r>
          </w:p>
        </w:tc>
        <w:tc>
          <w:tcPr>
            <w:tcW w:type="dxa" w:w="70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Процессор от 2,5 ГГц, оперативная память от 8 ГБ, свободное место на диске от 1 ГБ; браузер для графического интерфейса и отчёта; при первом запуске — доступ к репозиторию CRAN для установки пакетов</w:t>
            </w:r>
          </w:p>
        </w:tc>
      </w:tr>
      <w:tr>
        <w:tc>
          <w:tcPr>
            <w:tcW w:type="dxa" w:w="233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Объём программы</w:t>
            </w:r>
          </w:p>
        </w:tc>
        <w:tc>
          <w:tcPr>
            <w:tcW w:type="dxa" w:w="70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117 260 байт (114,5 КБ) исходного кода: 17 файлов, 1448 строк; с тестами и генераторами контрольных данных — 162,6 КБ (22 файлов)</w:t>
            </w:r>
          </w:p>
        </w:tc>
      </w:tr>
      <w:tr>
        <w:tc>
          <w:tcPr>
            <w:tcW w:type="dxa" w:w="233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Форма поставки</w:t>
            </w:r>
          </w:p>
        </w:tc>
        <w:tc>
          <w:tcPr>
            <w:tcW w:type="dxa" w:w="70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Архив UroMetabR_v1.0.0_2026-10-26.zip: исходный код, шаблон отчёта, файлы запуска, инструкция пользователя, тесты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Times New Roman" w:cs="Times New Roman" w:eastAsia="Times New Roman" w:hAnsi="Times New Roman"/>
        </w:rPr>
        <w:t xml:space="preserve">3 Собственный код и сторонние библиотеки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</w:rPr>
        <w:t xml:space="preserve">Регистрации подлежит только собственный код (файлы из раздела 4). Сторонние пакеты R не входят в архив программы: они устанавливаются пользователем из CRAN/Bioconductor и подключаются во время работы. Алгоритмы заполнения пропусков (по описанию missForest: Stekhoven, Bühlmann, Bioinformatics 2012) и коррекции EigenMS (Karpievitch et al., Bioinformatics 2009) реализованы в собственном коде по опубликованным описаниям, без заимствования кода пакетов missForest и ProteoMM.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10"/>
        <w:gridCol w:w="1216"/>
        <w:gridCol w:w="1216"/>
        <w:gridCol w:w="2058"/>
        <w:gridCol w:w="3555"/>
      </w:tblGrid>
      <w:tr>
        <w:trPr>
          <w:tblHeader/>
        </w:trPr>
        <w:tc>
          <w:tcPr>
            <w:tcW w:type="dxa" w:w="1310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Пакет</w:t>
            </w:r>
          </w:p>
        </w:tc>
        <w:tc>
          <w:tcPr>
            <w:tcW w:type="dxa" w:w="1216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Источник</w:t>
            </w:r>
          </w:p>
        </w:tc>
        <w:tc>
          <w:tcPr>
            <w:tcW w:type="dxa" w:w="1216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Версия в испытаниях</w:t>
            </w:r>
          </w:p>
        </w:tc>
        <w:tc>
          <w:tcPr>
            <w:tcW w:type="dxa" w:w="2058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Лицензия</w:t>
            </w:r>
          </w:p>
        </w:tc>
        <w:tc>
          <w:tcPr>
            <w:tcW w:type="dxa" w:w="3555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Назначение в программе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data.table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1.14.10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MPL-2.0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таблицы, чтение и запись CSV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yaml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2.3.8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BSD_3_clause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файл настроек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ggplot2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3.4.4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MIT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графики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patchwork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1.2.0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MIT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компоновка графиков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pheatmap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1.0.12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GPL-2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тепловые карты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caret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6.0-94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 (&gt;= 2)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модели KNN/SVM/PLS/RF, кросс-валидация, RFE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e1071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1.7-14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GPL-2 | GPL-3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наивный Байес (RFE)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kernlab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0.9-32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GPL-2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SVM с радиальным ядром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randomForest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4.7-1.1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 (&gt;= 2)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случайный лес (модели, заполнение пропусков)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pls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2.8-3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GPL-2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PLS, PLS-DA, VIP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foreach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1.5.2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Apache License (== 2.0)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параллельные вычисления caret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doParallel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1.0.17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GPL-2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параллельные вычисления caret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jsonlite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1.8.8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MIT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встраивание рисунков в HTML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shiny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1.8.0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GPL-3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графический интерфейс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rmarkdown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2.25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GPL-3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отчёт HTML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knitr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1.45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таблицы отчёта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digest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0.6.34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 (&gt;= 2)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контрольные суммы (испытания)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testthat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3.2.1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MIT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модульные тесты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xcms*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Bioconductor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 (&gt;= 2)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1: таблица пиков из mzML/mzXML/CDF (необязательно)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MSnbase*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Bioconductor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Artistic-2.0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1: чтение сырых данных (необязательно)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BiocParallel*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Bioconductor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GPL-2 | GPL-3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1: параллельные вычисления (необязательно)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IPO*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Bioconductor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 (&gt;= 2)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1: оптимизация параметров xcms (необязательно)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missForest*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 (&gt;= 2)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5: альтернатива встроенному заполнению (необязательно)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ProteoMM*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Bioconductor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MIT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этап 1 (EigenMS); в v1.0 не используется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FactoMineR*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 (&gt;= 2)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этап 1 (PCA); в v1.0 не используется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factoextra*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GPL-2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этап 1 (графики PCA); в v1.0 не используется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tuple*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 (архив)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проверить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этап 1 (tuplicated); в v1.0 не используется</w:t>
            </w:r>
          </w:p>
        </w:tc>
      </w:tr>
    </w:tbl>
    <w:p>
      <w:pPr>
        <w:spacing w:after="120"/>
      </w:pP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</w:rPr>
        <w:t xml:space="preserve">Лицензии пакетов, установленных в среде испытаний, взяты из их файлов DESCRIPTION; для пакетов, не установленных в среде испытаний (отмечены «*»), — по данным CRAN/Bioconductor, их нужно сверить перед подачей. Полный перечень пакетов с версиями, включая зависимости, приводится в файле sessionInfo каждого прогона.</w:t>
      </w:r>
    </w:p>
    <w:p>
      <w:pPr>
        <w:pStyle w:val="Heading1"/>
      </w:pPr>
      <w:r>
        <w:rPr>
          <w:rFonts w:ascii="Times New Roman" w:cs="Times New Roman" w:eastAsia="Times New Roman" w:hAnsi="Times New Roman"/>
        </w:rPr>
        <w:t xml:space="preserve">4 Состав исходного кода (для листинга)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29"/>
        <w:gridCol w:w="1123"/>
        <w:gridCol w:w="936"/>
        <w:gridCol w:w="3367"/>
      </w:tblGrid>
      <w:tr>
        <w:trPr>
          <w:tblHeader/>
        </w:trPr>
        <w:tc>
          <w:tcPr>
            <w:tcW w:type="dxa" w:w="3929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Файл</w:t>
            </w:r>
          </w:p>
        </w:tc>
        <w:tc>
          <w:tcPr>
            <w:tcW w:type="dxa" w:w="1123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Размер, байт</w:t>
            </w:r>
          </w:p>
        </w:tc>
        <w:tc>
          <w:tcPr>
            <w:tcW w:type="dxa" w:w="936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Строк</w:t>
            </w:r>
          </w:p>
        </w:tc>
        <w:tc>
          <w:tcPr>
            <w:tcW w:type="dxa" w:w="3367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MD5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Create_desktop_shortcut.vbs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370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48dc6ba2e14d48ae09edcef07ab4cfe2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R/00_core.R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14300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234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a22fb1c7979c76b77582e2cf10bfc5aa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R/m0_input.R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12672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162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80504767f9ba248a13c23a1018c87b50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R/m1_peaktable.R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4870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61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7dc56dd61e7a14c9d73bd246aef8b927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R/m2_m4_quality.R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10631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130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813872ed729e91a678fe2f96519fe816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R/m5_m6_impute_correct.R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8435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119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70fda78fa39ce19a25708366f0511627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R/m7_select.R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16493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213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fadc3e493f10bb057ff315ff5b026642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R/m8_visual.R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5957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71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62889d077a5229b627242abceca360d0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R/m9_report.R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10921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117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38eb249f60f1233048a6055fbf5a83b2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R/zz_setup.R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1730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24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14e1f48ab00b7519648a408334533044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Start_UroMetabR.bat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531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14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75c9848be3920c4d21b624f2b39c3510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app/app.R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19285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185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8d60de7bd589a0de4aa99d326d5a7310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app/launch.R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878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0ca8f00d316809a30ecf4e26c79c099f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docs/user_guide.md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7749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47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af2450ea6032fcaeae5a0861555eb198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run_analysis.R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1351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19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da0e84f387a03b0c71c6388144caff57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start_urometabr.sh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151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02c5405a949566c80ca7381c580b2a11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templates/report.Rmd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936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31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b15b4b340e3e7935d5bbb1d77d81b245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Итого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117 260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1448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</w:tr>
    </w:tbl>
    <w:p>
      <w:pPr>
        <w:spacing w:after="120"/>
      </w:pP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</w:rPr>
        <w:t xml:space="preserve">Полный листинг собственного кода с номерами строк — файл UroMetabR_v1.0.0_listing.txt (кодировка UTF-8) в этом же комплекте; его можно использовать для депонирования.</w:t>
      </w:r>
    </w:p>
    <w:sectPr>
      <w:footerReference w:type="default" r:id="rId7"/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20" w:hanging="360"/>
      </w:pPr>
      <w:rPr>
        <w:rFonts w:ascii="Times New Roman" w:cs="Times New Roman" w:eastAsia="Times New Roman" w:hAnsi="Times New Roman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200" w:before="240"/>
      <w:outlineLvl w:val="0"/>
    </w:pPr>
    <w:rPr>
      <w:rFonts w:ascii="Times New Roman" w:cs="Times New Roman" w:eastAsia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keepNext/>
      <w:spacing w:after="120" w:before="200"/>
      <w:outlineLvl w:val="1"/>
    </w:pPr>
    <w:rPr>
      <w:rFonts w:ascii="Times New Roman" w:cs="Times New Roman" w:eastAsia="Times New Roman" w:hAnsi="Times New Roman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00" w:before="160"/>
      <w:outlineLvl w:val="2"/>
    </w:pPr>
    <w:rPr>
      <w:rFonts w:ascii="Times New Roman" w:cs="Times New Roman" w:eastAsia="Times New Roman" w:hAnsi="Times New Roman"/>
      <w:b/>
      <w:bCs/>
      <w:i/>
      <w:i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Комплект для фиксации программы</dc:title>
  <dc:creator>UroMetabR</dc:creator>
  <cp:lastModifiedBy>Un-named</cp:lastModifiedBy>
  <cp:revision>1</cp:revision>
  <dcterms:created xsi:type="dcterms:W3CDTF">2026-10-26T21:58:48.144Z</dcterms:created>
  <dcterms:modified xsi:type="dcterms:W3CDTF">2026-10-26T21:58:48.144Z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