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>
        <w:rPr>
          <w:highlight w:val="none"/>
          <w:lang w:val="en-US"/>
        </w:rPr>
        <w:t xml:space="preserve">2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ER-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</w:p>
    <w:p>
      <w:r>
        <w:t xml:space="preserve">Всего выделено пять сущностей. Первая сущность — Поезд. В неё входят такие атрибуты как: код поезда (первичный ключ, целочисленное значение), код пользователя (вторичный </w:t>
      </w:r>
      <w:r>
        <w:t xml:space="preserve">ключ, целочисленное значение</w:t>
      </w:r>
      <w:r>
        <w:t xml:space="preserve">), номер маршрута (целочисленное значение), количество вагонов (целочисленное значение), пункт отправки (текстовое значени</w:t>
      </w:r>
      <w:r>
        <w:t xml:space="preserve">е), </w:t>
      </w:r>
      <w:r>
        <w:t xml:space="preserve">пункт конечного назвначения (текстовое значени</w:t>
      </w:r>
      <w:r>
        <w:t xml:space="preserve">е)</w:t>
      </w:r>
      <w:r/>
      <w:r>
        <w:t xml:space="preserve"> .</w:t>
      </w:r>
      <w:r/>
    </w:p>
    <w:p>
      <w:r>
        <w:t xml:space="preserve">Вторая сущность — RFID-метка. В неё входят такие атрибуты как: код метки (первичный ключ, целочисленное значение), идентификатор метки (текстовое значение), код поезда (вторичный ключ, целочисленное значение, уникальный),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/>
      <w:r>
        <w:t xml:space="preserve">.</w:t>
      </w:r>
      <w:r/>
    </w:p>
    <w:p>
      <w:r>
        <w:t xml:space="preserve">Третья сущность — Станция: код станции (первичный ключ, целочисленное значение), название станции (текстовое значение, уникальное), 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/>
      <w:r>
        <w:t xml:space="preserve">.</w:t>
      </w:r>
      <w:r/>
    </w:p>
    <w:p>
      <w:r>
        <w:t xml:space="preserve">Четвёртая сущность — Событие прохода: код события (первичный ключ, целочисленное значение), код станции (вторичный ключ, целочисленное значение), код поезда (вторичный ключ, целочисленное значение, может быть пустым), код метки (вторичный ключ, целочисленно</w:t>
      </w:r>
      <w:r>
        <w:t xml:space="preserve">е значение), </w:t>
      </w:r>
      <w:r>
        <w:t xml:space="preserve">код пользователя (вторичный </w:t>
      </w:r>
      <w:r>
        <w:t xml:space="preserve">ключ, целочисленное значение</w:t>
      </w:r>
      <w:r>
        <w:t xml:space="preserve">), </w:t>
      </w:r>
      <w:r/>
      <w:r>
        <w:t xml:space="preserve">время прохождения (дата и время), статус события (текстовое значение).</w:t>
      </w:r>
      <w:r/>
    </w:p>
    <w:p>
      <w:pPr>
        <w:rPr>
          <w:highlight w:val="none"/>
        </w:rPr>
      </w:pPr>
      <w:r>
        <w:t xml:space="preserve">Пятая сущность — Пользователь: код пользователя (первичный ключ, целочисленное значение), логин (текстовое значение, уникальное), хеш пароля (текстовое значение), роль в системе (текстовое значение).</w:t>
      </w:r>
      <w:r/>
      <w:r/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поезд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поездами»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номер маршрута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Используется при отображении на экране диспетчера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количество вагонов</w:t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</w:t>
            </w:r>
            <w:r>
              <w:rPr>
                <w:sz w:val="24"/>
                <w:szCs w:val="24"/>
              </w:rPr>
              <w:t xml:space="preserve">, заполняется администратором</w:t>
            </w:r>
            <w:r/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отправки</w:t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конечного прибытия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-метки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идентификатор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значение; передаётся считывателем в запросе на сервер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 (уник.)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обеспечивает соответствие «одна метка — один поезд»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привязывает много меток»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станция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название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значение, настраивается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станциями»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событие прохода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«Станция», на которой зафиксирован проход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FK, может быть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отсутствует, если метка не опознана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«RFID-метка»; хранит метку из исходного запроса даже при ошибке опознания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время прохождения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дата и время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Метка времени фиксации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статус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Принимает значения: «штатно», «неизвестный поезд», «дубликат»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пользователь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логин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 для входа в административную панель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хеш пароля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Хранится в хешированном виде (модель пользователя Django)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роль в системе</w:t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строковое значение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Определяет доступ и возможности пользователя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  <w:t xml:space="preserve">Связи между сущностями: </w:t>
      </w:r>
      <w:r>
        <w:rPr>
          <w:highlight w:val="none"/>
        </w:rPr>
        <w:t xml:space="preserve">Сущность Поезд связана с сущностью RFID-метка связью один к одному через код поезда, так как каждая метка уникальна и соответствует только одному поезду. Сущность Поезд связана с сущностью Событие прохода связью один ко многим через код поезда. Сущность RFI</w:t>
      </w:r>
      <w:r>
        <w:rPr>
          <w:highlight w:val="none"/>
        </w:rPr>
        <w:t xml:space="preserve">D-метка связана с сущностью Событие прохода связью один ко многим через код метки. Сущность Станция связана с сущностью Событие прохода связью один ко многим через код станции. Сущность Пользователь связана с сущностью Поезд связью один ко многим, с сущнос</w:t>
      </w:r>
      <w:r>
        <w:rPr>
          <w:highlight w:val="none"/>
        </w:rPr>
        <w:t xml:space="preserve">тью RFID-метка связью один ко многим и с сущностью Станция связью один ко многим через код пользователя, так как пользователь управляет справочниками поездов, меток и станций через административную панель.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таблица связей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А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Б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Смысл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— одна закреплённая 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Одна метка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 одной станции фиксируется множество событий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ведёт справочник поездов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привязывает метки к поездам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настраивает названия станций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2010240</wp:posOffset>
                </wp:positionH>
                <wp:positionV relativeFrom="paragraph">
                  <wp:posOffset>6346828</wp:posOffset>
                </wp:positionV>
                <wp:extent cx="2235075" cy="362574"/>
                <wp:effectExtent l="6350" t="6350" r="6350" b="6350"/>
                <wp:wrapTopAndBottom/>
                <wp:docPr id="31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23507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-диаграмма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0" o:spid="_x0000_s30" o:spt="202" type="#_x0000_t202" style="position:absolute;z-index:251706368;o:allowoverlap:true;o:allowincell:true;mso-position-horizontal-relative:margin;margin-left:158.29pt;mso-position-horizontal:absolute;mso-position-vertical-relative:text;margin-top:499.75pt;mso-position-vertical:absolute;width:175.9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E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-диаграмма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0208" behindDoc="0" locked="0" layoutInCell="1" allowOverlap="1">
                <wp:simplePos x="0" y="0"/>
                <wp:positionH relativeFrom="column">
                  <wp:posOffset>543819</wp:posOffset>
                </wp:positionH>
                <wp:positionV relativeFrom="paragraph">
                  <wp:posOffset>-219075</wp:posOffset>
                </wp:positionV>
                <wp:extent cx="4815921" cy="6259224"/>
                <wp:effectExtent l="0" t="0" r="0" b="0"/>
                <wp:wrapTopAndBottom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275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815920" cy="6259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1" o:spid="_x0000_s31" type="#_x0000_t75" style="position:absolute;z-index:251870208;o:allowoverlap:true;o:allowincell:true;mso-position-horizontal-relative:text;margin-left:42.82pt;mso-position-horizontal:absolute;mso-position-vertical-relative:text;margin-top:-17.25pt;mso-position-vertical:absolute;width:379.21pt;height:492.8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80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27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3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108</cp:revision>
  <dcterms:created xsi:type="dcterms:W3CDTF">2026-05-16T09:30:00Z</dcterms:created>
  <dcterms:modified xsi:type="dcterms:W3CDTF">2026-06-18T08:52:58Z</dcterms:modified>
</cp:coreProperties>
</file>