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5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19</w:t>
              <w:fldChar w:fldCharType="end"/>
            </w:r>
          </w:hyperlink>
          <w:r/>
          <w:r/>
        </w:p>
        <w:p>
          <w:r>
            <w:rPr>
              <w:rFonts w:asciiTheme="minorHAnsi" w:hAnsiTheme="minorHAnsi" w:eastAsiaTheme="minorEastAsia"/>
              <w:sz w:val="22"/>
              <w:lang w:eastAsia="ru-RU"/>
            </w:rPr>
          </w:r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  <w:t xml:space="preserve">2.2 Составление Канбан-доски</w:t>
      </w:r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708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g</w:t>
      </w:r>
      <w:r>
        <w:t xml:space="preserve">j</w:t>
      </w:r>
      <w:r>
        <w:t xml:space="preserve">g</w:t>
      </w:r>
      <w:r>
        <w:t xml:space="preserve">j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Сервер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/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АРМ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</w:p>
    <w:p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Серверное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MQTT-брокер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RFID-антенна,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526636</wp:posOffset>
                </wp:positionH>
                <wp:positionV relativeFrom="paragraph">
                  <wp:posOffset>2717329</wp:posOffset>
                </wp:positionV>
                <wp:extent cx="4906202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906202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41.47pt;mso-position-horizontal:absolute;mso-position-vertical-relative:text;margin-top:213.96pt;mso-position-vertical:absolute;width:386.3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0" w:name="_Toc10"/>
      <w:r>
        <w:t xml:space="preserve">З</w:t>
      </w:r>
      <w:r>
        <w:t xml:space="preserve">АКЛЮЧЕНИЕ</w:t>
      </w:r>
      <w:bookmarkEnd w:id="10"/>
      <w:r/>
      <w:r/>
    </w:p>
    <w:p>
      <w:r>
        <w:br w:type="page" w:clear="all"/>
      </w:r>
      <w:r/>
    </w:p>
    <w:p>
      <w:pPr>
        <w:pStyle w:val="880"/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w:t xml:space="preserve">ПРИЛОЖЕНИЕ А</w:t>
      </w:r>
      <w:bookmarkEnd w:id="11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>
        <w:t xml:space="preserve">ПРИЛОЖЕНИЕ Б</w:t>
      </w:r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106</cp:revision>
  <dcterms:created xsi:type="dcterms:W3CDTF">2026-05-16T09:30:00Z</dcterms:created>
  <dcterms:modified xsi:type="dcterms:W3CDTF">2026-06-17T12:04:34Z</dcterms:modified>
</cp:coreProperties>
</file>