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1)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 системе выделены два основных актера (пользователя), взаимодействующих с ней: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Диспетчер —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дежурный по станции, который через автоматизированное рабочее место (АРМ) получает информацию о прибытии поездов, контролирует события и при необходимости просматривает историю.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1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Администратор — инженер службы подвижного состава или системный администратор, который управляет справочной информацией (поезда, RFID-метки, станции) и настраивает системные параметры (MQTT-подключение)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 системе реализованы следующие варианты использования: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афиксировать прибытие поезда. Система автоматически получает данные о поезде через MQTT от RFID-антенны, определяет его номер, фиксирует время и станцию, отображает информацию на экране диспетчера со звуковым и визуальным оповещением. Диспетчер наблюдает 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 этим процессом.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Зафиксировать ошибку идентификации. При получении неизвестного идентификатора RFID-метки система создаёт запись об ошибке, отображает красную строку на экране диспетчера и подаёт двухтональный звуковой сигнал. Диспетчер наблюдает за этим процессом.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Просмотреть журнал событий. Пользователь может просматривать список всех зафиксированных событий (прибытий и ошибок) за смену или любой период, фильтровать по станции, дате или номеру поезда. Этот вариант доступен как диспетчеру, так и администратору.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Экспортировать данные для анализа. Администратор может выгрузить журнал событий в формате CSV или Excel для построения отчётов, графиков и анализа соблюдения графика движения.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Управление справочником поездов. Администратор может добавлять, редактировать и удалять записи о поездах: номер, модель, депо приписки, а также привязывать к ним RFID-метки.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Управление станциями. Администратор может добавлять, редактировать и удалять названия станций, на которых установлены считывающие устройства.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pStyle w:val="622"/>
        <w:numPr>
          <w:ilvl w:val="0"/>
          <w:numId w:val="2"/>
        </w:num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Настройка MQTT-подключения. Администратор настраивает параметры подключения к MQTT-брокеру: адрес сервера, порт, топики, уровень качества обслуживания (QoS), учётные данные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 диаграмме присутствуют следующие отношения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тношение включения (include): «Управление станциями» включает «Настройка MQTT-подключения». Это означает, что при управлении станциями администратору может потребоваться настройка MQTT-параметров для корректного приёма данных с антенны на новой станции. 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стройка MQTT является обязательной частью процесса подключения новой станции.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тношение расширения (extend): «Зафиксировать ошибку идентификации» расширяет «Зафиксировать прибытие поезда». Ошибка идентификации является особым случаем процесса фиксации прибытия. Если в базе данных не найден поезд с полученным идентификатором RFID-метк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и, система переходит в сценарий ошибки. Этот сценарий выполняется только при условии, что идентификация не удалась.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Отношение расширения (extend): 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RFID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» расширяет «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MQTT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».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MQTT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Диаграмма вариантов использования отражает функциональные границы системы и взаимодействие с пользователями.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се варианты использования, инициируемые человеком, предполагают предварительную авторизацию в системе, что на диаграмме не показано для упрощения, но подразумевается архитектурой системы. Взаимодействие между компонентами системы осуществляется по двум про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токолам: MQTT (между RFID-антенной и сервером) и HTTPS (между сервером и АРМ диспетчера), что обеспечивает надёжность и безопасность передачи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38464" behindDoc="0" locked="0" layoutInCell="1" allowOverlap="1">
                <wp:simplePos x="0" y="0"/>
                <wp:positionH relativeFrom="column">
                  <wp:posOffset>-366543</wp:posOffset>
                </wp:positionH>
                <wp:positionV relativeFrom="paragraph">
                  <wp:posOffset>-539115</wp:posOffset>
                </wp:positionV>
                <wp:extent cx="6557597" cy="4421455"/>
                <wp:effectExtent l="0" t="0" r="0" b="0"/>
                <wp:wrapTopAndBottom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849618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6557595" cy="442145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position:absolute;z-index:251838464;o:allowoverlap:true;o:allowincell:true;mso-position-horizontal-relative:text;margin-left:-28.86pt;mso-position-horizontal:absolute;mso-position-vertical-relative:text;margin-top:-42.45pt;mso-position-vertical:absolute;width:516.35pt;height:348.1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0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1682795</wp:posOffset>
                </wp:positionH>
                <wp:positionV relativeFrom="paragraph">
                  <wp:posOffset>3932530</wp:posOffset>
                </wp:positionV>
                <wp:extent cx="3049471" cy="362574"/>
                <wp:effectExtent l="0" t="0" r="0" b="0"/>
                <wp:wrapTopAndBottom/>
                <wp:docPr id="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49470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1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использования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" o:spid="_x0000_s1" o:spt="202" type="#_x0000_t202" style="position:absolute;z-index:251706368;o:allowoverlap:true;o:allowincell:true;mso-position-horizontal-relative:margin;margin-left:132.50pt;mso-position-horizontal:absolute;mso-position-vertical-relative:text;margin-top:309.65pt;mso-position-vertical:absolute;width:240.12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1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использования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2)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Диаграмма классов отражает статическую структуру системы  и является основой для проектирования базы данных и архитектуры приложения. В системе выделены основные классы, отражающие ключевые сущности предметной области, а также иерархия пользовате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лей с использованием обобщения.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Класс «Поезд» хранит информацию о подвижном составе метрополитена и содержит следующие атрибуты: номер маршрута, количество вагонов в составе, пункт отправки и пункт конечного прибытия. Эти данные позволяю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 идентифицировать каждый состав и отслеживать его маршрут.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Класс «Станция» содержит информацию о станциях метрополитена, на которых установлено считывающее оборудование. Его атрибутами являются название станции (уникальное наименование) и линия, к которой относится станция.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ля хранения информации об RFID-метках, закреплённых на поездах, предназначен класс «RFID-метка». Он содержит уникальный код метки (tag_id), дату привязки к поезду и статус активности. Метка может находиться в состоянии «активна» или «неактивна», что опреде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ляется с помощью перечисления «Доступность», содержащего значения «доступна» и «недоступна».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ерархия пользователей построена с использованием отношения обобщения. Абстрактный класс «Пользователь» является базовым и содержит общие для всех пользователей атрибуты: логин и пароль (хранящийся в зашифрованном виде), а также общие операции: просмотр дан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ных, экспорт данных и начало ручного управления системой. От него наследуются два специализированных класса: «Администратор» и «Диспетчер».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дминистратор обладает расширенными полномочиями и может выполнять следующие операции: привязывать RFID-метку к поезду, снимать метку, настраивать MQTT-подключение, а также блокировать и разблокировать пользователей системы. Диспетчер, в свою очередь, может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подтверждать ошибки идентификации и начинать мониторинг прибытия поездов.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Между классами установле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отношения. Между «Поездом» и «Станцией» существует ассоциация, отражающая тот факт, что поезда следуют по маршрутам между станциями. Между «Пользователем» и классами «Поезд» и «Станция» также установлена ассоциация, так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как пользователи системы работают с этими сущностями. Между «RFID-меткой» и «Поездом» реализована агрегация, что означает, что метка принадлежит поезду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э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щ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ж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й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з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б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Администратор и диспетчер являются обобщением класса «Пользователь», чт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 подчёркивает иерархическую структуру ролей в системе.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Таким образом, диаграмма классов полностью описывает структуру данных системы с учётом ролевого разделения пользователей и их функциональных возможностей, что соответствует требованиям технического задания.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37440" behindDoc="0" locked="0" layoutInCell="1" allowOverlap="1">
                <wp:simplePos x="0" y="0"/>
                <wp:positionH relativeFrom="column">
                  <wp:posOffset>-123825</wp:posOffset>
                </wp:positionH>
                <wp:positionV relativeFrom="paragraph">
                  <wp:posOffset>85725</wp:posOffset>
                </wp:positionV>
                <wp:extent cx="5940425" cy="6336453"/>
                <wp:effectExtent l="0" t="0" r="0" b="0"/>
                <wp:wrapTopAndBottom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777539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3" cy="63364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position:absolute;z-index:251837440;o:allowoverlap:true;o:allowincell:true;mso-position-horizontal-relative:text;margin-left:-9.75pt;mso-position-horizontal:absolute;mso-position-vertical-relative:text;margin-top:6.75pt;mso-position-vertical:absolute;width:467.75pt;height:498.93pt;mso-wrap-distance-left:9.07pt;mso-wrap-distance-top:0.00pt;mso-wrap-distance-right:9.07pt;mso-wrap-distance-bottom:0.00pt;" stroked="false">
                <v:path textboxrect="0,0,0,0"/>
                <w10:wrap type="topAndBottom"/>
                <v:imagedata r:id="rId11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1756031</wp:posOffset>
                </wp:positionH>
                <wp:positionV relativeFrom="paragraph">
                  <wp:posOffset>6509073</wp:posOffset>
                </wp:positionV>
                <wp:extent cx="2542663" cy="362574"/>
                <wp:effectExtent l="6350" t="6350" r="6350" b="6350"/>
                <wp:wrapTopAndBottom/>
                <wp:docPr id="4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2542660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2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классов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3" o:spid="_x0000_s3" o:spt="202" type="#_x0000_t202" style="position:absolute;z-index:251706368;o:allowoverlap:true;o:allowincell:true;mso-position-horizontal-relative:margin;margin-left:138.27pt;mso-position-horizontal:absolute;mso-position-vertical-relative:text;margin-top:512.53pt;mso-position-vertical:absolute;width:200.21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2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классов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3)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м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я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ь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Диаграмма деятельности отражает процесс обработки данных в системе от момента считывания RFID-метки до отображения информации на экране диспетчера.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Процесс начинается со считывания метки антенной, установленной в тоннеле перед станцией. Считанный номер метки передаётся в систему. Далее система выполняет поиск полученной метки в базе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На этом этапе происходит ветвление в зависимости от результата поиска.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Если метка найдена, система фиксирует прибытие поезда в журнале и отправляет номер поезда на АРМ диспетчера. На экране отображается номер поезда, после чего подаётся звуковой сигнал.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Если метка не найдена, система фиксирует ошибку в журнале и отправляет сообщение об ошибке на АРМ. На экране отображается сообщение об ошибке, после чего также подаётся звуковой сигнал.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Таким образом, диаграмма наглядно демонстрирует полный цикл обработки данных: от физического считывания метки в тоннеле до визуального и звукового оповещения диспетчера, включая идентификацию поезда и обработку ошибочных ситуаций.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44608" behindDoc="0" locked="0" layoutInCell="1" allowOverlap="1">
                <wp:simplePos x="0" y="0"/>
                <wp:positionH relativeFrom="column">
                  <wp:posOffset>659130</wp:posOffset>
                </wp:positionH>
                <wp:positionV relativeFrom="paragraph">
                  <wp:posOffset>-400050</wp:posOffset>
                </wp:positionV>
                <wp:extent cx="4581525" cy="7267575"/>
                <wp:effectExtent l="0" t="0" r="0" b="0"/>
                <wp:wrapTopAndBottom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5313149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4581523" cy="72675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position:absolute;z-index:251844608;o:allowoverlap:true;o:allowincell:true;mso-position-horizontal-relative:text;margin-left:51.90pt;mso-position-horizontal:absolute;mso-position-vertical-relative:text;margin-top:-31.50pt;mso-position-vertical:absolute;width:360.75pt;height:572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2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1660781</wp:posOffset>
                </wp:positionH>
                <wp:positionV relativeFrom="paragraph">
                  <wp:posOffset>6960845</wp:posOffset>
                </wp:positionV>
                <wp:extent cx="3032209" cy="362574"/>
                <wp:effectExtent l="6350" t="6350" r="6350" b="6350"/>
                <wp:wrapTopAndBottom/>
                <wp:docPr id="6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32208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деятельности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5" o:spid="_x0000_s5" o:spt="202" type="#_x0000_t202" style="position:absolute;z-index:251706368;o:allowoverlap:true;o:allowincell:true;mso-position-horizontal-relative:margin;margin-left:130.77pt;mso-position-horizontal:absolute;mso-position-vertical-relative:text;margin-top:548.10pt;mso-position-vertical:absolute;width:238.76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3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деятельности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  <w:t xml:space="preserve">4) Диаграмма состояния.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ru-RU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Описание диаграммы состояний объекта «Поезд»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Диаграмма состояний отражает жизненный цикл объекта «Поезд» в системе — от момента добавления в систему до снятия RFID-метки. На диаграмме выделены шесть основных состояний, отражающих все этапы эксплуатации подвижного состава.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ервоначально поезд попадает в систему в состоянии «Добавлен». В этом состоянии поезд внесён в справочник, но RFID-метка ещё не привязана. При входе в это состояние выполняется действие «метка присвоена», означающее, что администратор назначил конкретную ме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тку данному поезду. После подтверждения присвоения метки поезд переходит в состояние «Активен».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состоянии «Активен» поезд готов к работе: метка активна и зафиксирован старт работы. Из этого состояния поезд может выйти на линию, получив разрешение на отправку. При этом он переходит в состояние «В движении», где выполняется действие «движение по станц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иям» — поезд следует по маршруту между станциями. 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ри прибытии поезда на станцию система автоматически считывает RFID-метку, и при выходе из состояния фиксируется прибытие. На станции поезд может получить разрешение на отправку и снова перейти в состояние «В движении», продолжив маршрут, либо завершить мар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шрут и отправиться в депо.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Состояние «В депо» означает, что поезд завершил маршрут и находится в депо. При входе в это состояние фиксируется прибытие в депо.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«Снятие метки», которое означает, что RFID-метка снята с поезда. Это может произойти при переформировании состава, замене оборудования и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ли окончательном выводе поезда из эксплуатации. Из состояния «Снятие метки» переход в другие состояния невозможен, что делает его терминальным для данного объекта.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ind w:left="0"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Таким образом, диаграмма наглядно показывает все возможные состояния поезда и правила переход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  <w:t xml:space="preserve">ов между ними, что позволяет корректно моделировать жизненный цикл подвижного состава и учитывать все сценарии работы системы.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  <w:lang w:val="en-US"/>
        </w:rPr>
      </w:r>
    </w:p>
    <w:p>
      <w:pPr>
        <w:pStyle w:val="14"/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48704" behindDoc="0" locked="0" layoutInCell="1" allowOverlap="1">
                <wp:simplePos x="0" y="0"/>
                <wp:positionH relativeFrom="column">
                  <wp:posOffset>1027112</wp:posOffset>
                </wp:positionH>
                <wp:positionV relativeFrom="paragraph">
                  <wp:posOffset>-352425</wp:posOffset>
                </wp:positionV>
                <wp:extent cx="4019550" cy="8001000"/>
                <wp:effectExtent l="0" t="0" r="0" b="0"/>
                <wp:wrapTopAndBottom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828599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4019548" cy="8001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position:absolute;z-index:251848704;o:allowoverlap:true;o:allowincell:true;mso-position-horizontal-relative:text;margin-left:80.87pt;mso-position-horizontal:absolute;mso-position-vertical-relative:text;margin-top:-27.75pt;mso-position-vertical:absolute;width:316.50pt;height:630.0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3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1536956</wp:posOffset>
                </wp:positionH>
                <wp:positionV relativeFrom="paragraph">
                  <wp:posOffset>7735545</wp:posOffset>
                </wp:positionV>
                <wp:extent cx="3317959" cy="362574"/>
                <wp:effectExtent l="6350" t="6350" r="6350" b="6350"/>
                <wp:wrapTopAndBottom/>
                <wp:docPr id="8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317958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4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состояния поезда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7" o:spid="_x0000_s7" o:spt="202" type="#_x0000_t202" style="position:absolute;z-index:251706368;o:allowoverlap:true;o:allowincell:true;mso-position-horizontal-relative:margin;margin-left:121.02pt;mso-position-horizontal:absolute;mso-position-vertical-relative:text;margin-top:609.10pt;mso-position-vertical:absolute;width:261.26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4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состояния поезда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5) Диаграмма последовательности.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Диаграмма последовательности отражает взаимодействие объектов системы во времени при обработке события прохода поезда. В диаграмме участвуют четыре объекта: RFID-антенна, MQTT-брокер, сервер с базой данных и АРМ диспетчера.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Процесс начинается с того, что RFID-антенна, установленная в тоннеле перед станцией, считывает метку с проходящего поезда. Считанный идентификатор (номер метки) передаётся в MQTT-брокер, который направляет его на сервер для обработки.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ервер выполняет поиск полученной метки в базе данных. В зависимости от результата поиска сервер отправляет на АРМ диспетчера номер поезда (при успешной идентификации). Одновременно сервер производит запись данных о событии в базу данных для ведения журнала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 проходов.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 АРМ диспетчера полученный номер поезда отображается на экране с соответствующим визуальным и звуковым оповещением. Таким образом, диаграмма последовательности наглядно показывает полный цикл обработки данных: от физического считывания метки антенной до 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тображения информации на экране диспетчера.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аким образом, диаграмма последовательности в упрощённом виде демонстрирует полный цикл обработки данных: от физического считывания метки антенной до визуального оповещения диспетчера. Взаимодействие между компонентами системы осуществляется по двум протоко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лам: MQTT (между антенной и сервером) и HTTPS (между сервером и АРМ), что обеспечивает надёжность и безопасность передачи данных.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52800" behindDoc="0" locked="0" layoutInCell="1" allowOverlap="1">
                <wp:simplePos x="0" y="0"/>
                <wp:positionH relativeFrom="column">
                  <wp:posOffset>-152400</wp:posOffset>
                </wp:positionH>
                <wp:positionV relativeFrom="paragraph">
                  <wp:posOffset>-66675</wp:posOffset>
                </wp:positionV>
                <wp:extent cx="5940425" cy="2575569"/>
                <wp:effectExtent l="0" t="0" r="0" b="0"/>
                <wp:wrapTopAndBottom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726722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940423" cy="25755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position:absolute;z-index:251852800;o:allowoverlap:true;o:allowincell:true;mso-position-horizontal-relative:text;margin-left:-12.00pt;mso-position-horizontal:absolute;mso-position-vertical-relative:text;margin-top:-5.25pt;mso-position-vertical:absolute;width:467.75pt;height:202.80pt;mso-wrap-distance-left:9.07pt;mso-wrap-distance-top:0.00pt;mso-wrap-distance-right:9.07pt;mso-wrap-distance-bottom:0.00pt;" stroked="false">
                <v:path textboxrect="0,0,0,0"/>
                <w10:wrap type="topAndBottom"/>
                <v:imagedata r:id="rId14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187665</wp:posOffset>
                </wp:positionH>
                <wp:positionV relativeFrom="paragraph">
                  <wp:posOffset>2546648</wp:posOffset>
                </wp:positionV>
                <wp:extent cx="5524500" cy="362574"/>
                <wp:effectExtent l="6350" t="6350" r="6350" b="6350"/>
                <wp:wrapTopAndBottom/>
                <wp:docPr id="10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524498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5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последовательности считывания номера поезда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9" o:spid="_x0000_s9" o:spt="202" type="#_x0000_t202" style="position:absolute;z-index:251706368;o:allowoverlap:true;o:allowincell:true;mso-position-horizontal-relative:margin;margin-left:14.78pt;mso-position-horizontal:absolute;mso-position-vertical-relative:text;margin-top:200.52pt;mso-position-vertical:absolute;width:435.00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5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последовательности считывания номера поезда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6) Диаграмма коммуникации.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Диаграмма коммуникации отражает структурные связи между объектами системы и порядок обмена сообщениями при обработке события прохода поезда. В диаграмме участвуют четыре объекта: RFID-антенна, MQTT-брокер, сервер с базой данных и АРМ диспетчера.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Процесс начинается с того, что RFID-антенна, установленная в тоннеле, считывает метку с проходящего поезда и передаёт считанный идентификатор в MQTT-брокер (шаг 1 «Считать метку»). MQTT-брокер, выступая в роли посредника, перенаправляет получ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енный номер метки на сервер для дальнейшей обработки (шаг 2 «Передать номер метки»).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ервер принимает данные и выполняет необходимые операции: идентифицирует поезд по полученному номеру метки, фиксирует событие прибытия и сохраняет информацию в базе данных (шаг 3 «Записать данные»). После обработки сервер передаёт результат на АРМ диспетчер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 для визуализации.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аким образом, диаграмма коммуникации наглядно показывает все связи между компонентами системы и последовательность передачи данных. Взаимодействие между компонентами осуществляется по двум протоколам: MQTT (между антенной и сервером) и HTTPS (между серверо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м и АРМ), что обеспечивает надёжность и безопасность информационного обмена.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436540</wp:posOffset>
                </wp:positionH>
                <wp:positionV relativeFrom="paragraph">
                  <wp:posOffset>4069767</wp:posOffset>
                </wp:positionV>
                <wp:extent cx="5204800" cy="362574"/>
                <wp:effectExtent l="6350" t="6350" r="6350" b="6350"/>
                <wp:wrapTopAndBottom/>
                <wp:docPr id="11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5204799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13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коммуникации считывания номера поезда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0" o:spid="_x0000_s10" o:spt="202" type="#_x0000_t202" style="position:absolute;z-index:251706368;o:allowoverlap:true;o:allowincell:true;mso-position-horizontal-relative:margin;margin-left:34.37pt;mso-position-horizontal:absolute;mso-position-vertical-relative:text;margin-top:320.45pt;mso-position-vertical:absolute;width:409.83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13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коммуникации считывания номера поезда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56896" behindDoc="0" locked="0" layoutInCell="1" allowOverlap="1">
                <wp:simplePos x="0" y="0"/>
                <wp:positionH relativeFrom="column">
                  <wp:posOffset>259715</wp:posOffset>
                </wp:positionH>
                <wp:positionV relativeFrom="paragraph">
                  <wp:posOffset>2592</wp:posOffset>
                </wp:positionV>
                <wp:extent cx="5457825" cy="4010025"/>
                <wp:effectExtent l="0" t="0" r="0" b="0"/>
                <wp:wrapTopAndBottom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0123805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57823" cy="401002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position:absolute;z-index:251856896;o:allowoverlap:true;o:allowincell:true;mso-position-horizontal-relative:text;margin-left:20.45pt;mso-position-horizontal:absolute;mso-position-vertical-relative:text;margin-top:0.20pt;mso-position-vertical:absolute;width:429.75pt;height:315.7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5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7) Диаграмма компонентов.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Диаграмма компонентов отражает архитектуру системы на уровне крупных программных модулей и их взаимодействия. В системе выделены пять основных компонентов, связанных через стандартные интерфейсы.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РМ диспетчера представляет собой веб-интерфейс, работающий в браузере на рабочем компьютере дежурного по станции. Он взаимодействует с серверным приложением по протоколу HTTPS, который обеспечивает защищённую передачу данных. Через этот канал АРМ получает 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информацию о прибывающих поездах для отображения на экране.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ерверное приложение реализовано на Django и является центральным элементом системы. Оно принимает данные от MQTT-брокера, обрабатывает их, выполняет идентификацию поездов по RFID-меткам и сохраняет события в базе данных. Для работы с хранилищем сервер испо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льзует интерфейс ORM (объектно-реляционное отображение), который автоматически преобразует Python-объекты в SQL-запросы.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База данных хранит справочники поездов, RFID-меток и станций, а также журнал событий проходов. Она предоставляет интерфейс ORM для серверного приложения, обеспечивая надёжное и структурированное хранение всех данных системы.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M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QTT-брокер выступает в роли посредника для передачи сообщений между RFID-антенной и серверным приложением. Он принимает данные от антенны по протоколу MQTT и передаёт их серверу, который подписан на соответствующие топики. Это обеспечивает асинхронную и на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дёжную доставку данных даже при нестабильной сети.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R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FID-антенна, установленная в тоннеле перед станцией, считывает RFID-метки с проходящих поездов. Каждая метка закреплена на конкретном поезде и хранит уникальный идентификатор (tag_id). Антенна передаёт считанный код в MQTT-брокер по протоколу MQTT, инициир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уя тем самым процесс обработки события.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аким образом, диаграмма компонентов наглядно показывает все связи между компонентами системы и используемые протоколы. Взаимодействие строится на трёх основных интерфейсах: MQTT (между антенной и брокером, а также между брокером и сервером), ORM (между сер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вером и базой данных) и HTTPS (между сервером и АРМ диспетчера). Это обеспечивает надёжность, масштабируемость и безопасность системы.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pStyle w:val="14"/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60992" behindDoc="0" locked="0" layoutInCell="1" allowOverlap="1">
                <wp:simplePos x="0" y="0"/>
                <wp:positionH relativeFrom="column">
                  <wp:posOffset>-66675</wp:posOffset>
                </wp:positionH>
                <wp:positionV relativeFrom="paragraph">
                  <wp:posOffset>-142875</wp:posOffset>
                </wp:positionV>
                <wp:extent cx="5940425" cy="2860204"/>
                <wp:effectExtent l="0" t="0" r="0" b="0"/>
                <wp:wrapTopAndBottom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62699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3" cy="286020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position:absolute;z-index:251860992;o:allowoverlap:true;o:allowincell:true;mso-position-horizontal-relative:text;margin-left:-5.25pt;mso-position-horizontal:absolute;mso-position-vertical-relative:text;margin-top:-11.25pt;mso-position-vertical:absolute;width:467.75pt;height:225.21pt;mso-wrap-distance-left:9.07pt;mso-wrap-distance-top:0.00pt;mso-wrap-distance-right:9.07pt;mso-wrap-distance-bottom:0.00pt;" stroked="false">
                <v:path textboxrect="0,0,0,0"/>
                <w10:wrap type="topAndBottom"/>
                <v:imagedata r:id="rId16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1583911</wp:posOffset>
                </wp:positionH>
                <wp:positionV relativeFrom="paragraph">
                  <wp:posOffset>2669705</wp:posOffset>
                </wp:positionV>
                <wp:extent cx="3080503" cy="362574"/>
                <wp:effectExtent l="6350" t="6350" r="6350" b="6350"/>
                <wp:wrapTopAndBottom/>
                <wp:docPr id="14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80502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tabs>
                                <w:tab w:val="left" w:pos="6254" w:leader="none"/>
                              </w:tabs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7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компонентов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3" o:spid="_x0000_s13" o:spt="202" type="#_x0000_t202" style="position:absolute;z-index:251706368;o:allowoverlap:true;o:allowincell:true;mso-position-horizontal-relative:margin;margin-left:124.72pt;mso-position-horizontal:absolute;mso-position-vertical-relative:text;margin-top:210.21pt;mso-position-vertical:absolute;width:242.56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tabs>
                          <w:tab w:val="left" w:pos="6254" w:leader="none"/>
                        </w:tabs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7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компонентов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  <w:t xml:space="preserve">8) Диаграмма развёртывания.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Диаграмма компонентов отражает архитектуру системы и разделяет её на три логических уровня: внешние сервисы, серверная часть и клиентская часть. Каждый уровень содержит компоненты, выполняющие строго определённые функции, и взаимодействует с дру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гими уровнями через стандартные протоколы и интерфейсы.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нешние сервисы представлены компонентом «RFID-антенна», который является физическим устройством, установленным в тоннеле перед станцией. Антенна считывает RFID-метки с проходящих поездов и передаёт полученные идентификаторы в серверную часть системы. Кажда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я метка закреплена на конкретном поезде и хранит уникальный код (tag_id), обеспечивающий идентификацию подвижного состава.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С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ерверная часть включает три основных компонента: MQTT-брокер, Django-приложение и базу данных. MQTT-брокер выступает в роли посредника для передачи сообщений: он принимает данные от RFID-антенны по протоколу MQTT и передаёт их Django-приложению, которое по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д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писано на соответствующие топики. Django-приложение является центральным элементом системы, реализующим всю бизнес-логику: оно обрабатывает полученные данные, идентифицирует поезда по RFID-меткам, фиксирует события прибытия и управляет справочниками. Для х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ранения данных Django-приложение взаимодействует с базой данных через ORM (объектно-реляционное отображение). База данных хранит справочники поездов, RFID-меток и станций, а также журнал событий проходов.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К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лиентская часть представлена компонентом «АРМ диспетчера», который представляет собой веб-интерфейс, открытый в браузере на рабочем компьютере дежурного по станции. Он взаимодействует с серверной частью по протоколу HTTPS, получая от неё информацию о прибы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вающих поездах в формате JSON для отображения на экране с визуальным и звуковым оповещением.</w: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highlight w:val="none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аким образом, диаграмма компонентов наглядно показывает трёхуровневую архитектуру системы, распределение функциональности по компонентам и способы их взаимодействия. Внешние сервисы обеспечивают сбор данных, серверная часть — их обработку и хранение, клиен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  <w:t xml:space="preserve">тская часть — представление информации пользователю. Взаимодействие между уровнями строится на стандартных протоколах: MQTT (между антенной и сервером) и HTTPS (между сервером и АРМ), что обеспечивает надёжность, масштабируемость и безопасность системы.</w:t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706368" behindDoc="0" locked="0" layoutInCell="1" allowOverlap="1">
                <wp:simplePos x="0" y="0"/>
                <wp:positionH relativeFrom="margin">
                  <wp:posOffset>1524465</wp:posOffset>
                </wp:positionH>
                <wp:positionV relativeFrom="paragraph">
                  <wp:posOffset>6886121</wp:posOffset>
                </wp:positionV>
                <wp:extent cx="3035175" cy="362574"/>
                <wp:effectExtent l="6350" t="6350" r="6350" b="6350"/>
                <wp:wrapTopAndBottom/>
                <wp:docPr id="15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 txBox="1"/>
                      <wps:spPr bwMode="auto">
                        <a:xfrm rot="0" flipH="0" flipV="0">
                          <a:off x="0" y="0"/>
                          <a:ext cx="3035174" cy="362574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47"/>
                              <w:ind w:firstLine="0"/>
                              <w:spacing w:line="240" w:lineRule="auto"/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8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диаграмма развёртывания</w:t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eastAsia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  <w:r>
                              <w:rPr>
                                <w:rFonts w:ascii="Times New Roman" w:hAnsi="Times New Roman"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36000" rIns="36000" bIns="36000" numCol="1" spcCol="0" rtlCol="0" fromWordArt="0" anchor="t" anchorCtr="0" forceAA="0" compatLnSpc="1">
                        <a:prstTxWarp prst="textNoShape"/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14" o:spid="_x0000_s14" o:spt="202" type="#_x0000_t202" style="position:absolute;z-index:251706368;o:allowoverlap:true;o:allowincell:true;mso-position-horizontal-relative:margin;margin-left:120.04pt;mso-position-horizontal:absolute;mso-position-vertical-relative:text;margin-top:542.21pt;mso-position-vertical:absolute;width:238.99pt;height:28.55pt;mso-wrap-distance-left:9.00pt;mso-wrap-distance-top:0.00pt;mso-wrap-distance-right:9.00pt;mso-wrap-distance-bottom:0.00pt;rotation:0;v-text-anchor:top;visibility:visible;" fillcolor="#FFFFFF" stroked="f">
                <w10:wrap type="topAndBottom"/>
                <v:textbox inset="0,0,0,0">
                  <w:txbxContent>
                    <w:p>
                      <w:pPr>
                        <w:pStyle w:val="47"/>
                        <w:ind w:firstLine="0"/>
                        <w:spacing w:line="240" w:lineRule="auto"/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8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диаграмма развёртывания</w:t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eastAsia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  <w:r>
                        <w:rPr>
                          <w:rFonts w:ascii="Times New Roman" w:hAnsi="Times New Roman"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251866112" behindDoc="0" locked="0" layoutInCell="1" allowOverlap="1">
                <wp:simplePos x="0" y="0"/>
                <wp:positionH relativeFrom="column">
                  <wp:posOffset>640715</wp:posOffset>
                </wp:positionH>
                <wp:positionV relativeFrom="paragraph">
                  <wp:posOffset>-415290</wp:posOffset>
                </wp:positionV>
                <wp:extent cx="4514850" cy="7229475"/>
                <wp:effectExtent l="0" t="0" r="0" b="0"/>
                <wp:wrapTopAndBottom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9435937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4514850" cy="72294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position:absolute;z-index:251866112;o:allowoverlap:true;o:allowincell:true;mso-position-horizontal-relative:text;margin-left:50.45pt;mso-position-horizontal:absolute;mso-position-vertical-relative:text;margin-top:-32.70pt;mso-position-vertical:absolute;width:355.50pt;height:569.25pt;mso-wrap-distance-left:9.07pt;mso-wrap-distance-top:0.00pt;mso-wrap-distance-right:9.07pt;mso-wrap-distance-bottom:0.00pt;" stroked="false">
                <v:path textboxrect="0,0,0,0"/>
                <w10:wrap type="topAndBottom"/>
                <v:imagedata r:id="rId17" o:title="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p>
      <w:pPr>
        <w:ind w:firstLine="709"/>
        <w:spacing w:before="0" w:beforeAutospacing="0" w:after="0" w:afterAutospacing="0" w:line="360" w:lineRule="auto"/>
        <w:rPr>
          <w:rFonts w:ascii="Times New Roman" w:hAnsi="Times New Roman" w:cs="Times New Roman"/>
          <w:sz w:val="28"/>
          <w:szCs w:val="28"/>
        </w:rPr>
        <w:suppressLineNumbers w:val="0"/>
      </w:pP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  <w:r>
        <w:rPr>
          <w:rFonts w:ascii="Times New Roman" w:hAnsi="Times New Roman" w:eastAsia="Times New Roman" w:cs="Times New Roman"/>
          <w:sz w:val="28"/>
          <w:szCs w:val="28"/>
        </w:rPr>
      </w:r>
    </w:p>
    <w:sectPr>
      <w:headerReference w:type="default" r:id="rId9"/>
      <w:footnotePr/>
      <w:endnotePr/>
      <w:type w:val="nextPage"/>
      <w:pgSz w:w="11906" w:h="16838" w:orient="portrait"/>
      <w:pgMar w:top="1134" w:right="850" w:bottom="1134" w:left="1701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/>
      <w:r>
        <w:separator/>
      </w:r>
      <w:r/>
    </w:p>
  </w:endnote>
  <w:endnote w:type="continuationSeparator" w:id="0">
    <w:p>
      <w:pPr>
        <w:spacing w:after="0" w:line="240" w:lineRule="auto"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50102010706020507"/>
  </w:font>
  <w:font w:name="Courier New">
    <w:panose1 w:val="02070309020205020404"/>
  </w:font>
  <w:font w:name="Arial">
    <w:panose1 w:val="020B0604020202020204"/>
  </w:font>
  <w:font w:name="Wingdings">
    <w:panose1 w:val="05000000000000000000"/>
  </w:font>
  <w:font w:name="Liberation Sans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/>
      <w:r>
        <w:separator/>
      </w:r>
      <w:r/>
    </w:p>
  </w:footnote>
  <w:footnote w:type="continuationSeparator" w:id="0">
    <w:p>
      <w:pPr>
        <w:spacing w:after="0" w:line="240" w:lineRule="auto"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43"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–"/>
      <w:lvlJc w:val="left"/>
      <w:pPr>
        <w:ind w:left="720" w:hanging="360"/>
      </w:pPr>
      <w:rPr>
        <w:rFonts w:ascii="Arial" w:hAnsi="Arial" w:eastAsia="Arial" w:cs="Aria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eastAsia="Courier New" w:cs="Courier New"/>
      </w:rPr>
    </w:lvl>
    <w:lvl w:ilvl="2">
      <w:start w:val="1"/>
      <w:numFmt w:val="bullet"/>
      <w:isLgl w:val="false"/>
      <w:suff w:val="tab"/>
      <w:lvlText w:val="§"/>
      <w:lvlJc w:val="left"/>
      <w:pPr>
        <w:ind w:left="2160" w:hanging="360"/>
      </w:pPr>
      <w:rPr>
        <w:rFonts w:hint="default" w:ascii="Wingdings" w:hAnsi="Wingdings" w:eastAsia="Wingdings" w:cs="Wingdings"/>
      </w:rPr>
    </w:lvl>
    <w:lvl w:ilvl="3">
      <w:start w:val="1"/>
      <w:numFmt w:val="bullet"/>
      <w:isLgl w:val="false"/>
      <w:suff w:val="tab"/>
      <w:lvlText w:val="·"/>
      <w:lvlJc w:val="left"/>
      <w:pPr>
        <w:ind w:left="2880" w:hanging="360"/>
      </w:pPr>
      <w:rPr>
        <w:rFonts w:hint="default" w:ascii="Symbol" w:hAnsi="Symbol" w:eastAsia="Symbol" w:cs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eastAsia="Courier New" w:cs="Courier New"/>
      </w:rPr>
    </w:lvl>
    <w:lvl w:ilvl="5">
      <w:start w:val="1"/>
      <w:numFmt w:val="bullet"/>
      <w:isLgl w:val="false"/>
      <w:suff w:val="tab"/>
      <w:lvlText w:val="§"/>
      <w:lvlJc w:val="left"/>
      <w:pPr>
        <w:ind w:left="4320" w:hanging="360"/>
      </w:pPr>
      <w:rPr>
        <w:rFonts w:hint="default" w:ascii="Wingdings" w:hAnsi="Wingdings" w:eastAsia="Wingdings" w:cs="Wingdings"/>
      </w:rPr>
    </w:lvl>
    <w:lvl w:ilvl="6">
      <w:start w:val="1"/>
      <w:numFmt w:val="bullet"/>
      <w:isLgl w:val="false"/>
      <w:suff w:val="tab"/>
      <w:lvlText w:val="·"/>
      <w:lvlJc w:val="left"/>
      <w:pPr>
        <w:ind w:left="5040" w:hanging="360"/>
      </w:pPr>
      <w:rPr>
        <w:rFonts w:hint="default" w:ascii="Symbol" w:hAnsi="Symbol" w:eastAsia="Symbol" w:cs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eastAsia="Courier New" w:cs="Courier New"/>
      </w:rPr>
    </w:lvl>
    <w:lvl w:ilvl="8">
      <w:start w:val="1"/>
      <w:numFmt w:val="bullet"/>
      <w:isLgl w:val="false"/>
      <w:suff w:val="tab"/>
      <w:lvlText w:val="§"/>
      <w:lvlJc w:val="left"/>
      <w:pPr>
        <w:ind w:left="6480" w:hanging="360"/>
      </w:pPr>
      <w:rPr>
        <w:rFonts w:hint="default"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14">
    <w:name w:val="Heading 1"/>
    <w:basedOn w:val="618"/>
    <w:next w:val="618"/>
    <w:link w:val="15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character" w:styleId="15">
    <w:name w:val="Heading 1 Char"/>
    <w:basedOn w:val="12"/>
    <w:link w:val="14"/>
    <w:uiPriority w:val="9"/>
    <w:rPr>
      <w:rFonts w:ascii="Liberation Sans" w:hAnsi="Liberation Sans" w:eastAsia="Liberation Sans" w:cs="Liberation Sans"/>
      <w:sz w:val="40"/>
      <w:szCs w:val="40"/>
    </w:rPr>
  </w:style>
  <w:style w:type="paragraph" w:styleId="16">
    <w:name w:val="Heading 2"/>
    <w:basedOn w:val="618"/>
    <w:next w:val="618"/>
    <w:link w:val="17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character" w:styleId="17">
    <w:name w:val="Heading 2 Char"/>
    <w:basedOn w:val="12"/>
    <w:link w:val="16"/>
    <w:uiPriority w:val="9"/>
    <w:rPr>
      <w:rFonts w:ascii="Liberation Sans" w:hAnsi="Liberation Sans" w:eastAsia="Liberation Sans" w:cs="Liberation Sans"/>
      <w:sz w:val="34"/>
    </w:rPr>
  </w:style>
  <w:style w:type="paragraph" w:styleId="18">
    <w:name w:val="Heading 3"/>
    <w:basedOn w:val="618"/>
    <w:next w:val="618"/>
    <w:link w:val="19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character" w:styleId="19">
    <w:name w:val="Heading 3 Char"/>
    <w:basedOn w:val="12"/>
    <w:link w:val="18"/>
    <w:uiPriority w:val="9"/>
    <w:rPr>
      <w:rFonts w:ascii="Liberation Sans" w:hAnsi="Liberation Sans" w:eastAsia="Liberation Sans" w:cs="Liberation Sans"/>
      <w:sz w:val="30"/>
      <w:szCs w:val="30"/>
    </w:rPr>
  </w:style>
  <w:style w:type="paragraph" w:styleId="20">
    <w:name w:val="Heading 4"/>
    <w:basedOn w:val="618"/>
    <w:next w:val="618"/>
    <w:link w:val="2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1">
    <w:name w:val="Heading 4 Char"/>
    <w:basedOn w:val="12"/>
    <w:link w:val="20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22">
    <w:name w:val="Heading 5"/>
    <w:basedOn w:val="618"/>
    <w:next w:val="618"/>
    <w:link w:val="23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3">
    <w:name w:val="Heading 5 Char"/>
    <w:basedOn w:val="12"/>
    <w:link w:val="22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paragraph" w:styleId="24">
    <w:name w:val="Heading 6"/>
    <w:basedOn w:val="618"/>
    <w:next w:val="618"/>
    <w:link w:val="25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5">
    <w:name w:val="Heading 6 Char"/>
    <w:basedOn w:val="12"/>
    <w:link w:val="24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26">
    <w:name w:val="Heading 7"/>
    <w:basedOn w:val="618"/>
    <w:next w:val="618"/>
    <w:link w:val="27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27">
    <w:name w:val="Heading 7 Char"/>
    <w:basedOn w:val="12"/>
    <w:link w:val="26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28">
    <w:name w:val="Heading 8"/>
    <w:basedOn w:val="618"/>
    <w:next w:val="618"/>
    <w:link w:val="29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29">
    <w:name w:val="Heading 8 Char"/>
    <w:basedOn w:val="12"/>
    <w:link w:val="28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30">
    <w:name w:val="Heading 9"/>
    <w:basedOn w:val="618"/>
    <w:next w:val="618"/>
    <w:link w:val="31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1">
    <w:name w:val="Heading 9 Char"/>
    <w:basedOn w:val="12"/>
    <w:link w:val="30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35">
    <w:name w:val="Title"/>
    <w:basedOn w:val="618"/>
    <w:next w:val="618"/>
    <w:link w:val="36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36">
    <w:name w:val="Title Char"/>
    <w:basedOn w:val="12"/>
    <w:link w:val="35"/>
    <w:uiPriority w:val="10"/>
    <w:rPr>
      <w:sz w:val="48"/>
      <w:szCs w:val="48"/>
    </w:rPr>
  </w:style>
  <w:style w:type="paragraph" w:styleId="37">
    <w:name w:val="Subtitle"/>
    <w:basedOn w:val="618"/>
    <w:next w:val="618"/>
    <w:link w:val="38"/>
    <w:uiPriority w:val="11"/>
    <w:qFormat/>
    <w:pPr>
      <w:spacing w:before="200" w:after="200"/>
    </w:pPr>
    <w:rPr>
      <w:sz w:val="24"/>
      <w:szCs w:val="24"/>
    </w:rPr>
  </w:style>
  <w:style w:type="character" w:styleId="38">
    <w:name w:val="Subtitle Char"/>
    <w:basedOn w:val="12"/>
    <w:link w:val="37"/>
    <w:uiPriority w:val="11"/>
    <w:rPr>
      <w:sz w:val="24"/>
      <w:szCs w:val="24"/>
    </w:rPr>
  </w:style>
  <w:style w:type="paragraph" w:styleId="39">
    <w:name w:val="Quote"/>
    <w:basedOn w:val="618"/>
    <w:next w:val="618"/>
    <w:link w:val="40"/>
    <w:uiPriority w:val="29"/>
    <w:qFormat/>
    <w:pPr>
      <w:ind w:left="720" w:right="720"/>
    </w:pPr>
    <w:rPr>
      <w:i/>
    </w:rPr>
  </w:style>
  <w:style w:type="character" w:styleId="40">
    <w:name w:val="Quote Char"/>
    <w:link w:val="39"/>
    <w:uiPriority w:val="29"/>
    <w:rPr>
      <w:i/>
    </w:rPr>
  </w:style>
  <w:style w:type="paragraph" w:styleId="41">
    <w:name w:val="Intense Quote"/>
    <w:basedOn w:val="618"/>
    <w:next w:val="618"/>
    <w:link w:val="42"/>
    <w:uiPriority w:val="30"/>
    <w:qFormat/>
    <w:pPr>
      <w:contextualSpacing w:val="0"/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42">
    <w:name w:val="Intense Quote Char"/>
    <w:link w:val="41"/>
    <w:uiPriority w:val="30"/>
    <w:rPr>
      <w:i/>
    </w:rPr>
  </w:style>
  <w:style w:type="paragraph" w:styleId="43">
    <w:name w:val="Header"/>
    <w:basedOn w:val="618"/>
    <w:link w:val="44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4">
    <w:name w:val="Header Char"/>
    <w:basedOn w:val="12"/>
    <w:link w:val="43"/>
    <w:uiPriority w:val="99"/>
  </w:style>
  <w:style w:type="paragraph" w:styleId="45">
    <w:name w:val="Footer"/>
    <w:basedOn w:val="618"/>
    <w:link w:val="46"/>
    <w:uiPriority w:val="99"/>
    <w:unhideWhenUsed/>
    <w:pPr>
      <w:spacing w:after="0" w:line="240" w:lineRule="auto"/>
      <w:tabs>
        <w:tab w:val="center" w:pos="7143" w:leader="none"/>
        <w:tab w:val="right" w:pos="14287" w:leader="none"/>
      </w:tabs>
    </w:pPr>
  </w:style>
  <w:style w:type="character" w:styleId="46">
    <w:name w:val="Footer Char"/>
    <w:basedOn w:val="12"/>
    <w:link w:val="45"/>
    <w:uiPriority w:val="99"/>
  </w:style>
  <w:style w:type="paragraph" w:styleId="47">
    <w:name w:val="Caption"/>
    <w:basedOn w:val="618"/>
    <w:next w:val="618"/>
    <w:link w:val="48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48">
    <w:name w:val="Caption Char"/>
    <w:basedOn w:val="12"/>
    <w:link w:val="47"/>
    <w:uiPriority w:val="35"/>
    <w:rPr>
      <w:b/>
      <w:bCs/>
      <w:color w:val="4f81bd" w:themeColor="accent1"/>
      <w:sz w:val="18"/>
      <w:szCs w:val="18"/>
    </w:rPr>
  </w:style>
  <w:style w:type="table" w:styleId="49">
    <w:name w:val="Table Grid"/>
    <w:basedOn w:val="619"/>
    <w:uiPriority w:val="59"/>
    <w:pPr>
      <w:spacing w:after="0" w:line="240" w:lineRule="auto"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0">
    <w:name w:val="Table Grid Light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1">
    <w:name w:val="Plain Table 1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2">
    <w:name w:val="Plain Table 2"/>
    <w:basedOn w:val="619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4">
    <w:name w:val="Plain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5">
    <w:name w:val="Plain Table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6">
    <w:name w:val="Grid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7">
    <w:name w:val="Grid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2">
    <w:name w:val="Grid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9">
    <w:name w:val="Grid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4" w:fill="ddebf6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6">
    <w:name w:val="Grid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78">
    <w:name w:val="Grid Table 4 - Accent 1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32" w:fill="dfebf6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themeTint="EA" w:fill="67a4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9">
    <w:name w:val="Grid Table 4 - Accent 2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80">
    <w:name w:val="Grid Table 4 - Accent 3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1">
    <w:name w:val="Grid Table 4 - Accent 4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2">
    <w:name w:val="Grid Table 4 - Accent 5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3">
    <w:name w:val="Grid Table 4 - Accent 6"/>
    <w:basedOn w:val="619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4">
    <w:name w:val="Grid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85">
    <w:name w:val="Grid Table 5 Dark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debf6" w:themeFill="accent1" w:themeFillTint="34"/>
    </w:tblPr>
    <w:tblStylePr w:type="band1Horz">
      <w:tcPr>
        <w:shd w:val="clear" w:color="ffffff" w:themeColor="accent1" w:themeTint="75" w:fill="b4d2eb" w:themeFill="accent1" w:themeFillTint="75"/>
      </w:tcPr>
    </w:tblStylePr>
    <w:tblStylePr w:type="band1Vert">
      <w:tcPr>
        <w:shd w:val="clear" w:color="ffffff" w:themeColor="accent1" w:themeTint="75" w:fill="b4d2eb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7">
    <w:name w:val="Grid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ef2cb" w:themeFill="accent4" w:themeFillTint="34"/>
    </w:tblPr>
    <w:tblStylePr w:type="band1Horz">
      <w:tcPr>
        <w:shd w:val="clear" w:color="ffffff" w:themeColor="accent4" w:themeTint="75" w:fill="fee189" w:themeFill="accent4" w:themeFillTint="75"/>
      </w:tcPr>
    </w:tblStylePr>
    <w:tblStylePr w:type="band1Vert">
      <w:tcPr>
        <w:shd w:val="clear" w:color="ffffff" w:themeColor="accent4" w:themeTint="75" w:fill="fee189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2" w:themeFill="accent5" w:themeFillTint="34"/>
    </w:tblPr>
    <w:tblStylePr w:type="band1Horz">
      <w:tcPr>
        <w:shd w:val="clear" w:color="ffffff" w:themeColor="accent5" w:themeTint="75" w:fill="aabfe3" w:themeFill="accent5" w:themeFillTint="75"/>
      </w:tcPr>
    </w:tblStylePr>
    <w:tblStylePr w:type="band1Vert">
      <w:tcPr>
        <w:shd w:val="clear" w:color="ffffff" w:themeColor="accent5" w:themeTint="75" w:fill="aabfe3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</w:style>
  <w:style w:type="table" w:styleId="90">
    <w:name w:val="Grid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91">
    <w:name w:val="Grid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2">
    <w:name w:val="Grid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404040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404040" w:themeColor="accent1" w:themeTint="80" w:themeShade="95"/>
        <w:sz w:val="22"/>
      </w:rPr>
    </w:tblStylePr>
    <w:tblStylePr w:type="firstCol">
      <w:rPr>
        <w:b/>
        <w:color w:val="317bba" w:themeColor="accent1" w:themeTint="80" w:themeShade="95"/>
      </w:rPr>
    </w:tblStylePr>
    <w:tblStylePr w:type="firstRow">
      <w:rPr>
        <w:b/>
        <w:color w:val="317bba" w:themeColor="accent1" w:themeTint="80" w:themeShade="95"/>
      </w:r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17bba" w:themeColor="accent1" w:themeTint="80" w:themeShade="95"/>
      </w:rPr>
    </w:tblStylePr>
    <w:tblStylePr w:type="lastRow">
      <w:rPr>
        <w:b/>
        <w:color w:val="317bba" w:themeColor="accent1" w:themeTint="80" w:themeShade="95"/>
      </w:rPr>
    </w:tblStylePr>
    <w:tblStylePr w:type="wholeTable">
      <w:rPr>
        <w:rFonts w:ascii="Liberation Sans" w:hAnsi="Liberation Sans"/>
        <w:color w:val="404040" w:themeColor="accent1" w:themeTint="80" w:themeShade="95"/>
        <w:sz w:val="22"/>
      </w:rPr>
    </w:tblStylePr>
  </w:style>
  <w:style w:type="table" w:styleId="93">
    <w:name w:val="Grid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</w:tblStylePr>
    <w:tblStylePr w:type="wholeTable">
      <w:rPr>
        <w:rFonts w:ascii="Liberation Sans" w:hAnsi="Liberation Sans"/>
        <w:color w:val="404040" w:themeColor="accent2" w:themeTint="97" w:themeShade="95"/>
        <w:sz w:val="22"/>
      </w:rPr>
    </w:tblStylePr>
  </w:style>
  <w:style w:type="table" w:styleId="94">
    <w:name w:val="Grid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40404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404040" w:themeColor="accent3" w:themeTint="FE" w:themeShade="95"/>
        <w:sz w:val="22"/>
      </w:rPr>
    </w:tblStylePr>
    <w:tblStylePr w:type="firstCol">
      <w:rPr>
        <w:b/>
        <w:color w:val="606060" w:themeColor="accent3" w:themeTint="FE" w:themeShade="95"/>
      </w:rPr>
    </w:tblStylePr>
    <w:tblStylePr w:type="firstRow">
      <w:rPr>
        <w:b/>
        <w:color w:val="606060" w:themeColor="accent3" w:themeTint="FE" w:themeShade="95"/>
      </w:r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</w:tblStylePr>
    <w:tblStylePr w:type="lastRow">
      <w:rPr>
        <w:b/>
        <w:color w:val="606060" w:themeColor="accent3" w:themeTint="FE" w:themeShade="95"/>
      </w:rPr>
    </w:tblStylePr>
    <w:tblStylePr w:type="wholeTable">
      <w:rPr>
        <w:rFonts w:ascii="Liberation Sans" w:hAnsi="Liberation Sans"/>
        <w:color w:val="404040" w:themeColor="accent3" w:themeTint="FE" w:themeShade="95"/>
        <w:sz w:val="22"/>
      </w:rPr>
    </w:tblStylePr>
  </w:style>
  <w:style w:type="table" w:styleId="95">
    <w:name w:val="Grid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</w:tblStylePr>
    <w:tblStylePr w:type="wholeTable">
      <w:rPr>
        <w:rFonts w:ascii="Liberation Sans" w:hAnsi="Liberation Sans"/>
        <w:color w:val="404040" w:themeColor="accent4" w:themeTint="9A" w:themeShade="95"/>
        <w:sz w:val="22"/>
      </w:rPr>
    </w:tblStylePr>
  </w:style>
  <w:style w:type="table" w:styleId="96">
    <w:name w:val="Grid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7">
    <w:name w:val="Grid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Liberation Sans" w:hAnsi="Liberation Sans"/>
        <w:color w:val="404040" w:themeColor="accent5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04040" w:themeColor="accent5" w:themeShade="95"/>
        <w:sz w:val="22"/>
      </w:rPr>
    </w:tblStylePr>
    <w:tblStylePr w:type="firstCol">
      <w:rPr>
        <w:b/>
        <w:color w:val="254374" w:themeColor="accent5" w:themeShade="95"/>
      </w:rPr>
    </w:tblStylePr>
    <w:tblStylePr w:type="firstRow">
      <w:rPr>
        <w:b/>
        <w:color w:val="254374" w:themeColor="accent5" w:themeShade="95"/>
      </w:r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374" w:themeColor="accent5" w:themeShade="95"/>
      </w:rPr>
    </w:tblStylePr>
    <w:tblStylePr w:type="lastRow">
      <w:rPr>
        <w:b/>
        <w:color w:val="254374" w:themeColor="accent5" w:themeShade="95"/>
      </w:rPr>
    </w:tblStylePr>
    <w:tblStylePr w:type="wholeTable">
      <w:rPr>
        <w:rFonts w:ascii="Liberation Sans" w:hAnsi="Liberation Sans"/>
        <w:color w:val="404040" w:themeColor="accent5" w:themeShade="95"/>
        <w:sz w:val="22"/>
      </w:rPr>
    </w:tblStylePr>
  </w:style>
  <w:style w:type="table" w:styleId="98">
    <w:name w:val="Grid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99">
    <w:name w:val="Grid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blStylePr w:type="band1Horz">
      <w:rPr>
        <w:rFonts w:ascii="Liberation Sans" w:hAnsi="Liberation Sans"/>
        <w:color w:val="317bba" w:themeColor="accent1" w:themeTint="80" w:themeShade="95"/>
        <w:sz w:val="22"/>
      </w:rPr>
      <w:tcPr>
        <w:shd w:val="clear" w:color="ffffff" w:themeColor="accent1" w:themeTint="34" w:fill="ddebf6" w:themeFill="accent1" w:themeFillTint="34"/>
      </w:tcPr>
    </w:tblStylePr>
    <w:tblStylePr w:type="band1Vert">
      <w:tcPr>
        <w:shd w:val="clear" w:color="ffffff" w:themeColor="accent1" w:themeTint="34" w:fill="ddebf6" w:themeFill="accent1" w:themeFillTint="34"/>
      </w:tcPr>
    </w:tblStylePr>
    <w:tblStylePr w:type="band2Horz">
      <w:rPr>
        <w:rFonts w:ascii="Liberation Sans" w:hAnsi="Liberation Sans"/>
        <w:color w:val="317bba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317bba" w:themeColor="accen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17bba" w:themeColor="accent1" w:themeTint="80" w:themeShade="95"/>
        <w:sz w:val="22"/>
      </w:r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317bba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</w:style>
  <w:style w:type="table" w:styleId="100">
    <w:name w:val="Grid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tcPr>
        <w:shd w:val="clear" w:color="ffffff" w:themeColor="accent2" w:themeTint="32" w:fill="fbe5d6" w:themeFill="accent2" w:themeFillTint="32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</w:style>
  <w:style w:type="table" w:styleId="101">
    <w:name w:val="Grid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Liberation Sans" w:hAnsi="Liberation Sans"/>
        <w:color w:val="606060" w:themeColor="accent3" w:themeTint="FE" w:themeShade="95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tcPr>
        <w:shd w:val="clear" w:color="ffffff" w:themeColor="accent3" w:themeTint="34" w:fill="ededed" w:themeFill="accent3" w:themeFillTint="34"/>
      </w:tcPr>
    </w:tblStylePr>
    <w:tblStylePr w:type="band2Horz">
      <w:rPr>
        <w:rFonts w:ascii="Liberation Sans" w:hAnsi="Liberation Sans"/>
        <w:color w:val="606060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606060" w:themeColor="accent3" w:themeTint="FE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Liberation Sans" w:hAnsi="Liberation Sans"/>
        <w:i/>
        <w:color w:val="606060" w:themeColor="accent3" w:themeTint="FE" w:themeShade="95"/>
        <w:sz w:val="22"/>
      </w:r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606060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</w:style>
  <w:style w:type="table" w:styleId="102">
    <w:name w:val="Grid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tcPr>
        <w:shd w:val="clear" w:color="ffffff" w:themeColor="accent4" w:themeTint="34" w:fill="fef2cb" w:themeFill="accent4" w:themeFillTint="34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</w:style>
  <w:style w:type="table" w:styleId="103">
    <w:name w:val="Grid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254374" w:themeColor="accent5" w:themeShade="95"/>
        <w:sz w:val="22"/>
      </w:rPr>
      <w:tcPr>
        <w:shd w:val="clear" w:color="ffffff" w:themeColor="accent5" w:themeTint="34" w:fill="d9e2f2" w:themeFill="accent5" w:themeFillTint="34"/>
      </w:tcPr>
    </w:tblStylePr>
    <w:tblStylePr w:type="band1Vert">
      <w:tcPr>
        <w:shd w:val="clear" w:color="ffffff" w:themeColor="accent5" w:themeTint="34" w:fill="d9e2f2" w:themeFill="accent5" w:themeFillTint="34"/>
      </w:tcPr>
    </w:tblStylePr>
    <w:tblStylePr w:type="band2Horz">
      <w:rPr>
        <w:rFonts w:ascii="Liberation Sans" w:hAnsi="Liberation Sans"/>
        <w:color w:val="254374" w:themeColor="accent5" w:themeShade="95"/>
        <w:sz w:val="22"/>
      </w:rPr>
    </w:tblStylePr>
    <w:tblStylePr w:type="firstCol">
      <w:rPr>
        <w:rFonts w:ascii="Liberation Sans" w:hAnsi="Liberation Sans"/>
        <w:i/>
        <w:color w:val="254374" w:themeColor="accent5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54374" w:themeColor="accent5" w:themeShade="95"/>
        <w:sz w:val="22"/>
      </w:r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254374" w:themeColor="accent5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</w:style>
  <w:style w:type="table" w:styleId="104">
    <w:name w:val="Grid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26429" w:themeColor="accent6" w:themeShade="95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tcPr>
        <w:shd w:val="clear" w:color="ffffff" w:themeColor="accent6" w:themeTint="34" w:fill="e2efd8" w:themeFill="accent6" w:themeFillTint="34"/>
      </w:tcPr>
    </w:tblStylePr>
    <w:tblStylePr w:type="band2Horz">
      <w:rPr>
        <w:rFonts w:ascii="Liberation Sans" w:hAnsi="Liberation Sans"/>
        <w:color w:val="426429" w:themeColor="accent6" w:themeShade="95"/>
        <w:sz w:val="22"/>
      </w:rPr>
    </w:tblStylePr>
    <w:tblStylePr w:type="firstCol">
      <w:rPr>
        <w:rFonts w:ascii="Liberation Sans" w:hAnsi="Liberation Sans"/>
        <w:i/>
        <w:color w:val="426429" w:themeColor="accent6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26429" w:themeColor="accent6" w:themeShade="95"/>
        <w:sz w:val="22"/>
      </w:r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26429" w:themeColor="accent6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</w:style>
  <w:style w:type="table" w:styleId="105">
    <w:name w:val="List Table 1 Light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1">
    <w:name w:val="List Table 1 Light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13">
    <w:name w:val="List Table 2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4">
    <w:name w:val="List Table 2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5">
    <w:name w:val="List Table 2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6">
    <w:name w:val="List Table 2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7">
    <w:name w:val="List Table 2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8">
    <w:name w:val="List Table 2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themeTint="9A" w:fill="8eabd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5">
    <w:name w:val="List Table 3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1" w:themeTint="40" w:fill="d5e6f4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1" w:fill="5b9bd5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5" w:themeTint="40" w:fill="cfdc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5" w:fill="4472c4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2">
    <w:name w:val="List Table 4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4">
    <w:name w:val="List Table 5 Dark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blStylePr w:type="band1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5">
    <w:name w:val="List Table 5 Dark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6">
    <w:name w:val="List Table 5 Dark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7">
    <w:name w:val="List Table 5 Dark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8">
    <w:name w:val="List Table 5 Dark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bdb" w:themeFill="accent5" w:themeFillTint="9A"/>
    </w:tblPr>
    <w:tblStylePr w:type="band1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8eab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8eab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5" w:themeTint="9A" w:fill="8eab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39">
    <w:name w:val="List Table 5 Dark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0">
    <w:name w:val="List Table 6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1">
    <w:name w:val="List Table 6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blStylePr w:type="band1Horz">
      <w:rPr>
        <w:rFonts w:ascii="Liberation Sans" w:hAnsi="Liberation Sans"/>
        <w:color w:val="404040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404040" w:themeColor="accent1" w:themeShade="95"/>
        <w:sz w:val="22"/>
      </w:rPr>
    </w:tblStylePr>
    <w:tblStylePr w:type="firstCol">
      <w:rPr>
        <w:b/>
        <w:color w:val="245d8d" w:themeColor="accent1" w:themeShade="95"/>
      </w:rPr>
    </w:tblStylePr>
    <w:tblStylePr w:type="firstRow">
      <w:rPr>
        <w:b/>
        <w:color w:val="245d8d" w:themeColor="accent1" w:themeShade="95"/>
      </w:r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d8d" w:themeColor="accent1" w:themeShade="95"/>
      </w:rPr>
    </w:tblStylePr>
    <w:tblStylePr w:type="lastRow">
      <w:rPr>
        <w:b/>
        <w:color w:val="245d8d" w:themeColor="accent1" w:themeShade="95"/>
      </w:rPr>
      <w:tcPr>
        <w:tcBorders>
          <w:top w:val="single" w:color="000000" w:themeColor="accent1" w:sz="4" w:space="0"/>
        </w:tcBorders>
      </w:tcPr>
    </w:tblStylePr>
  </w:style>
  <w:style w:type="table" w:styleId="142">
    <w:name w:val="List Table 6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404040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404040" w:themeColor="accent2" w:themeTint="97" w:themeShade="95"/>
        <w:sz w:val="22"/>
      </w:rPr>
    </w:tblStylePr>
    <w:tblStylePr w:type="firstCol">
      <w:rPr>
        <w:b/>
        <w:color w:val="c95712" w:themeColor="accent2" w:themeTint="97" w:themeShade="95"/>
      </w:rPr>
    </w:tblStylePr>
    <w:tblStylePr w:type="firstRow">
      <w:rPr>
        <w:b/>
        <w:color w:val="c95712" w:themeColor="accent2" w:themeTint="97" w:themeShade="95"/>
      </w:r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95712" w:themeColor="accent2" w:themeTint="97" w:themeShade="95"/>
      </w:rPr>
    </w:tblStylePr>
    <w:tblStylePr w:type="lastRow">
      <w:rPr>
        <w:b/>
        <w:color w:val="c95712" w:themeColor="accent2" w:themeTint="97" w:themeShade="95"/>
      </w:rPr>
      <w:tcPr>
        <w:tcBorders>
          <w:top w:val="single" w:color="000000" w:themeColor="accent2" w:themeTint="97" w:sz="4" w:space="0"/>
        </w:tcBorders>
      </w:tcPr>
    </w:tblStylePr>
  </w:style>
  <w:style w:type="table" w:styleId="143">
    <w:name w:val="List Table 6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404040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404040" w:themeColor="accent3" w:themeTint="98" w:themeShade="95"/>
        <w:sz w:val="22"/>
      </w:rPr>
    </w:tblStylePr>
    <w:tblStylePr w:type="firstCol">
      <w:rPr>
        <w:b/>
        <w:color w:val="757575" w:themeColor="accent3" w:themeTint="98" w:themeShade="95"/>
      </w:rPr>
    </w:tblStylePr>
    <w:tblStylePr w:type="firstRow">
      <w:rPr>
        <w:b/>
        <w:color w:val="757575" w:themeColor="accent3" w:themeTint="98" w:themeShade="95"/>
      </w:r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</w:tblStylePr>
    <w:tblStylePr w:type="lastRow">
      <w:rPr>
        <w:b/>
        <w:color w:val="757575" w:themeColor="accent3" w:themeTint="98" w:themeShade="95"/>
      </w:rPr>
      <w:tcPr>
        <w:tcBorders>
          <w:top w:val="single" w:color="000000" w:themeColor="accent3" w:themeTint="98" w:sz="4" w:space="0"/>
        </w:tcBorders>
      </w:tcPr>
    </w:tblStylePr>
  </w:style>
  <w:style w:type="table" w:styleId="144">
    <w:name w:val="List Table 6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40404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404040" w:themeColor="accent4" w:themeTint="9A" w:themeShade="95"/>
        <w:sz w:val="22"/>
      </w:rPr>
    </w:tblStylePr>
    <w:tblStylePr w:type="firstCol">
      <w:rPr>
        <w:b/>
        <w:color w:val="cd9600" w:themeColor="accent4" w:themeTint="9A" w:themeShade="95"/>
      </w:rPr>
    </w:tblStylePr>
    <w:tblStylePr w:type="firstRow">
      <w:rPr>
        <w:b/>
        <w:color w:val="cd9600" w:themeColor="accent4" w:themeTint="9A" w:themeShade="95"/>
      </w:r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cd9600" w:themeColor="accent4" w:themeTint="9A" w:themeShade="95"/>
      </w:rPr>
    </w:tblStylePr>
    <w:tblStylePr w:type="lastRow">
      <w:rPr>
        <w:b/>
        <w:color w:val="cd9600" w:themeColor="accent4" w:themeTint="9A" w:themeShade="95"/>
      </w:rPr>
      <w:tcPr>
        <w:tcBorders>
          <w:top w:val="single" w:color="000000" w:themeColor="accent4" w:themeTint="9A" w:sz="4" w:space="0"/>
        </w:tcBorders>
      </w:tcPr>
    </w:tblStylePr>
  </w:style>
  <w:style w:type="table" w:styleId="145">
    <w:name w:val="List Table 6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404040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404040" w:themeColor="accent5" w:themeTint="9A" w:themeShade="95"/>
        <w:sz w:val="22"/>
      </w:rPr>
    </w:tblStylePr>
    <w:tblStylePr w:type="firstCol">
      <w:rPr>
        <w:b/>
        <w:color w:val="335e9e" w:themeColor="accent5" w:themeTint="9A" w:themeShade="95"/>
      </w:rPr>
    </w:tblStylePr>
    <w:tblStylePr w:type="firstRow">
      <w:rPr>
        <w:b/>
        <w:color w:val="335e9e" w:themeColor="accent5" w:themeTint="9A" w:themeShade="95"/>
      </w:r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e9e" w:themeColor="accent5" w:themeTint="9A" w:themeShade="95"/>
      </w:rPr>
    </w:tblStylePr>
    <w:tblStylePr w:type="lastRow">
      <w:rPr>
        <w:b/>
        <w:color w:val="335e9e" w:themeColor="accent5" w:themeTint="9A" w:themeShade="95"/>
      </w:rPr>
      <w:tcPr>
        <w:tcBorders>
          <w:top w:val="single" w:color="000000" w:themeColor="accent5" w:themeTint="9A" w:sz="4" w:space="0"/>
        </w:tcBorders>
      </w:tcPr>
    </w:tblStylePr>
  </w:style>
  <w:style w:type="table" w:styleId="146">
    <w:name w:val="List Table 6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404040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404040" w:themeColor="accent6" w:themeTint="98" w:themeShade="95"/>
        <w:sz w:val="22"/>
      </w:rPr>
    </w:tblStylePr>
    <w:tblStylePr w:type="firstCol">
      <w:rPr>
        <w:b/>
        <w:color w:val="5f8f3c" w:themeColor="accent6" w:themeTint="98" w:themeShade="95"/>
      </w:rPr>
    </w:tblStylePr>
    <w:tblStylePr w:type="firstRow">
      <w:rPr>
        <w:b/>
        <w:color w:val="5f8f3c" w:themeColor="accent6" w:themeTint="98" w:themeShade="95"/>
      </w:r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f8f3c" w:themeColor="accent6" w:themeTint="98" w:themeShade="95"/>
      </w:rPr>
    </w:tblStylePr>
    <w:tblStylePr w:type="lastRow">
      <w:rPr>
        <w:b/>
        <w:color w:val="5f8f3c" w:themeColor="accent6" w:themeTint="98" w:themeShade="95"/>
      </w:rPr>
      <w:tcPr>
        <w:tcBorders>
          <w:top w:val="single" w:color="000000" w:themeColor="accent6" w:themeTint="98" w:sz="4" w:space="0"/>
        </w:tcBorders>
      </w:tcPr>
    </w:tblStylePr>
  </w:style>
  <w:style w:type="table" w:styleId="147">
    <w:name w:val="List Table 7 Colorful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table" w:styleId="148">
    <w:name w:val="List Table 7 Colorful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blStylePr w:type="band1Horz">
      <w:rPr>
        <w:rFonts w:ascii="Liberation Sans" w:hAnsi="Liberation Sans"/>
        <w:color w:val="245d8d" w:themeColor="accent1" w:themeShade="95"/>
        <w:sz w:val="22"/>
      </w:rPr>
      <w:tcPr>
        <w:shd w:val="clear" w:color="ffffff" w:themeColor="accent1" w:themeTint="40" w:fill="d5e6f4" w:themeFill="accent1" w:themeFillTint="40"/>
      </w:tcPr>
    </w:tblStylePr>
    <w:tblStylePr w:type="band1Vert">
      <w:tcPr>
        <w:shd w:val="clear" w:color="ffffff" w:themeColor="accent1" w:themeTint="40" w:fill="d5e6f4" w:themeFill="accent1" w:themeFillTint="40"/>
      </w:tcPr>
    </w:tblStylePr>
    <w:tblStylePr w:type="band2Horz">
      <w:rPr>
        <w:rFonts w:ascii="Liberation Sans" w:hAnsi="Liberation Sans"/>
        <w:color w:val="245d8d" w:themeColor="accent1" w:themeShade="95"/>
        <w:sz w:val="22"/>
      </w:rPr>
    </w:tblStylePr>
    <w:tblStylePr w:type="firstCol">
      <w:rPr>
        <w:rFonts w:ascii="Liberation Sans" w:hAnsi="Liberation Sans"/>
        <w:i/>
        <w:color w:val="245d8d" w:themeColor="accent1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Liberation Sans" w:hAnsi="Liberation Sans"/>
        <w:i/>
        <w:color w:val="245d8d" w:themeColor="accent1" w:themeShade="95"/>
        <w:sz w:val="22"/>
      </w:r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245d8d" w:themeColor="accent1" w:themeShade="95"/>
        <w:sz w:val="22"/>
      </w:r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245d8d" w:themeColor="accent1" w:themeShade="95"/>
        <w:sz w:val="22"/>
      </w:rPr>
    </w:tblStylePr>
  </w:style>
  <w:style w:type="table" w:styleId="149">
    <w:name w:val="List Table 7 Colorful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blStylePr w:type="band1Horz">
      <w:rPr>
        <w:rFonts w:ascii="Liberation Sans" w:hAnsi="Liberation Sans"/>
        <w:color w:val="c95712" w:themeColor="accent2" w:themeTint="97" w:themeShade="95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band2Horz">
      <w:rPr>
        <w:rFonts w:ascii="Liberation Sans" w:hAnsi="Liberation Sans"/>
        <w:color w:val="c95712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c95712" w:themeColor="accent2" w:themeTint="97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95712" w:themeColor="accent2" w:themeTint="97" w:themeShade="95"/>
        <w:sz w:val="22"/>
      </w:r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9571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95712" w:themeColor="accent2" w:themeTint="97" w:themeShade="95"/>
        <w:sz w:val="22"/>
      </w:rPr>
    </w:tblStylePr>
  </w:style>
  <w:style w:type="table" w:styleId="150">
    <w:name w:val="List Table 7 Colorful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blStylePr w:type="band1Horz">
      <w:rPr>
        <w:rFonts w:ascii="Liberation Sans" w:hAnsi="Liberation Sans"/>
        <w:color w:val="757575" w:themeColor="accent3" w:themeTint="98" w:themeShade="95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band2Horz">
      <w:rPr>
        <w:rFonts w:ascii="Liberation Sans" w:hAnsi="Liberation Sans"/>
        <w:color w:val="757575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757575" w:themeColor="accent3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757575" w:themeColor="accent3" w:themeTint="98" w:themeShade="95"/>
        <w:sz w:val="22"/>
      </w:r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757575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757575" w:themeColor="accent3" w:themeTint="98" w:themeShade="95"/>
        <w:sz w:val="22"/>
      </w:rPr>
    </w:tblStylePr>
  </w:style>
  <w:style w:type="table" w:styleId="151">
    <w:name w:val="List Table 7 Colorful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blStylePr w:type="band1Horz">
      <w:rPr>
        <w:rFonts w:ascii="Liberation Sans" w:hAnsi="Liberation Sans"/>
        <w:color w:val="cd9600" w:themeColor="accent4" w:themeTint="9A" w:themeShade="95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band2Horz">
      <w:rPr>
        <w:rFonts w:ascii="Liberation Sans" w:hAnsi="Liberation Sans"/>
        <w:color w:val="cd9600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cd9600" w:themeColor="accent4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cd9600" w:themeColor="accent4" w:themeTint="9A" w:themeShade="95"/>
        <w:sz w:val="22"/>
      </w:r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cd9600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cd9600" w:themeColor="accent4" w:themeTint="9A" w:themeShade="95"/>
        <w:sz w:val="22"/>
      </w:rPr>
    </w:tblStylePr>
  </w:style>
  <w:style w:type="table" w:styleId="152">
    <w:name w:val="List Table 7 Colorful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blStylePr w:type="band1Horz">
      <w:rPr>
        <w:rFonts w:ascii="Liberation Sans" w:hAnsi="Liberation Sans"/>
        <w:color w:val="335e9e" w:themeColor="accent5" w:themeTint="9A" w:themeShade="95"/>
        <w:sz w:val="22"/>
      </w:rPr>
      <w:tcPr>
        <w:shd w:val="clear" w:color="ffffff" w:themeColor="accent5" w:themeTint="40" w:fill="cfdcf0" w:themeFill="accent5" w:themeFillTint="40"/>
      </w:tcPr>
    </w:tblStylePr>
    <w:tblStylePr w:type="band1Vert">
      <w:tcPr>
        <w:shd w:val="clear" w:color="ffffff" w:themeColor="accent5" w:themeTint="40" w:fill="cfdcf0" w:themeFill="accent5" w:themeFillTint="40"/>
      </w:tcPr>
    </w:tblStylePr>
    <w:tblStylePr w:type="band2Horz">
      <w:rPr>
        <w:rFonts w:ascii="Liberation Sans" w:hAnsi="Liberation Sans"/>
        <w:color w:val="335e9e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335e9e" w:themeColor="accent5" w:themeTint="9A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Liberation Sans" w:hAnsi="Liberation Sans"/>
        <w:i/>
        <w:color w:val="335e9e" w:themeColor="accent5" w:themeTint="9A" w:themeShade="95"/>
        <w:sz w:val="22"/>
      </w:r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335e9e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335e9e" w:themeColor="accent5" w:themeTint="9A" w:themeShade="95"/>
        <w:sz w:val="22"/>
      </w:rPr>
    </w:tblStylePr>
  </w:style>
  <w:style w:type="table" w:styleId="153">
    <w:name w:val="List Table 7 Colorful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blStylePr w:type="band1Horz">
      <w:rPr>
        <w:rFonts w:ascii="Liberation Sans" w:hAnsi="Liberation Sans"/>
        <w:color w:val="5f8f3c" w:themeColor="accent6" w:themeTint="98" w:themeShade="95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band2Horz">
      <w:rPr>
        <w:rFonts w:ascii="Liberation Sans" w:hAnsi="Liberation Sans"/>
        <w:color w:val="5f8f3c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5f8f3c" w:themeColor="accent6" w:themeTint="98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Liberation Sans" w:hAnsi="Liberation Sans"/>
        <w:i/>
        <w:color w:val="5f8f3c" w:themeColor="accent6" w:themeTint="98" w:themeShade="95"/>
        <w:sz w:val="22"/>
      </w:r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5f8f3c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5f8f3c" w:themeColor="accent6" w:themeTint="98" w:themeShade="95"/>
        <w:sz w:val="22"/>
      </w:rPr>
    </w:tblStylePr>
  </w:style>
  <w:style w:type="table" w:styleId="154">
    <w:name w:val="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55">
    <w:name w:val="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56">
    <w:name w:val="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57">
    <w:name w:val="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58">
    <w:name w:val="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59">
    <w:name w:val="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0">
    <w:name w:val="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1">
    <w:name w:val="Bordered &amp; Lined - Accent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text1" w:themeTint="80" w:fill="7f7f7f" w:themeFill="text1" w:themeFillTint="80"/>
      </w:tcPr>
    </w:tblStylePr>
  </w:style>
  <w:style w:type="table" w:styleId="162">
    <w:name w:val="Bordered &amp; Lined - Accent 1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1" w:themeTint="50" w:fill="cce0f1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1" w:themeTint="EA" w:fill="67a4d8" w:themeFill="accent1" w:themeFillTint="EA"/>
      </w:tcPr>
    </w:tblStylePr>
  </w:style>
  <w:style w:type="table" w:styleId="163">
    <w:name w:val="Bordered &amp; Lined - Accent 2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2" w:themeTint="97" w:fill="f4b185" w:themeFill="accent2" w:themeFillTint="97"/>
      </w:tcPr>
    </w:tblStylePr>
  </w:style>
  <w:style w:type="table" w:styleId="164">
    <w:name w:val="Bordered &amp; Lined - Accent 3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3" w:themeTint="FE" w:fill="a5a5a5" w:themeFill="accent3" w:themeFillTint="FE"/>
      </w:tcPr>
    </w:tblStylePr>
  </w:style>
  <w:style w:type="table" w:styleId="165">
    <w:name w:val="Bordered &amp; Lined - Accent 4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4" w:themeTint="9A" w:fill="ffd864" w:themeFill="accent4" w:themeFillTint="9A"/>
      </w:tcPr>
    </w:tblStylePr>
  </w:style>
  <w:style w:type="table" w:styleId="166">
    <w:name w:val="Bordered &amp; Lined - Accent 5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5" w:themeTint="34" w:fill="d9e2f2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5" w:fill="4472c4" w:themeFill="accent5"/>
      </w:tcPr>
    </w:tblStylePr>
  </w:style>
  <w:style w:type="table" w:styleId="167">
    <w:name w:val="Bordered &amp; Lined - Accent 6"/>
    <w:basedOn w:val="619"/>
    <w:uiPriority w:val="99"/>
    <w:pPr>
      <w:spacing w:after="0" w:line="240" w:lineRule="auto"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fffff" w:themeColor="accent6" w:fill="70ad47" w:themeFill="accent6"/>
      </w:tcPr>
    </w:tblStylePr>
  </w:style>
  <w:style w:type="table" w:styleId="168">
    <w:name w:val="Bordered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80" w:sz="12" w:space="0"/>
        </w:tcBorders>
      </w:tcPr>
    </w:tblStylePr>
  </w:style>
  <w:style w:type="table" w:styleId="169">
    <w:name w:val="Bordered - Accent 1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1" w:sz="12" w:space="0"/>
        </w:tcBorders>
      </w:tcPr>
    </w:tblStylePr>
  </w:style>
  <w:style w:type="table" w:styleId="170">
    <w:name w:val="Bordered - Accent 2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2" w:themeTint="97" w:sz="12" w:space="0"/>
        </w:tcBorders>
      </w:tcPr>
    </w:tblStylePr>
  </w:style>
  <w:style w:type="table" w:styleId="171">
    <w:name w:val="Bordered - Accent 3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3" w:themeTint="98" w:sz="12" w:space="0"/>
        </w:tcBorders>
      </w:tcPr>
    </w:tblStylePr>
  </w:style>
  <w:style w:type="table" w:styleId="172">
    <w:name w:val="Bordered - Accent 4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4" w:themeTint="9A" w:sz="12" w:space="0"/>
        </w:tcBorders>
      </w:tcPr>
    </w:tblStylePr>
  </w:style>
  <w:style w:type="table" w:styleId="173">
    <w:name w:val="Bordered - Accent 5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5" w:themeTint="9A" w:sz="12" w:space="0"/>
        </w:tcBorders>
      </w:tcPr>
    </w:tblStylePr>
  </w:style>
  <w:style w:type="table" w:styleId="174">
    <w:name w:val="Bordered - Accent 6"/>
    <w:basedOn w:val="619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000000" w:themeColor="accent6" w:themeTint="98" w:sz="12" w:space="0"/>
        </w:tcBorders>
      </w:tcPr>
    </w:tblStylePr>
  </w:style>
  <w:style w:type="character" w:styleId="175">
    <w:name w:val="Hyperlink"/>
    <w:uiPriority w:val="99"/>
    <w:unhideWhenUsed/>
    <w:rPr>
      <w:color w:val="0000ff" w:themeColor="hyperlink"/>
      <w:u w:val="single"/>
    </w:rPr>
  </w:style>
  <w:style w:type="paragraph" w:styleId="176">
    <w:name w:val="footnote text"/>
    <w:basedOn w:val="618"/>
    <w:link w:val="177"/>
    <w:uiPriority w:val="99"/>
    <w:semiHidden/>
    <w:unhideWhenUsed/>
    <w:pPr>
      <w:spacing w:after="40" w:line="240" w:lineRule="auto"/>
    </w:pPr>
    <w:rPr>
      <w:sz w:val="18"/>
    </w:rPr>
  </w:style>
  <w:style w:type="character" w:styleId="177">
    <w:name w:val="Footnote Text Char"/>
    <w:link w:val="176"/>
    <w:uiPriority w:val="99"/>
    <w:rPr>
      <w:sz w:val="18"/>
    </w:rPr>
  </w:style>
  <w:style w:type="character" w:styleId="178">
    <w:name w:val="footnote reference"/>
    <w:basedOn w:val="12"/>
    <w:uiPriority w:val="99"/>
    <w:unhideWhenUsed/>
    <w:rPr>
      <w:vertAlign w:val="superscript"/>
    </w:rPr>
  </w:style>
  <w:style w:type="paragraph" w:styleId="179">
    <w:name w:val="endnote text"/>
    <w:basedOn w:val="618"/>
    <w:link w:val="180"/>
    <w:uiPriority w:val="99"/>
    <w:semiHidden/>
    <w:unhideWhenUsed/>
    <w:pPr>
      <w:spacing w:after="0" w:line="240" w:lineRule="auto"/>
    </w:pPr>
    <w:rPr>
      <w:sz w:val="20"/>
    </w:rPr>
  </w:style>
  <w:style w:type="character" w:styleId="180">
    <w:name w:val="Endnote Text Char"/>
    <w:link w:val="179"/>
    <w:uiPriority w:val="99"/>
    <w:rPr>
      <w:sz w:val="20"/>
    </w:rPr>
  </w:style>
  <w:style w:type="character" w:styleId="181">
    <w:name w:val="endnote reference"/>
    <w:basedOn w:val="12"/>
    <w:uiPriority w:val="99"/>
    <w:semiHidden/>
    <w:unhideWhenUsed/>
    <w:rPr>
      <w:vertAlign w:val="superscript"/>
    </w:rPr>
  </w:style>
  <w:style w:type="paragraph" w:styleId="182">
    <w:name w:val="toc 1"/>
    <w:basedOn w:val="618"/>
    <w:next w:val="618"/>
    <w:uiPriority w:val="39"/>
    <w:unhideWhenUsed/>
    <w:pPr>
      <w:ind w:left="0" w:right="0" w:firstLine="0"/>
      <w:spacing w:after="57"/>
    </w:pPr>
  </w:style>
  <w:style w:type="paragraph" w:styleId="183">
    <w:name w:val="toc 2"/>
    <w:basedOn w:val="618"/>
    <w:next w:val="618"/>
    <w:uiPriority w:val="39"/>
    <w:unhideWhenUsed/>
    <w:pPr>
      <w:ind w:left="283" w:right="0" w:firstLine="0"/>
      <w:spacing w:after="57"/>
    </w:pPr>
  </w:style>
  <w:style w:type="paragraph" w:styleId="184">
    <w:name w:val="toc 3"/>
    <w:basedOn w:val="618"/>
    <w:next w:val="618"/>
    <w:uiPriority w:val="39"/>
    <w:unhideWhenUsed/>
    <w:pPr>
      <w:ind w:left="567" w:right="0" w:firstLine="0"/>
      <w:spacing w:after="57"/>
    </w:pPr>
  </w:style>
  <w:style w:type="paragraph" w:styleId="185">
    <w:name w:val="toc 4"/>
    <w:basedOn w:val="618"/>
    <w:next w:val="618"/>
    <w:uiPriority w:val="39"/>
    <w:unhideWhenUsed/>
    <w:pPr>
      <w:ind w:left="850" w:right="0" w:firstLine="0"/>
      <w:spacing w:after="57"/>
    </w:pPr>
  </w:style>
  <w:style w:type="paragraph" w:styleId="186">
    <w:name w:val="toc 5"/>
    <w:basedOn w:val="618"/>
    <w:next w:val="618"/>
    <w:uiPriority w:val="39"/>
    <w:unhideWhenUsed/>
    <w:pPr>
      <w:ind w:left="1134" w:right="0" w:firstLine="0"/>
      <w:spacing w:after="57"/>
    </w:pPr>
  </w:style>
  <w:style w:type="paragraph" w:styleId="187">
    <w:name w:val="toc 6"/>
    <w:basedOn w:val="618"/>
    <w:next w:val="618"/>
    <w:uiPriority w:val="39"/>
    <w:unhideWhenUsed/>
    <w:pPr>
      <w:ind w:left="1417" w:right="0" w:firstLine="0"/>
      <w:spacing w:after="57"/>
    </w:pPr>
  </w:style>
  <w:style w:type="paragraph" w:styleId="188">
    <w:name w:val="toc 7"/>
    <w:basedOn w:val="618"/>
    <w:next w:val="618"/>
    <w:uiPriority w:val="39"/>
    <w:unhideWhenUsed/>
    <w:pPr>
      <w:ind w:left="1701" w:right="0" w:firstLine="0"/>
      <w:spacing w:after="57"/>
    </w:pPr>
  </w:style>
  <w:style w:type="paragraph" w:styleId="189">
    <w:name w:val="toc 8"/>
    <w:basedOn w:val="618"/>
    <w:next w:val="618"/>
    <w:uiPriority w:val="39"/>
    <w:unhideWhenUsed/>
    <w:pPr>
      <w:ind w:left="1984" w:right="0" w:firstLine="0"/>
      <w:spacing w:after="57"/>
    </w:pPr>
  </w:style>
  <w:style w:type="paragraph" w:styleId="190">
    <w:name w:val="toc 9"/>
    <w:basedOn w:val="618"/>
    <w:next w:val="618"/>
    <w:uiPriority w:val="39"/>
    <w:unhideWhenUsed/>
    <w:pPr>
      <w:ind w:left="2268" w:right="0" w:firstLine="0"/>
      <w:spacing w:after="57"/>
    </w:pPr>
  </w:style>
  <w:style w:type="paragraph" w:styleId="191">
    <w:name w:val="TOC Heading"/>
    <w:uiPriority w:val="39"/>
    <w:unhideWhenUsed/>
  </w:style>
  <w:style w:type="paragraph" w:styleId="192">
    <w:name w:val="table of figures"/>
    <w:basedOn w:val="618"/>
    <w:next w:val="618"/>
    <w:uiPriority w:val="99"/>
    <w:unhideWhenUsed/>
    <w:pPr>
      <w:spacing w:after="0" w:afterAutospacing="0"/>
    </w:pPr>
  </w:style>
  <w:style w:type="paragraph" w:styleId="618" w:default="1">
    <w:name w:val="Normal"/>
    <w:qFormat/>
  </w:style>
  <w:style w:type="table" w:styleId="619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620" w:default="1">
    <w:name w:val="No List"/>
    <w:uiPriority w:val="99"/>
    <w:semiHidden/>
    <w:unhideWhenUsed/>
  </w:style>
  <w:style w:type="paragraph" w:styleId="621">
    <w:name w:val="No Spacing"/>
    <w:basedOn w:val="618"/>
    <w:uiPriority w:val="1"/>
    <w:qFormat/>
    <w:pPr>
      <w:spacing w:after="0" w:line="240" w:lineRule="auto"/>
    </w:pPr>
  </w:style>
  <w:style w:type="paragraph" w:styleId="622">
    <w:name w:val="List Paragraph"/>
    <w:basedOn w:val="618"/>
    <w:uiPriority w:val="34"/>
    <w:qFormat/>
    <w:pPr>
      <w:contextualSpacing/>
      <w:ind w:left="720"/>
    </w:pPr>
  </w:style>
  <w:style w:type="character" w:styleId="627" w:default="1">
    <w:name w:val="Default Paragraph Font"/>
    <w:uiPriority w:val="1"/>
    <w:semiHidden/>
    <w:unhideWhenUsed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Liberation Sans"/>
        <a:ea typeface="Liberation Sans"/>
        <a:cs typeface="Liberation Sans"/>
      </a:majorFont>
      <a:minorFont>
        <a:latin typeface="Liberation Sans"/>
        <a:ea typeface="Liberation Sans"/>
        <a:cs typeface="Liberation Sans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>aleksandrova.aa</cp:lastModifiedBy>
  <cp:revision>1</cp:revision>
  <dcterms:modified xsi:type="dcterms:W3CDTF">2026-06-18T06:37:21Z</dcterms:modified>
</cp:coreProperties>
</file>