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4"/>
          <w:szCs w:val="44"/>
        </w:rPr>
        <w:t xml:space="preserve">AA Limited</w:t>
      </w:r>
    </w:p>
    <w:p>
      <w:pPr>
        <w:spacing w:after="60" w:before="0"/>
      </w:pPr>
      <w:r>
        <w:rPr>
          <w:rFonts w:ascii="Arial" w:cs="Arial" w:eastAsia="Arial" w:hAnsi="Arial"/>
          <w:b/>
          <w:bCs/>
          <w:color w:val="2E5FA3"/>
          <w:sz w:val="28"/>
          <w:szCs w:val="28"/>
        </w:rPr>
        <w:t xml:space="preserve">Corporate Financial Analysis — Question 1 (Compulsory)</w:t>
      </w:r>
    </w:p>
    <w:p>
      <w:pPr>
        <w:spacing w:after="60" w:before="0"/>
      </w:pPr>
      <w:r>
        <w:rPr>
          <w:rFonts w:ascii="Arial" w:cs="Arial" w:eastAsia="Arial" w:hAnsi="Arial"/>
          <w:color w:val="4472C4"/>
          <w:sz w:val="22"/>
          <w:szCs w:val="22"/>
        </w:rPr>
        <w:t xml:space="preserve">Free Cash Flow Valuation Model  |  Step-by-Step Solution</w:t>
      </w:r>
    </w:p>
    <w:p>
      <w:pPr>
        <w:spacing w:after="100" w:before="0"/>
      </w:pPr>
      <w:r>
        <w:rPr>
          <w:rFonts w:ascii="Arial" w:cs="Arial" w:eastAsia="Arial" w:hAnsi="Arial"/>
          <w:color w:val="666666"/>
          <w:sz w:val="19"/>
          <w:szCs w:val="19"/>
        </w:rPr>
        <w:t xml:space="preserve">Date: 19 / 04 / 2026</w:t>
      </w:r>
    </w:p>
    <w:p>
      <w:pPr>
        <w:pBdr>
          <w:bottom w:val="single" w:color="1F3864" w:sz="8" w:space="1"/>
        </w:pBdr>
        <w:spacing w:after="120" w:before="120"/>
      </w:pPr>
    </w:p>
    <w:p>
      <w:pPr>
        <w:spacing w:after="120" w:before="320"/>
      </w:pPr>
      <w:r>
        <w:rPr>
          <w:rFonts w:ascii="Arial" w:cs="Arial" w:eastAsia="Arial" w:hAnsi="Arial"/>
          <w:b/>
          <w:bCs/>
          <w:color w:val="1F3864"/>
          <w:sz w:val="30"/>
          <w:szCs w:val="30"/>
        </w:rPr>
        <w:t xml:space="preserve">Introduction &amp; Approach</w:t>
      </w:r>
    </w:p>
    <w:p>
      <w:pPr>
        <w:spacing w:after="80" w:before="80"/>
      </w:pPr>
      <w:r>
        <w:rPr>
          <w:rFonts w:ascii="Arial" w:cs="Arial" w:eastAsia="Arial" w:hAnsi="Arial"/>
          <w:b w:val="false"/>
          <w:bCs w:val="false"/>
          <w:color w:val="000000"/>
          <w:sz w:val="20"/>
          <w:szCs w:val="20"/>
        </w:rPr>
        <w:t xml:space="preserve">AA Limited is considering introducing a new product requiring a specialised machine. We are required to estimate the value of the firm using the Free Cash Flow (FCF) model — discounting projected incremental cash flows over a 4-year horizon at the company's Weighted Average Cost of Capital (WACC) of 15%, then applying the Gordon Growth Model to capture value beyond the horizon period.</w:t>
      </w:r>
    </w:p>
    <w:p>
      <w:pPr>
        <w:spacing w:after="0" w:before="80"/>
      </w:pPr>
    </w:p>
    <w:p>
      <w:pPr>
        <w:spacing w:after="80" w:before="80"/>
      </w:pPr>
      <w:r>
        <w:rPr>
          <w:rFonts w:ascii="Arial" w:cs="Arial" w:eastAsia="Arial" w:hAnsi="Arial"/>
          <w:b w:val="false"/>
          <w:bCs w:val="false"/>
          <w:color w:val="000000"/>
          <w:sz w:val="20"/>
          <w:szCs w:val="20"/>
        </w:rPr>
        <w:t xml:space="preserve">The solution follows the income-statement-based approach taught in class: starting from contribution, deducting all relevant costs including tax depreciation, computing Profit Before Tax (PBT), applying the 30% tax charge, and then adding back the non-cash tax depreciation charge to arrive at the true operating cash flow.</w:t>
      </w:r>
    </w:p>
    <w:p>
      <w:pPr>
        <w:spacing w:after="120" w:before="320"/>
      </w:pPr>
      <w:r>
        <w:rPr>
          <w:rFonts w:ascii="Arial" w:cs="Arial" w:eastAsia="Arial" w:hAnsi="Arial"/>
          <w:b/>
          <w:bCs/>
          <w:color w:val="1F3864"/>
          <w:sz w:val="30"/>
          <w:szCs w:val="30"/>
        </w:rPr>
        <w:t xml:space="preserve">Step 1 — Classifying Costs: Relevant vs Irrelevant</w:t>
      </w:r>
    </w:p>
    <w:p>
      <w:pPr>
        <w:spacing w:after="80" w:before="80"/>
      </w:pPr>
      <w:r>
        <w:rPr>
          <w:rFonts w:ascii="Arial" w:cs="Arial" w:eastAsia="Arial" w:hAnsi="Arial"/>
          <w:b w:val="false"/>
          <w:bCs w:val="false"/>
          <w:color w:val="000000"/>
          <w:sz w:val="20"/>
          <w:szCs w:val="20"/>
        </w:rPr>
        <w:t xml:space="preserve">Before any numbers are computed, we must decide which items belong in the cash flow analysis. Only future, incremental cash flows are relevant.</w:t>
      </w:r>
    </w:p>
    <w:p>
      <w:pPr>
        <w:spacing w:after="0" w:before="80"/>
      </w:pPr>
    </w:p>
    <w:p>
      <w:pPr>
        <w:spacing w:after="60" w:before="160"/>
      </w:pPr>
      <w:r>
        <w:rPr>
          <w:rFonts w:ascii="Arial" w:cs="Arial" w:eastAsia="Arial" w:hAnsi="Arial"/>
          <w:b/>
          <w:bCs/>
          <w:color w:val="4472C4"/>
          <w:sz w:val="22"/>
          <w:szCs w:val="22"/>
        </w:rPr>
        <w:t xml:space="preserve">Irrelevant — Excluded:</w:t>
      </w:r>
    </w:p>
    <w:p>
      <w:pPr>
        <w:spacing w:after="80" w:before="80"/>
      </w:pPr>
      <w:r>
        <w:rPr>
          <w:rFonts w:ascii="Arial" w:cs="Arial" w:eastAsia="Arial" w:hAnsi="Arial"/>
          <w:b w:val="false"/>
          <w:bCs w:val="false"/>
          <w:color w:val="000000"/>
          <w:sz w:val="20"/>
          <w:szCs w:val="20"/>
        </w:rPr>
        <w:t xml:space="preserve">Sunk Cost: The consultant's fee of GH¢120,000 was incurred before this decision was made. It cannot be recovered whether or not the project goes ahead. It is therefore excluded from all cash flow calculations.</w:t>
      </w:r>
    </w:p>
    <w:p>
      <w:pPr>
        <w:spacing w:after="0" w:before="60"/>
      </w:pPr>
    </w:p>
    <w:p>
      <w:pPr>
        <w:spacing w:after="80" w:before="80"/>
      </w:pPr>
      <w:r>
        <w:rPr>
          <w:rFonts w:ascii="Arial" w:cs="Arial" w:eastAsia="Arial" w:hAnsi="Arial"/>
          <w:b w:val="false"/>
          <w:bCs w:val="false"/>
          <w:color w:val="000000"/>
          <w:sz w:val="20"/>
          <w:szCs w:val="20"/>
        </w:rPr>
        <w:t xml:space="preserve">Accounting Book Value: The net book value (NBV) of the old machine (GH¢69,000) is an accounting figure, not a cash flow. It is used only to determine the taxable gain on disposal — it does not appear directly in the cash flow table.</w:t>
      </w:r>
    </w:p>
    <w:p>
      <w:pPr>
        <w:spacing w:after="0" w:before="80"/>
      </w:pPr>
    </w:p>
    <w:p>
      <w:pPr>
        <w:spacing w:after="60" w:before="160"/>
      </w:pPr>
      <w:r>
        <w:rPr>
          <w:rFonts w:ascii="Arial" w:cs="Arial" w:eastAsia="Arial" w:hAnsi="Arial"/>
          <w:b/>
          <w:bCs/>
          <w:color w:val="4472C4"/>
          <w:sz w:val="22"/>
          <w:szCs w:val="22"/>
        </w:rPr>
        <w:t xml:space="preserve">Relevant — Included:</w:t>
      </w:r>
    </w:p>
    <w:p>
      <w:pPr>
        <w:spacing w:after="80" w:before="80"/>
      </w:pPr>
      <w:r>
        <w:rPr>
          <w:rFonts w:ascii="Arial" w:cs="Arial" w:eastAsia="Arial" w:hAnsi="Arial"/>
          <w:b w:val="false"/>
          <w:bCs w:val="false"/>
          <w:color w:val="000000"/>
          <w:sz w:val="20"/>
          <w:szCs w:val="20"/>
        </w:rPr>
        <w:t xml:space="preserve">New machine cost (GH¢825,000), disposal proceeds of old machine (GH¢80,000), lost contribution from old machine (GH¢100,000 — opportunity cost), ongoing revenue contribution, fixed costs, maintenance fees, taxation, and terminal scrap value (GH¢50,000) are all incremental and relevant.</w:t>
      </w:r>
    </w:p>
    <w:p>
      <w:pPr>
        <w:spacing w:after="120" w:before="320"/>
      </w:pPr>
      <w:r>
        <w:rPr>
          <w:rFonts w:ascii="Arial" w:cs="Arial" w:eastAsia="Arial" w:hAnsi="Arial"/>
          <w:b/>
          <w:bCs/>
          <w:color w:val="1F3864"/>
          <w:sz w:val="30"/>
          <w:szCs w:val="30"/>
        </w:rPr>
        <w:t xml:space="preserve">Step 2 — Working 1: Tax Liability on Disposal of Old Machine</w:t>
      </w:r>
    </w:p>
    <w:p>
      <w:pPr>
        <w:spacing w:after="80" w:before="80"/>
      </w:pPr>
      <w:r>
        <w:rPr>
          <w:rFonts w:ascii="Arial" w:cs="Arial" w:eastAsia="Arial" w:hAnsi="Arial"/>
          <w:b w:val="false"/>
          <w:bCs w:val="false"/>
          <w:color w:val="000000"/>
          <w:sz w:val="20"/>
          <w:szCs w:val="20"/>
        </w:rPr>
        <w:t xml:space="preserve">When the old machine is sold, HMRC (or GRA in Ghana's context) taxes any gain made above the tax written-down value. The question states the old machine has a zero tax written-down value — meaning the net book value of GH¢69,000 represents its accounting value, but for tax purposes the gain is calculated against the disposal proceeds minus the NBV since the question says there is no tax depreciation effect from disposal of the balancing adjustment but there IS a taxable gain on the book profit:</w:t>
      </w:r>
    </w:p>
    <w:p>
      <w:pPr>
        <w:spacing w:after="0" w:before="80"/>
      </w:pPr>
    </w:p>
    <w:p>
      <w:pPr>
        <w:pBdr>
          <w:left w:val="thick" w:color="2E5FA3" w:sz="12" w:space="4"/>
        </w:pBdr>
        <w:spacing w:after="120" w:before="120"/>
        <w:ind w:left="360" w:right="360"/>
      </w:pPr>
      <w:r>
        <w:rPr>
          <w:rFonts w:ascii="Arial" w:cs="Arial" w:eastAsia="Arial" w:hAnsi="Arial"/>
          <w:color w:val="1F3864"/>
          <w:sz w:val="20"/>
          <w:szCs w:val="20"/>
        </w:rPr>
        <w:t xml:space="preserve">Key reasoning: The disposal proceeds of GH¢80,000 exceed the NBV of GH¢69,000 by GH¢11,000. This represents a book profit. Taxed at 30%, the company must pay GH¢3,300 in tax — a cash outflow at T₀.</w:t>
      </w:r>
    </w:p>
    <w:p>
      <w:pPr>
        <w:spacing w:after="0" w:before="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1100"/>
      </w:tblGrid>
      <w:tr>
        <w:tc>
          <w:tcPr>
            <w:tcW w:type="dxa" w:w="38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Item</w:t>
            </w:r>
          </w:p>
        </w:tc>
        <w:tc>
          <w:tcPr>
            <w:tcW w:type="dxa" w:w="11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GH¢</w:t>
            </w:r>
          </w:p>
        </w:tc>
        <w:tc>
          <w:tcPr>
            <w:tcW w:type="dxa" w:w="11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GH¢</w:t>
            </w:r>
          </w:p>
        </w:tc>
      </w:tr>
      <w:tr>
        <w:tc>
          <w:tcPr>
            <w:tcW w:type="dxa" w:w="38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Disposal proceeds of old machine</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80,000</w:t>
            </w:r>
          </w:p>
        </w:tc>
      </w:tr>
      <w:tr>
        <w:tc>
          <w:tcPr>
            <w:tcW w:type="dxa" w:w="38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Less: Net Book Value (NBV) of old machine</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(69,000)</w:t>
            </w:r>
          </w:p>
        </w:tc>
      </w:tr>
      <w:tr>
        <w:tc>
          <w:tcPr>
            <w:tcW w:type="dxa" w:w="38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Gain on disposal</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10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11,000</w:t>
            </w:r>
          </w:p>
        </w:tc>
      </w:tr>
      <w:tr>
        <w:tc>
          <w:tcPr>
            <w:tcW w:type="dxa" w:w="38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Tax on gain @ 30%  (GH¢11,000 × 30%)</w:t>
            </w:r>
          </w:p>
        </w:tc>
        <w:tc>
          <w:tcPr>
            <w:tcW w:type="dxa" w:w="11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10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3,300</w:t>
            </w:r>
          </w:p>
        </w:tc>
      </w:tr>
    </w:tbl>
    <w:p>
      <w:pPr>
        <w:spacing w:after="0" w:before="80"/>
      </w:pPr>
    </w:p>
    <w:p>
      <w:pPr>
        <w:spacing w:after="80" w:before="80"/>
      </w:pPr>
      <w:r>
        <w:rPr>
          <w:rFonts w:ascii="Arial" w:cs="Arial" w:eastAsia="Arial" w:hAnsi="Arial"/>
          <w:b w:val="false"/>
          <w:bCs w:val="false"/>
          <w:color w:val="000000"/>
          <w:sz w:val="20"/>
          <w:szCs w:val="20"/>
        </w:rPr>
        <w:t xml:space="preserve">This tax of GH¢3,300 is deducted from the disposal proceeds at T₀. So instead of receiving a net GH¢80,000, the company nets GH¢76,700 from the disposal transaction — and together with the machine purchase of GH¢825,000, the T₀ net cash flow is (GH¢748,300).</w:t>
      </w:r>
    </w:p>
    <w:p>
      <w:pPr>
        <w:spacing w:after="120" w:before="320"/>
      </w:pPr>
      <w:r>
        <w:rPr>
          <w:rFonts w:ascii="Arial" w:cs="Arial" w:eastAsia="Arial" w:hAnsi="Arial"/>
          <w:b/>
          <w:bCs/>
          <w:color w:val="1F3864"/>
          <w:sz w:val="30"/>
          <w:szCs w:val="30"/>
        </w:rPr>
        <w:t xml:space="preserve">Step 3 — Working 2: Tax Depreciation Schedule (Reducing Balance @ 20%)</w:t>
      </w:r>
    </w:p>
    <w:p>
      <w:pPr>
        <w:spacing w:after="80" w:before="80"/>
      </w:pPr>
      <w:r>
        <w:rPr>
          <w:rFonts w:ascii="Arial" w:cs="Arial" w:eastAsia="Arial" w:hAnsi="Arial"/>
          <w:b w:val="false"/>
          <w:bCs w:val="false"/>
          <w:color w:val="000000"/>
          <w:sz w:val="20"/>
          <w:szCs w:val="20"/>
        </w:rPr>
        <w:t xml:space="preserve">For tax purposes, the company claims capital allowances using the reducing balance method at 20% per annum — not the straight-line method used in the management accounts. This is important because tax depreciation determines the taxable profit each year, not the accounting depreciation.</w:t>
      </w:r>
    </w:p>
    <w:p>
      <w:pPr>
        <w:spacing w:after="0" w:before="80"/>
      </w:pPr>
    </w:p>
    <w:p>
      <w:pPr>
        <w:pBdr>
          <w:left w:val="thick" w:color="2E5FA3" w:sz="12" w:space="4"/>
        </w:pBdr>
        <w:spacing w:after="120" w:before="120"/>
        <w:ind w:left="360" w:right="360"/>
      </w:pPr>
      <w:r>
        <w:rPr>
          <w:rFonts w:ascii="Arial" w:cs="Arial" w:eastAsia="Arial" w:hAnsi="Arial"/>
          <w:color w:val="1F3864"/>
          <w:sz w:val="20"/>
          <w:szCs w:val="20"/>
        </w:rPr>
        <w:t xml:space="preserve">Why use tax depreciation in the PBT computation? Because we are calculating taxable profit (which determines how much tax is paid in cash), not accounting profit. Tax is a real cash outflow, so we must compute it on the correct basis.</w:t>
      </w:r>
    </w:p>
    <w:p>
      <w:pPr>
        <w:spacing w:after="0" w:before="100"/>
      </w:pP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700"/>
        <w:gridCol w:w="1780"/>
        <w:gridCol w:w="920"/>
        <w:gridCol w:w="1780"/>
        <w:gridCol w:w="1780"/>
      </w:tblGrid>
      <w:tr>
        <w:tc>
          <w:tcPr>
            <w:tcW w:type="dxa" w:w="7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
            </w:r>
          </w:p>
        </w:tc>
        <w:tc>
          <w:tcPr>
            <w:tcW w:type="dxa" w:w="178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2"/>
                <w:szCs w:val="22"/>
              </w:rPr>
              <w:t xml:space="preserve">A</w:t>
            </w:r>
          </w:p>
        </w:tc>
        <w:tc>
          <w:tcPr>
            <w:tcW w:type="dxa" w:w="92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2"/>
                <w:szCs w:val="22"/>
              </w:rPr>
              <w:t xml:space="preserve">B</w:t>
            </w:r>
          </w:p>
        </w:tc>
        <w:tc>
          <w:tcPr>
            <w:tcW w:type="dxa" w:w="178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2"/>
                <w:szCs w:val="22"/>
              </w:rPr>
              <w:t xml:space="preserve">A × B = C</w:t>
            </w:r>
          </w:p>
        </w:tc>
        <w:tc>
          <w:tcPr>
            <w:tcW w:type="dxa" w:w="178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2"/>
                <w:szCs w:val="22"/>
              </w:rPr>
              <w:t xml:space="preserve">A − C</w:t>
            </w:r>
          </w:p>
        </w:tc>
      </w:tr>
      <w:tr>
        <w:tc>
          <w:tcPr>
            <w:tcW w:type="dxa" w:w="70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center"/>
            </w:pPr>
            <w:r>
              <w:rPr>
                <w:rFonts w:ascii="Arial" w:cs="Arial" w:eastAsia="Arial" w:hAnsi="Arial"/>
                <w:b/>
                <w:bCs/>
                <w:color w:val="1F3864"/>
                <w:sz w:val="19"/>
                <w:szCs w:val="19"/>
              </w:rPr>
              <w:t xml:space="preserve">Year</w:t>
            </w:r>
          </w:p>
        </w:tc>
        <w:tc>
          <w:tcPr>
            <w:tcW w:type="dxa" w:w="178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center"/>
            </w:pPr>
            <w:r>
              <w:rPr>
                <w:rFonts w:ascii="Arial" w:cs="Arial" w:eastAsia="Arial" w:hAnsi="Arial"/>
                <w:b/>
                <w:bCs/>
                <w:color w:val="1F3864"/>
                <w:sz w:val="19"/>
                <w:szCs w:val="19"/>
              </w:rPr>
              <w:t xml:space="preserve">WDV b/f  GH¢</w:t>
            </w:r>
          </w:p>
        </w:tc>
        <w:tc>
          <w:tcPr>
            <w:tcW w:type="dxa" w:w="92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center"/>
            </w:pPr>
            <w:r>
              <w:rPr>
                <w:rFonts w:ascii="Arial" w:cs="Arial" w:eastAsia="Arial" w:hAnsi="Arial"/>
                <w:b/>
                <w:bCs/>
                <w:color w:val="1F3864"/>
                <w:sz w:val="19"/>
                <w:szCs w:val="19"/>
              </w:rPr>
              <w:t xml:space="preserve">Rate</w:t>
            </w:r>
          </w:p>
        </w:tc>
        <w:tc>
          <w:tcPr>
            <w:tcW w:type="dxa" w:w="178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center"/>
            </w:pPr>
            <w:r>
              <w:rPr>
                <w:rFonts w:ascii="Arial" w:cs="Arial" w:eastAsia="Arial" w:hAnsi="Arial"/>
                <w:b/>
                <w:bCs/>
                <w:color w:val="1F3864"/>
                <w:sz w:val="19"/>
                <w:szCs w:val="19"/>
              </w:rPr>
              <w:t xml:space="preserve">Tax Dep.  GH¢</w:t>
            </w:r>
          </w:p>
        </w:tc>
        <w:tc>
          <w:tcPr>
            <w:tcW w:type="dxa" w:w="178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center"/>
            </w:pPr>
            <w:r>
              <w:rPr>
                <w:rFonts w:ascii="Arial" w:cs="Arial" w:eastAsia="Arial" w:hAnsi="Arial"/>
                <w:b/>
                <w:bCs/>
                <w:color w:val="1F3864"/>
                <w:sz w:val="19"/>
                <w:szCs w:val="19"/>
              </w:rPr>
              <w:t xml:space="preserve">WDV c/f  GH¢</w:t>
            </w:r>
          </w:p>
        </w:tc>
      </w:tr>
      <w:tr>
        <w:tc>
          <w:tcPr>
            <w:tcW w:type="dxa" w:w="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bCs/>
                <w:color w:val="000000"/>
                <w:sz w:val="20"/>
                <w:szCs w:val="20"/>
              </w:rPr>
              <w:t xml:space="preserve">Y₁</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825,000</w:t>
            </w:r>
          </w:p>
        </w:tc>
        <w:tc>
          <w:tcPr>
            <w:tcW w:type="dxa" w:w="92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val="false"/>
                <w:bCs w:val="false"/>
                <w:color w:val="000000"/>
                <w:sz w:val="20"/>
                <w:szCs w:val="20"/>
              </w:rPr>
              <w:t xml:space="preserve">20%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165,000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660,000</w:t>
            </w:r>
          </w:p>
        </w:tc>
      </w:tr>
      <w:tr>
        <w:tc>
          <w:tcPr>
            <w:tcW w:type="dxa" w:w="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bCs/>
                <w:color w:val="000000"/>
                <w:sz w:val="20"/>
                <w:szCs w:val="20"/>
              </w:rPr>
              <w:t xml:space="preserve">Y₂</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660,000</w:t>
            </w:r>
          </w:p>
        </w:tc>
        <w:tc>
          <w:tcPr>
            <w:tcW w:type="dxa" w:w="92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val="false"/>
                <w:bCs w:val="false"/>
                <w:color w:val="000000"/>
                <w:sz w:val="20"/>
                <w:szCs w:val="20"/>
              </w:rPr>
              <w:t xml:space="preserve">20%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132,000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528,000</w:t>
            </w:r>
          </w:p>
        </w:tc>
      </w:tr>
      <w:tr>
        <w:tc>
          <w:tcPr>
            <w:tcW w:type="dxa" w:w="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bCs/>
                <w:color w:val="000000"/>
                <w:sz w:val="20"/>
                <w:szCs w:val="20"/>
              </w:rPr>
              <w:t xml:space="preserve">Y₃</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528,000</w:t>
            </w:r>
          </w:p>
        </w:tc>
        <w:tc>
          <w:tcPr>
            <w:tcW w:type="dxa" w:w="92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val="false"/>
                <w:bCs w:val="false"/>
                <w:color w:val="000000"/>
                <w:sz w:val="20"/>
                <w:szCs w:val="20"/>
              </w:rPr>
              <w:t xml:space="preserve">20%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105,600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422,400</w:t>
            </w:r>
          </w:p>
        </w:tc>
      </w:tr>
      <w:tr>
        <w:tc>
          <w:tcPr>
            <w:tcW w:type="dxa" w:w="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bCs/>
                <w:color w:val="000000"/>
                <w:sz w:val="20"/>
                <w:szCs w:val="20"/>
              </w:rPr>
              <w:t xml:space="preserve">Y₄</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422,400</w:t>
            </w:r>
          </w:p>
        </w:tc>
        <w:tc>
          <w:tcPr>
            <w:tcW w:type="dxa" w:w="92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center"/>
            </w:pPr>
            <w:r>
              <w:rPr>
                <w:rFonts w:ascii="Arial" w:cs="Arial" w:eastAsia="Arial" w:hAnsi="Arial"/>
                <w:b w:val="false"/>
                <w:bCs w:val="false"/>
                <w:color w:val="000000"/>
                <w:sz w:val="19"/>
                <w:szCs w:val="19"/>
              </w:rPr>
              <w:t xml:space="preserve">Bal.</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372,400</w:t>
            </w:r>
          </w:p>
        </w:tc>
        <w:tc>
          <w:tcPr>
            <w:tcW w:type="dxa" w:w="178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19"/>
                <w:szCs w:val="19"/>
              </w:rPr>
              <w:t xml:space="preserve">50,000 *</w:t>
            </w:r>
          </w:p>
        </w:tc>
      </w:tr>
    </w:tbl>
    <w:p>
      <w:pPr>
        <w:spacing w:after="0" w:before="80"/>
      </w:pPr>
    </w:p>
    <w:p>
      <w:pPr>
        <w:spacing w:after="80" w:before="80"/>
      </w:pPr>
      <w:r>
        <w:rPr>
          <w:rFonts w:ascii="Arial" w:cs="Arial" w:eastAsia="Arial" w:hAnsi="Arial"/>
          <w:b w:val="false"/>
          <w:bCs w:val="false"/>
          <w:color w:val="000000"/>
          <w:sz w:val="20"/>
          <w:szCs w:val="20"/>
        </w:rPr>
        <w:t xml:space="preserve">In Year 4, no regular 20% allowance is taken. Instead, a balancing allowance is computed: the WDV of GH¢422,400 minus the scrap value of GH¢50,000 = GH¢372,400. This ensures all remaining tax value is relieved in the final year.</w:t>
      </w:r>
    </w:p>
    <w:p>
      <w:pPr>
        <w:spacing w:after="80" w:before="80"/>
      </w:pPr>
      <w:r>
        <w:rPr>
          <w:rFonts w:ascii="Arial" w:cs="Arial" w:eastAsia="Arial" w:hAnsi="Arial"/>
          <w:b w:val="false"/>
          <w:bCs w:val="false"/>
          <w:color w:val="000000"/>
          <w:sz w:val="20"/>
          <w:szCs w:val="20"/>
        </w:rPr>
        <w:t xml:space="preserve">* The GH¢50,000 scrap value at Year 4 is the residual disposal value — it appears as a cash inflow in the main cash flow schedule.</w:t>
      </w:r>
    </w:p>
    <w:p>
      <w:pPr>
        <w:spacing w:after="120" w:before="320"/>
      </w:pPr>
      <w:r>
        <w:rPr>
          <w:rFonts w:ascii="Arial" w:cs="Arial" w:eastAsia="Arial" w:hAnsi="Arial"/>
          <w:b/>
          <w:bCs/>
          <w:color w:val="1F3864"/>
          <w:sz w:val="30"/>
          <w:szCs w:val="30"/>
        </w:rPr>
        <w:t xml:space="preserve">Step 4 — Computation of Cash Flows (Income Statement Approach)</w:t>
      </w:r>
    </w:p>
    <w:p>
      <w:pPr>
        <w:spacing w:after="80" w:before="80"/>
      </w:pPr>
      <w:r>
        <w:rPr>
          <w:rFonts w:ascii="Arial" w:cs="Arial" w:eastAsia="Arial" w:hAnsi="Arial"/>
          <w:b w:val="false"/>
          <w:bCs w:val="false"/>
          <w:color w:val="000000"/>
          <w:sz w:val="20"/>
          <w:szCs w:val="20"/>
        </w:rPr>
        <w:t xml:space="preserve">With both workings complete, we can now build the main cash flow schedule. The lecturer's method builds this as a condensed income statement that converts to cash by adding back the non-cash tax depreciation at the end.</w:t>
      </w:r>
    </w:p>
    <w:p>
      <w:pPr>
        <w:spacing w:after="0" w:before="80"/>
      </w:pPr>
    </w:p>
    <w:p>
      <w:pPr>
        <w:spacing w:after="60" w:before="160"/>
      </w:pPr>
      <w:r>
        <w:rPr>
          <w:rFonts w:ascii="Arial" w:cs="Arial" w:eastAsia="Arial" w:hAnsi="Arial"/>
          <w:b/>
          <w:bCs/>
          <w:color w:val="4472C4"/>
          <w:sz w:val="22"/>
          <w:szCs w:val="22"/>
        </w:rPr>
        <w:t xml:space="preserve">Key decisions in this table:</w:t>
      </w:r>
    </w:p>
    <w:p>
      <w:pPr>
        <w:spacing w:after="80" w:before="80"/>
      </w:pPr>
      <w:r>
        <w:rPr>
          <w:rFonts w:ascii="Arial" w:cs="Arial" w:eastAsia="Arial" w:hAnsi="Arial"/>
          <w:b w:val="false"/>
          <w:bCs w:val="false"/>
          <w:color w:val="000000"/>
          <w:sz w:val="20"/>
          <w:szCs w:val="20"/>
        </w:rPr>
        <w:t xml:space="preserve">Opportunity Cost (Lost Contribution): The old machine, if kept, would have earned GH¢100,000 contribution in Year 1 before being scrapped for nil. By disposing of it now, this contribution is sacrificed. It is therefore an incremental cash cost in Year 1 — shown gross (before tax), because the tax effect is automatically captured through the PBT and tax calculation rows below.</w:t>
      </w:r>
    </w:p>
    <w:p>
      <w:pPr>
        <w:spacing w:after="0" w:before="60"/>
      </w:pPr>
    </w:p>
    <w:p>
      <w:pPr>
        <w:spacing w:after="80" w:before="80"/>
      </w:pPr>
      <w:r>
        <w:rPr>
          <w:rFonts w:ascii="Arial" w:cs="Arial" w:eastAsia="Arial" w:hAnsi="Arial"/>
          <w:b w:val="false"/>
          <w:bCs w:val="false"/>
          <w:color w:val="000000"/>
          <w:sz w:val="20"/>
          <w:szCs w:val="20"/>
        </w:rPr>
        <w:t xml:space="preserve">Tax in Year 1: Since PBT in Year 1 is a loss of GH¢165,000, no tax is payable. In this approach, a tax-loss company simply pays zero tax — the loss is not carried forward for simplicity in this exam model.</w:t>
      </w:r>
    </w:p>
    <w:p>
      <w:pPr>
        <w:spacing w:after="0" w:before="60"/>
      </w:pPr>
    </w:p>
    <w:p>
      <w:pPr>
        <w:spacing w:after="80" w:before="80"/>
      </w:pPr>
      <w:r>
        <w:rPr>
          <w:rFonts w:ascii="Arial" w:cs="Arial" w:eastAsia="Arial" w:hAnsi="Arial"/>
          <w:b w:val="false"/>
          <w:bCs w:val="false"/>
          <w:color w:val="000000"/>
          <w:sz w:val="20"/>
          <w:szCs w:val="20"/>
        </w:rPr>
        <w:t xml:space="preserve">Add Back Tax Depreciation: Once PAT is computed using tax depreciation as a deduction, that same tax depreciation must be added back — because it is not a real cash payment. The cash consequence of the asset has already been captured in the initial investment row at T₀.</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90"/>
        <w:gridCol w:w="1290"/>
        <w:gridCol w:w="1290"/>
        <w:gridCol w:w="1290"/>
      </w:tblGrid>
      <w:tr>
        <w:tc>
          <w:tcPr>
            <w:tcW w:type="dxa" w:w="32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Item</w:t>
            </w:r>
          </w:p>
        </w:tc>
        <w:tc>
          <w:tcPr>
            <w:tcW w:type="dxa" w:w="1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T₀  GH¢</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Year 1  GH¢</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Year 2  GH¢</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Year 3  GH¢</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Year 4  GH¢</w:t>
            </w:r>
          </w:p>
        </w:tc>
      </w:tr>
      <w:tr>
        <w:tc>
          <w:tcPr>
            <w:tcW w:type="dxa" w:w="9360"/>
            <w:gridSpan w:val="1"/>
            <w:tcBorders>
              <w:top w:val="single" w:color="AAAAAA" w:sz="2"/>
              <w:left w:val="single" w:color="AAAAAA" w:sz="2"/>
              <w:bottom w:val="single" w:color="AAAAAA" w:sz="2"/>
              <w:right w:val="single" w:color="AAAAAA" w:sz="2"/>
            </w:tcBorders>
            <w:shd w:fill="2E5FA3" w:val="clear"/>
            <w:tcMar>
              <w:top w:type="dxa" w:w="72"/>
              <w:left w:type="dxa" w:w="108"/>
              <w:bottom w:type="dxa" w:w="72"/>
              <w:right w:type="dxa" w:w="108"/>
            </w:tcMar>
            <w:vAlign w:val="center"/>
          </w:tcPr>
          <w:p>
            <w:pPr>
              <w:spacing w:after="0" w:before="0"/>
              <w:jc w:val="left"/>
            </w:pPr>
            <w:r>
              <w:rPr>
                <w:rFonts w:ascii="Arial" w:cs="Arial" w:eastAsia="Arial" w:hAnsi="Arial"/>
                <w:b/>
                <w:bCs/>
                <w:color w:val="FFFFFF"/>
                <w:sz w:val="20"/>
                <w:szCs w:val="20"/>
              </w:rPr>
              <w:t xml:space="preserve">Revenue</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Contribution per unit (GH¢/unit)</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Annual Demand (Units)</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26,000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28,000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25,000</w:t>
            </w:r>
          </w:p>
        </w:tc>
      </w:tr>
      <w:tr>
        <w:tc>
          <w:tcPr>
            <w:tcW w:type="dxa" w:w="320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Total Contribution  (GH¢)</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500,000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1,300,000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1,400,000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1,250,000</w:t>
            </w:r>
          </w:p>
        </w:tc>
      </w:tr>
      <w:tr>
        <w:tc>
          <w:tcPr>
            <w:tcW w:type="dxa" w:w="9360"/>
            <w:gridSpan w:val="1"/>
            <w:tcBorders>
              <w:top w:val="single" w:color="AAAAAA" w:sz="2"/>
              <w:left w:val="single" w:color="AAAAAA" w:sz="2"/>
              <w:bottom w:val="single" w:color="AAAAAA" w:sz="2"/>
              <w:right w:val="single" w:color="AAAAAA" w:sz="2"/>
            </w:tcBorders>
            <w:shd w:fill="2E5FA3" w:val="clear"/>
            <w:tcMar>
              <w:top w:type="dxa" w:w="72"/>
              <w:left w:type="dxa" w:w="108"/>
              <w:bottom w:type="dxa" w:w="72"/>
              <w:right w:type="dxa" w:w="108"/>
            </w:tcMar>
            <w:vAlign w:val="center"/>
          </w:tcPr>
          <w:p>
            <w:pPr>
              <w:spacing w:after="0" w:before="0"/>
              <w:jc w:val="left"/>
            </w:pPr>
            <w:r>
              <w:rPr>
                <w:rFonts w:ascii="Arial" w:cs="Arial" w:eastAsia="Arial" w:hAnsi="Arial"/>
                <w:b/>
                <w:bCs/>
                <w:color w:val="FFFFFF"/>
                <w:sz w:val="20"/>
                <w:szCs w:val="20"/>
              </w:rPr>
              <w:t xml:space="preserve">Less: Costs</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Loss of Contribution — Old Machine (Opportunity Cost)</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(100,000)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Fixed Costs</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(380,000)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(380,000)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(380,000)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(380,000)</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Maintenance Cost</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(20,000)</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Tax Depreciation — Working 2 (GH¢)</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(165,000)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(132,000)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(105,600)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(372,400)</w:t>
            </w:r>
          </w:p>
        </w:tc>
      </w:tr>
      <w:tr>
        <w:tc>
          <w:tcPr>
            <w:tcW w:type="dxa" w:w="32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Profit Before Tax (PBT)</w:t>
            </w:r>
          </w:p>
        </w:tc>
        <w:tc>
          <w:tcPr>
            <w:tcW w:type="dxa" w:w="10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(165,000)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768,000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894,400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477,600</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Tax @ 30% × PBT  (payable in year arising)</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(230,400)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(268,320)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(143,280)</w:t>
            </w:r>
          </w:p>
        </w:tc>
      </w:tr>
      <w:tr>
        <w:tc>
          <w:tcPr>
            <w:tcW w:type="dxa" w:w="32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Profit After Tax (PAT)</w:t>
            </w:r>
          </w:p>
        </w:tc>
        <w:tc>
          <w:tcPr>
            <w:tcW w:type="dxa" w:w="10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(165,000)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537,600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626,080</w:t>
            </w:r>
          </w:p>
        </w:tc>
        <w:tc>
          <w:tcPr>
            <w:tcW w:type="dxa" w:w="129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334,320</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Add Back: Tax Depreciation (Working 2)</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165,000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132,000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105,600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372,400</w:t>
            </w:r>
          </w:p>
        </w:tc>
      </w:tr>
      <w:tr>
        <w:tc>
          <w:tcPr>
            <w:tcW w:type="dxa" w:w="9360"/>
            <w:gridSpan w:val="1"/>
            <w:tcBorders>
              <w:top w:val="single" w:color="AAAAAA" w:sz="2"/>
              <w:left w:val="single" w:color="AAAAAA" w:sz="2"/>
              <w:bottom w:val="single" w:color="AAAAAA" w:sz="2"/>
              <w:right w:val="single" w:color="AAAAAA" w:sz="2"/>
            </w:tcBorders>
            <w:shd w:fill="2E5FA3" w:val="clear"/>
            <w:tcMar>
              <w:top w:type="dxa" w:w="72"/>
              <w:left w:type="dxa" w:w="108"/>
              <w:bottom w:type="dxa" w:w="72"/>
              <w:right w:type="dxa" w:w="108"/>
            </w:tcMar>
            <w:vAlign w:val="center"/>
          </w:tcPr>
          <w:p>
            <w:pPr>
              <w:spacing w:after="0" w:before="0"/>
              <w:jc w:val="left"/>
            </w:pPr>
            <w:r>
              <w:rPr>
                <w:rFonts w:ascii="Arial" w:cs="Arial" w:eastAsia="Arial" w:hAnsi="Arial"/>
                <w:b/>
                <w:bCs/>
                <w:color w:val="FFFFFF"/>
                <w:sz w:val="20"/>
                <w:szCs w:val="20"/>
              </w:rPr>
              <w:t xml:space="preserve">Capital Items</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Initial Investment — New Machine</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(825,000)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Disposal Proceeds — Old Machine</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80,000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Tax on Disposal Gain — Working 1</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(3,300)</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r>
      <w:tr>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Scrap Value of New Machine (end Year 4)</w:t>
            </w:r>
          </w:p>
        </w:tc>
        <w:tc>
          <w:tcPr>
            <w:tcW w:type="dxa" w:w="1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w:t>
            </w:r>
          </w:p>
        </w:tc>
        <w:tc>
          <w:tcPr>
            <w:tcW w:type="dxa" w:w="129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50,000</w:t>
            </w:r>
          </w:p>
        </w:tc>
      </w:tr>
      <w:tr>
        <w:tc>
          <w:tcPr>
            <w:tcW w:type="dxa" w:w="32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left"/>
            </w:pPr>
            <w:r>
              <w:rPr>
                <w:rFonts w:ascii="Arial" w:cs="Arial" w:eastAsia="Arial" w:hAnsi="Arial"/>
                <w:b/>
                <w:bCs/>
                <w:color w:val="FFFFFF"/>
                <w:sz w:val="20"/>
                <w:szCs w:val="20"/>
              </w:rPr>
              <w:t xml:space="preserve">Total Cash Flow  (GH¢)</w:t>
            </w:r>
          </w:p>
        </w:tc>
        <w:tc>
          <w:tcPr>
            <w:tcW w:type="dxa" w:w="1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0"/>
                <w:szCs w:val="20"/>
              </w:rPr>
              <w:t xml:space="preserve">(748,300)</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0"/>
                <w:szCs w:val="20"/>
              </w:rPr>
              <w:t xml:space="preserve">0</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0"/>
                <w:szCs w:val="20"/>
              </w:rPr>
              <w:t xml:space="preserve">669,600</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0"/>
                <w:szCs w:val="20"/>
              </w:rPr>
              <w:t xml:space="preserve">731,680</w:t>
            </w:r>
          </w:p>
        </w:tc>
        <w:tc>
          <w:tcPr>
            <w:tcW w:type="dxa" w:w="129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0"/>
                <w:szCs w:val="20"/>
              </w:rPr>
              <w:t xml:space="preserve">756,720</w:t>
            </w:r>
          </w:p>
        </w:tc>
      </w:tr>
    </w:tbl>
    <w:p>
      <w:pPr>
        <w:spacing w:after="0" w:before="80"/>
      </w:pPr>
    </w:p>
    <w:p>
      <w:pPr>
        <w:spacing w:after="80" w:before="80"/>
      </w:pPr>
      <w:r>
        <w:rPr>
          <w:rFonts w:ascii="Arial" w:cs="Arial" w:eastAsia="Arial" w:hAnsi="Arial"/>
          <w:b w:val="false"/>
          <w:bCs w:val="false"/>
          <w:color w:val="000000"/>
          <w:sz w:val="20"/>
          <w:szCs w:val="20"/>
        </w:rPr>
        <w:t xml:space="preserve">Note: The T₀ column captures three items — machine purchase (GH¢825,000 outflow), disposal proceeds (GH¢80,000 inflow), and tax on disposal (GH¢3,300 outflow) — giving a net T₀ cash flow of GH¢(748,300).</w:t>
      </w:r>
    </w:p>
    <w:p>
      <w:pPr>
        <w:spacing w:after="80" w:before="80"/>
      </w:pPr>
      <w:r>
        <w:rPr>
          <w:rFonts w:ascii="Arial" w:cs="Arial" w:eastAsia="Arial" w:hAnsi="Arial"/>
          <w:b w:val="false"/>
          <w:bCs w:val="false"/>
          <w:color w:val="000000"/>
          <w:sz w:val="20"/>
          <w:szCs w:val="20"/>
        </w:rPr>
        <w:t xml:space="preserve">Note: Year 1 cash flow nets to zero because the PAT loss of (165,000) is exactly offset by the add-back of tax depreciation of 165,000.</w:t>
      </w:r>
    </w:p>
    <w:p>
      <w:pPr>
        <w:spacing w:after="120" w:before="320"/>
      </w:pPr>
      <w:r>
        <w:rPr>
          <w:rFonts w:ascii="Arial" w:cs="Arial" w:eastAsia="Arial" w:hAnsi="Arial"/>
          <w:b/>
          <w:bCs/>
          <w:color w:val="1F3864"/>
          <w:sz w:val="30"/>
          <w:szCs w:val="30"/>
        </w:rPr>
        <w:t xml:space="preserve">Step 5 — Net Present Value of Operating Cash Flows</w:t>
      </w:r>
    </w:p>
    <w:p>
      <w:pPr>
        <w:spacing w:after="80" w:before="80"/>
      </w:pPr>
      <w:r>
        <w:rPr>
          <w:rFonts w:ascii="Arial" w:cs="Arial" w:eastAsia="Arial" w:hAnsi="Arial"/>
          <w:b w:val="false"/>
          <w:bCs w:val="false"/>
          <w:color w:val="000000"/>
          <w:sz w:val="20"/>
          <w:szCs w:val="20"/>
        </w:rPr>
        <w:t xml:space="preserve">Each year's cash flow is discounted at the company's WACC of 15% to bring all values to today's terms (T₀). The discount factors are derived from the formula 1 ÷ (1 + 0.15)ⁿ where n is the year number.</w:t>
      </w:r>
    </w:p>
    <w:p>
      <w:pPr>
        <w:spacing w:after="0" w:before="80"/>
      </w:pPr>
    </w:p>
    <w:p>
      <w:pPr>
        <w:pBdr>
          <w:left w:val="thick" w:color="2E5FA3" w:sz="12" w:space="4"/>
        </w:pBdr>
        <w:spacing w:after="120" w:before="120"/>
        <w:ind w:left="360" w:right="360"/>
      </w:pPr>
      <w:r>
        <w:rPr>
          <w:rFonts w:ascii="Arial" w:cs="Arial" w:eastAsia="Arial" w:hAnsi="Arial"/>
          <w:color w:val="1F3864"/>
          <w:sz w:val="20"/>
          <w:szCs w:val="20"/>
        </w:rPr>
        <w:t xml:space="preserve">Discount factors used: Y0 = 1.0000 | Y1 = 0.8696 | Y2 = 0.7561 | Y3 = 0.6575 | Y4 = 0.5718</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960"/>
      </w:tblGrid>
      <w:tr>
        <w:tc>
          <w:tcPr>
            <w:tcW w:type="dxa" w:w="4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Year</w:t>
            </w:r>
          </w:p>
        </w:tc>
        <w:tc>
          <w:tcPr>
            <w:tcW w:type="dxa" w:w="17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Cash Flow  GH¢</w:t>
            </w:r>
          </w:p>
        </w:tc>
        <w:tc>
          <w:tcPr>
            <w:tcW w:type="dxa" w:w="17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Discount Factor @ 15%</w:t>
            </w:r>
          </w:p>
        </w:tc>
        <w:tc>
          <w:tcPr>
            <w:tcW w:type="dxa" w:w="196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Present Value  GH¢</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0 — Initial investment</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(748,300)</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1</w:t>
            </w:r>
          </w:p>
        </w:tc>
        <w:tc>
          <w:tcPr>
            <w:tcW w:type="dxa" w:w="196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(748,300)</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1</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0.8696</w:t>
            </w:r>
          </w:p>
        </w:tc>
        <w:tc>
          <w:tcPr>
            <w:tcW w:type="dxa" w:w="196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2</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669,600</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0.7561</w:t>
            </w:r>
          </w:p>
        </w:tc>
        <w:tc>
          <w:tcPr>
            <w:tcW w:type="dxa" w:w="196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506,285</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3</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731,680</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0.6575</w:t>
            </w:r>
          </w:p>
        </w:tc>
        <w:tc>
          <w:tcPr>
            <w:tcW w:type="dxa" w:w="196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481,080</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4</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756,720</w:t>
            </w:r>
          </w:p>
        </w:tc>
        <w:tc>
          <w:tcPr>
            <w:tcW w:type="dxa" w:w="17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0.5718</w:t>
            </w:r>
          </w:p>
        </w:tc>
        <w:tc>
          <w:tcPr>
            <w:tcW w:type="dxa" w:w="196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432,692</w:t>
            </w:r>
          </w:p>
        </w:tc>
      </w:tr>
      <w:tr>
        <w:tc>
          <w:tcPr>
            <w:tcW w:type="dxa" w:w="40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NPV of Operating Cash Flows</w:t>
            </w:r>
          </w:p>
        </w:tc>
        <w:tc>
          <w:tcPr>
            <w:tcW w:type="dxa" w:w="17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17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196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671,757</w:t>
            </w:r>
          </w:p>
        </w:tc>
      </w:tr>
    </w:tbl>
    <w:p>
      <w:pPr>
        <w:spacing w:after="0" w:before="80"/>
      </w:pPr>
    </w:p>
    <w:p>
      <w:pPr>
        <w:spacing w:after="80" w:before="80"/>
      </w:pPr>
      <w:r>
        <w:rPr>
          <w:rFonts w:ascii="Arial" w:cs="Arial" w:eastAsia="Arial" w:hAnsi="Arial"/>
          <w:b w:val="false"/>
          <w:bCs w:val="false"/>
          <w:color w:val="000000"/>
          <w:sz w:val="20"/>
          <w:szCs w:val="20"/>
        </w:rPr>
        <w:t xml:space="preserve">The NPV of GH¢671,757 represents the net present value of the cash flows generated by the new product investment over the explicit 4-year forecast horizon only. However, the business is assumed to continue beyond Year 4, so we must also capture the value of those future cash flows through the Terminal Value.</w:t>
      </w:r>
    </w:p>
    <w:p>
      <w:pPr>
        <w:spacing w:after="120" w:before="320"/>
      </w:pPr>
      <w:r>
        <w:rPr>
          <w:rFonts w:ascii="Arial" w:cs="Arial" w:eastAsia="Arial" w:hAnsi="Arial"/>
          <w:b/>
          <w:bCs/>
          <w:color w:val="1F3864"/>
          <w:sz w:val="30"/>
          <w:szCs w:val="30"/>
        </w:rPr>
        <w:t xml:space="preserve">Step 6 — Terminal Value Using the Gordon Growth Model</w:t>
      </w:r>
    </w:p>
    <w:p>
      <w:pPr>
        <w:spacing w:after="80" w:before="80"/>
      </w:pPr>
      <w:r>
        <w:rPr>
          <w:rFonts w:ascii="Arial" w:cs="Arial" w:eastAsia="Arial" w:hAnsi="Arial"/>
          <w:b w:val="false"/>
          <w:bCs w:val="false"/>
          <w:color w:val="000000"/>
          <w:sz w:val="20"/>
          <w:szCs w:val="20"/>
        </w:rPr>
        <w:t xml:space="preserve">After the 4-year forecast period, the company is assumed to grow its free cash flows at a steady, perpetual rate of 5% per annum. The Gordon Growth Model (also known as the Dividend Growth Model adapted for firm valuation) converts this perpetual stream into a single value at the end of Year 4.</w:t>
      </w:r>
    </w:p>
    <w:p>
      <w:pPr>
        <w:spacing w:after="0" w:before="80"/>
      </w:pPr>
    </w:p>
    <w:p>
      <w:pPr>
        <w:spacing w:after="120" w:before="120"/>
        <w:jc w:val="center"/>
      </w:pPr>
      <w:r>
        <w:rPr>
          <w:rFonts w:ascii="Arial" w:cs="Arial" w:eastAsia="Arial" w:hAnsi="Arial"/>
          <w:b/>
          <w:bCs/>
          <w:color w:val="1F3864"/>
          <w:sz w:val="22"/>
          <w:szCs w:val="22"/>
        </w:rPr>
        <w:t xml:space="preserve">Terminal Value  =  CF₄  ×  (1 + g)  ÷  (r − g)</w:t>
      </w:r>
    </w:p>
    <w:p>
      <w:pPr>
        <w:spacing w:after="120" w:before="120"/>
        <w:jc w:val="center"/>
      </w:pPr>
      <w:r>
        <w:rPr>
          <w:rFonts w:ascii="Arial" w:cs="Arial" w:eastAsia="Arial" w:hAnsi="Arial"/>
          <w:b/>
          <w:bCs/>
          <w:color w:val="1F3864"/>
          <w:sz w:val="22"/>
          <w:szCs w:val="22"/>
        </w:rPr>
        <w:t xml:space="preserve">=  756,720  ×  (1 + 0.05)  ÷  (0.15 − 0.05)</w:t>
      </w:r>
    </w:p>
    <w:p>
      <w:pPr>
        <w:spacing w:after="120" w:before="120"/>
        <w:jc w:val="center"/>
      </w:pPr>
      <w:r>
        <w:rPr>
          <w:rFonts w:ascii="Arial" w:cs="Arial" w:eastAsia="Arial" w:hAnsi="Arial"/>
          <w:b/>
          <w:bCs/>
          <w:color w:val="1F3864"/>
          <w:sz w:val="22"/>
          <w:szCs w:val="22"/>
        </w:rPr>
        <w:t xml:space="preserve">=  756,720  ×  1.05  ÷  0.10</w:t>
      </w:r>
    </w:p>
    <w:p>
      <w:pPr>
        <w:spacing w:after="120" w:before="120"/>
        <w:jc w:val="center"/>
      </w:pPr>
      <w:r>
        <w:rPr>
          <w:rFonts w:ascii="Arial" w:cs="Arial" w:eastAsia="Arial" w:hAnsi="Arial"/>
          <w:b/>
          <w:bCs/>
          <w:color w:val="1F3864"/>
          <w:sz w:val="22"/>
          <w:szCs w:val="22"/>
        </w:rPr>
        <w:t xml:space="preserve">=  794,556  ÷  0.10  =  GH¢7,945,560</w:t>
      </w:r>
    </w:p>
    <w:p>
      <w:pPr>
        <w:spacing w:after="0" w:before="100"/>
      </w:pPr>
    </w:p>
    <w:p>
      <w:pPr>
        <w:spacing w:after="80" w:before="80"/>
      </w:pPr>
      <w:r>
        <w:rPr>
          <w:rFonts w:ascii="Arial" w:cs="Arial" w:eastAsia="Arial" w:hAnsi="Arial"/>
          <w:b w:val="false"/>
          <w:bCs w:val="false"/>
          <w:color w:val="000000"/>
          <w:sz w:val="20"/>
          <w:szCs w:val="20"/>
        </w:rPr>
        <w:t xml:space="preserve">This terminal value of GH¢7,945,560 is a future value — it represents the lump sum value of all cash flows from Year 5 onwards, expressed at the end of Year 4. It must therefore be discounted back to today using the Year 4 discount factor of 0.5718.</w:t>
      </w:r>
    </w:p>
    <w:p>
      <w:pPr>
        <w:spacing w:after="0" w:before="1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tblGrid>
      <w:tr>
        <w:tc>
          <w:tcPr>
            <w:tcW w:type="dxa" w:w="4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Item</w:t>
            </w:r>
          </w:p>
        </w:tc>
        <w:tc>
          <w:tcPr>
            <w:tcW w:type="dxa" w:w="32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GH¢</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Year 4 Free Cash Flow (CF₄)</w:t>
            </w:r>
          </w:p>
        </w:tc>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756,720</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 Growth factor  (1 + g)  =  (1 + 0.05)</w:t>
            </w:r>
          </w:p>
        </w:tc>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 1.05</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 Spread  (r − g)  =  (0.15 − 0.05)</w:t>
            </w:r>
          </w:p>
        </w:tc>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 0.10</w:t>
            </w:r>
          </w:p>
        </w:tc>
      </w:tr>
      <w:tr>
        <w:tc>
          <w:tcPr>
            <w:tcW w:type="dxa" w:w="4000"/>
            <w:gridSpan w:val="1"/>
            <w:tcBorders>
              <w:top w:val="single" w:color="AAAAAA" w:sz="2"/>
              <w:left w:val="single" w:color="AAAAAA" w:sz="2"/>
              <w:bottom w:val="single" w:color="AAAAAA" w:sz="2"/>
              <w:right w:val="single" w:color="AAAAAA" w:sz="2"/>
            </w:tcBorders>
            <w:shd w:fill="DEEAF1"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Terminal Value (TV) at end of Year 4</w:t>
            </w:r>
          </w:p>
        </w:tc>
        <w:tc>
          <w:tcPr>
            <w:tcW w:type="dxa" w:w="320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7,945,560</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 Year 4 Discount Factor @ 15%</w:t>
            </w:r>
          </w:p>
        </w:tc>
        <w:tc>
          <w:tcPr>
            <w:tcW w:type="dxa" w:w="32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 0.5718</w:t>
            </w:r>
          </w:p>
        </w:tc>
      </w:tr>
      <w:tr>
        <w:tc>
          <w:tcPr>
            <w:tcW w:type="dxa" w:w="4000"/>
            <w:gridSpan w:val="1"/>
            <w:tcBorders>
              <w:top w:val="single" w:color="AAAAAA" w:sz="2"/>
              <w:left w:val="single" w:color="AAAAAA" w:sz="2"/>
              <w:bottom w:val="single" w:color="AAAAAA" w:sz="2"/>
              <w:right w:val="single" w:color="AAAAAA" w:sz="2"/>
            </w:tcBorders>
            <w:shd w:fill="BDD7EE" w:val="clear"/>
            <w:tcMar>
              <w:top w:type="dxa" w:w="72"/>
              <w:left w:type="dxa" w:w="108"/>
              <w:bottom w:type="dxa" w:w="72"/>
              <w:right w:type="dxa" w:w="108"/>
            </w:tcMar>
            <w:vAlign w:val="center"/>
          </w:tcPr>
          <w:p>
            <w:pPr>
              <w:spacing w:after="0" w:before="0"/>
              <w:jc w:val="left"/>
            </w:pPr>
            <w:r>
              <w:rPr>
                <w:rFonts w:ascii="Arial" w:cs="Arial" w:eastAsia="Arial" w:hAnsi="Arial"/>
                <w:b/>
                <w:bCs/>
                <w:color w:val="000000"/>
                <w:sz w:val="20"/>
                <w:szCs w:val="20"/>
              </w:rPr>
              <w:t xml:space="preserve">Present Value of Terminal Value</w:t>
            </w:r>
          </w:p>
        </w:tc>
        <w:tc>
          <w:tcPr>
            <w:tcW w:type="dxa" w:w="3200"/>
            <w:gridSpan w:val="1"/>
            <w:tcBorders>
              <w:top w:val="single" w:color="2E5FA3" w:sz="2"/>
              <w:left w:val="single" w:color="AAAAAA" w:sz="2"/>
              <w:bottom w:val="single" w:color="2E5FA3" w:sz="6"/>
              <w:right w:val="single" w:color="AAAAAA" w:sz="2"/>
            </w:tcBorders>
            <w:shd w:fill="BDD7EE" w:val="clear"/>
            <w:tcMar>
              <w:top w:type="dxa" w:w="72"/>
              <w:left w:type="dxa" w:w="108"/>
              <w:bottom w:type="dxa" w:w="72"/>
              <w:right w:type="dxa" w:w="108"/>
            </w:tcMar>
            <w:vAlign w:val="center"/>
          </w:tcPr>
          <w:p>
            <w:pPr>
              <w:spacing w:after="0" w:before="0"/>
              <w:jc w:val="right"/>
            </w:pPr>
            <w:r>
              <w:rPr>
                <w:rFonts w:ascii="Arial" w:cs="Arial" w:eastAsia="Arial" w:hAnsi="Arial"/>
                <w:b/>
                <w:bCs/>
                <w:color w:val="000000"/>
                <w:sz w:val="20"/>
                <w:szCs w:val="20"/>
              </w:rPr>
              <w:t xml:space="preserve">4,543,271</w:t>
            </w:r>
          </w:p>
        </w:tc>
      </w:tr>
    </w:tbl>
    <w:p>
      <w:pPr>
        <w:spacing w:after="0" w:before="80"/>
      </w:pPr>
    </w:p>
    <w:p>
      <w:pPr>
        <w:pBdr>
          <w:left w:val="thick" w:color="2E5FA3" w:sz="12" w:space="4"/>
        </w:pBdr>
        <w:spacing w:after="120" w:before="120"/>
        <w:ind w:left="360" w:right="360"/>
      </w:pPr>
      <w:r>
        <w:rPr>
          <w:rFonts w:ascii="Arial" w:cs="Arial" w:eastAsia="Arial" w:hAnsi="Arial"/>
          <w:color w:val="1F3864"/>
          <w:sz w:val="20"/>
          <w:szCs w:val="20"/>
        </w:rPr>
        <w:t xml:space="preserve">Why is the terminal value so large? Because we are capturing the entire future life of the business beyond Year 4 in perpetuity. Even a modest annual cash flow, when grown forever, accumulates to a significant present value.</w:t>
      </w:r>
    </w:p>
    <w:p>
      <w:pPr>
        <w:spacing w:after="120" w:before="320"/>
      </w:pPr>
      <w:r>
        <w:rPr>
          <w:rFonts w:ascii="Arial" w:cs="Arial" w:eastAsia="Arial" w:hAnsi="Arial"/>
          <w:b/>
          <w:bCs/>
          <w:color w:val="1F3864"/>
          <w:sz w:val="30"/>
          <w:szCs w:val="30"/>
        </w:rPr>
        <w:t xml:space="preserve">Step 7 — Total Value of AA Limited</w:t>
      </w:r>
    </w:p>
    <w:p>
      <w:pPr>
        <w:spacing w:after="80" w:before="80"/>
      </w:pPr>
      <w:r>
        <w:rPr>
          <w:rFonts w:ascii="Arial" w:cs="Arial" w:eastAsia="Arial" w:hAnsi="Arial"/>
          <w:b w:val="false"/>
          <w:bCs w:val="false"/>
          <w:color w:val="000000"/>
          <w:sz w:val="20"/>
          <w:szCs w:val="20"/>
        </w:rPr>
        <w:t xml:space="preserve">The total value of the business is the sum of two components: the present value of the near-term (explicit) cash flows captured in the NPV, and the present value of all long-term future cash flows captured in the Terminal Value.</w:t>
      </w:r>
    </w:p>
    <w:p>
      <w:pPr>
        <w:spacing w:after="0" w:before="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Component</w:t>
            </w:r>
          </w:p>
        </w:tc>
        <w:tc>
          <w:tcPr>
            <w:tcW w:type="dxa" w:w="2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0"/>
                <w:szCs w:val="20"/>
              </w:rPr>
              <w:t xml:space="preserve">GH¢</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NPV of Operating Cash Flows (Years 0–4)</w:t>
            </w:r>
          </w:p>
        </w:tc>
        <w:tc>
          <w:tcPr>
            <w:tcW w:type="dxa" w:w="2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671,757</w:t>
            </w:r>
          </w:p>
        </w:tc>
      </w:tr>
      <w:tr>
        <w:tc>
          <w:tcPr>
            <w:tcW w:type="dxa" w:w="4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Add: Present Value of Terminal Value</w:t>
            </w:r>
          </w:p>
        </w:tc>
        <w:tc>
          <w:tcPr>
            <w:tcW w:type="dxa" w:w="2000"/>
            <w:gridSpan w:val="1"/>
            <w:tcBorders>
              <w:top w:val="single" w:color="AAAAAA" w:sz="2"/>
              <w:left w:val="single" w:color="AAAAAA" w:sz="2"/>
              <w:bottom w:val="single" w:color="AAAAAA" w:sz="2"/>
              <w:right w:val="single" w:color="AAAAAA" w:sz="2"/>
            </w:tcBorders>
            <w:tcMar>
              <w:top w:type="dxa" w:w="72"/>
              <w:left w:type="dxa" w:w="108"/>
              <w:bottom w:type="dxa" w:w="72"/>
              <w:right w:type="dxa" w:w="108"/>
            </w:tcMar>
            <w:vAlign w:val="center"/>
          </w:tcPr>
          <w:p>
            <w:pPr>
              <w:spacing w:after="0" w:before="0"/>
              <w:jc w:val="right"/>
            </w:pPr>
            <w:r>
              <w:rPr>
                <w:rFonts w:ascii="Arial" w:cs="Arial" w:eastAsia="Arial" w:hAnsi="Arial"/>
                <w:b w:val="false"/>
                <w:bCs w:val="false"/>
                <w:color w:val="000000"/>
                <w:sz w:val="20"/>
                <w:szCs w:val="20"/>
              </w:rPr>
              <w:t xml:space="preserve">4,543,271</w:t>
            </w:r>
          </w:p>
        </w:tc>
      </w:tr>
      <w:tr>
        <w:tc>
          <w:tcPr>
            <w:tcW w:type="dxa" w:w="4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left"/>
            </w:pPr>
            <w:r>
              <w:rPr>
                <w:rFonts w:ascii="Arial" w:cs="Arial" w:eastAsia="Arial" w:hAnsi="Arial"/>
                <w:b/>
                <w:bCs/>
                <w:color w:val="FFFFFF"/>
                <w:sz w:val="20"/>
                <w:szCs w:val="20"/>
              </w:rPr>
              <w:t xml:space="preserve">VALUE OF AA LIMITED</w:t>
            </w:r>
          </w:p>
        </w:tc>
        <w:tc>
          <w:tcPr>
            <w:tcW w:type="dxa" w:w="200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right"/>
            </w:pPr>
            <w:r>
              <w:rPr>
                <w:rFonts w:ascii="Arial" w:cs="Arial" w:eastAsia="Arial" w:hAnsi="Arial"/>
                <w:b/>
                <w:bCs/>
                <w:color w:val="FFFFFF"/>
                <w:sz w:val="22"/>
                <w:szCs w:val="22"/>
              </w:rPr>
              <w:t xml:space="preserve">5,215,028</w:t>
            </w:r>
          </w:p>
        </w:tc>
      </w:tr>
    </w:tbl>
    <w:p>
      <w:pPr>
        <w:spacing w:after="0" w:before="80"/>
      </w:pPr>
    </w:p>
    <w:p>
      <w:pPr>
        <w:spacing w:after="120" w:before="120"/>
        <w:jc w:val="center"/>
      </w:pPr>
      <w:r>
        <w:rPr>
          <w:rFonts w:ascii="Arial" w:cs="Arial" w:eastAsia="Arial" w:hAnsi="Arial"/>
          <w:b/>
          <w:bCs/>
          <w:color w:val="1F3864"/>
          <w:sz w:val="22"/>
          <w:szCs w:val="22"/>
        </w:rPr>
        <w:t xml:space="preserve">Value of AA Limited  =  GH¢671,757  +  GH¢4,543,271  =  GH¢5,215,028</w:t>
      </w:r>
    </w:p>
    <w:p>
      <w:pPr>
        <w:spacing w:after="0" w:before="100"/>
      </w:pPr>
    </w:p>
    <w:p>
      <w:pPr>
        <w:pBdr>
          <w:bottom w:val="single" w:color="1F3864" w:sz="8" w:space="1"/>
        </w:pBdr>
        <w:spacing w:after="120" w:before="120"/>
      </w:pPr>
    </w:p>
    <w:p>
      <w:pPr>
        <w:spacing w:after="120" w:before="320"/>
      </w:pPr>
      <w:r>
        <w:rPr>
          <w:rFonts w:ascii="Arial" w:cs="Arial" w:eastAsia="Arial" w:hAnsi="Arial"/>
          <w:b/>
          <w:bCs/>
          <w:color w:val="1F3864"/>
          <w:sz w:val="30"/>
          <w:szCs w:val="30"/>
        </w:rPr>
        <w:t xml:space="preserve">Conclusion</w:t>
      </w:r>
    </w:p>
    <w:p>
      <w:pPr>
        <w:spacing w:after="80" w:before="80"/>
      </w:pPr>
      <w:r>
        <w:rPr>
          <w:rFonts w:ascii="Arial" w:cs="Arial" w:eastAsia="Arial" w:hAnsi="Arial"/>
          <w:b w:val="false"/>
          <w:bCs w:val="false"/>
          <w:color w:val="000000"/>
          <w:sz w:val="20"/>
          <w:szCs w:val="20"/>
        </w:rPr>
        <w:t xml:space="preserve">Using the Free Cash Flow model, the estimated value of AA Limited is GH¢5,215,028. This figure represents the present value of all future free cash flows the firm is expected to generate, discounted at its WACC of 15%.</w:t>
      </w:r>
    </w:p>
    <w:p>
      <w:pPr>
        <w:spacing w:after="0" w:before="80"/>
      </w:pPr>
    </w:p>
    <w:p>
      <w:pPr>
        <w:spacing w:after="80" w:before="80"/>
      </w:pPr>
      <w:r>
        <w:rPr>
          <w:rFonts w:ascii="Arial" w:cs="Arial" w:eastAsia="Arial" w:hAnsi="Arial"/>
          <w:b w:val="false"/>
          <w:bCs w:val="false"/>
          <w:color w:val="000000"/>
          <w:sz w:val="20"/>
          <w:szCs w:val="20"/>
        </w:rPr>
        <w:t xml:space="preserve">The analysis correctly excluded the sunk cost consultant's fee (GH¢120,000), treated the old machine's lost contribution as a gross opportunity cost in Year 1, computed tax on the disposal gain at T₀ (GH¢3,300), and applied the Gordon Growth Model to project perpetual value beyond the 4-year horizon using a sustainable growth rate of 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FA3" w:sz="6"/>
              <w:left w:val="single" w:color="2E5FA3" w:sz="6"/>
              <w:bottom w:val="single" w:color="2E5FA3" w:sz="6"/>
              <w:right w:val="single" w:color="2E5FA3" w:sz="6"/>
            </w:tcBorders>
            <w:shd w:fill="1F3864" w:val="clear"/>
            <w:tcMar>
              <w:top w:type="dxa" w:w="72"/>
              <w:left w:type="dxa" w:w="108"/>
              <w:bottom w:type="dxa" w:w="72"/>
              <w:right w:type="dxa" w:w="108"/>
            </w:tcMar>
            <w:vAlign w:val="center"/>
          </w:tcPr>
          <w:p>
            <w:pPr>
              <w:spacing w:after="0" w:before="0"/>
              <w:jc w:val="center"/>
            </w:pPr>
            <w:r>
              <w:rPr>
                <w:rFonts w:ascii="Arial" w:cs="Arial" w:eastAsia="Arial" w:hAnsi="Arial"/>
                <w:b/>
                <w:bCs/>
                <w:color w:val="FFFFFF"/>
                <w:sz w:val="22"/>
                <w:szCs w:val="22"/>
              </w:rPr>
              <w:t xml:space="preserve">Summary of Key Figures</w:t>
            </w:r>
          </w:p>
        </w:tc>
      </w:tr>
      <w:tr>
        <w:tc>
          <w:tcPr>
            <w:tcW w:type="dxa" w:w="9360"/>
            <w:gridSpan w:val="1"/>
            <w:tcBorders>
              <w:top w:val="single" w:color="2E5FA3" w:sz="6"/>
              <w:left w:val="single" w:color="2E5FA3" w:sz="6"/>
              <w:bottom w:val="single" w:color="2E5FA3" w:sz="6"/>
              <w:right w:val="single" w:color="2E5FA3" w:sz="6"/>
            </w:tcBorders>
            <w:shd w:fill="DEEAF1" w:val="clear"/>
            <w:tcMar>
              <w:top w:type="dxa" w:w="72"/>
              <w:left w:type="dxa" w:w="108"/>
              <w:bottom w:type="dxa" w:w="72"/>
              <w:right w:type="dxa" w:w="108"/>
            </w:tcMar>
            <w:vAlign w:val="center"/>
          </w:tcPr>
          <w:p>
            <w:pPr>
              <w:spacing w:after="0" w:before="0"/>
              <w:jc w:val="left"/>
            </w:pPr>
            <w:r>
              <w:rPr>
                <w:rFonts w:ascii="Arial" w:cs="Arial" w:eastAsia="Arial" w:hAnsi="Arial"/>
                <w:b w:val="false"/>
                <w:bCs w:val="false"/>
                <w:color w:val="000000"/>
                <w:sz w:val="20"/>
                <w:szCs w:val="20"/>
              </w:rPr>
              <w:t xml:space="preserve">T₀ Net Investment: GH¢(748,300)   |   Year 1 FCF: GH¢0   |   Year 2 FCF: GH¢669,600
Year 3 FCF: GH¢731,680   |   Year 4 FCF: GH¢756,720   |   Terminal Value: GH¢7,945,560
NPV (Years 0–4): GH¢671,757   |   PV of Terminal Value: GH¢4,543,271
VALUE OF AA LIMITED: GH¢5,215,028</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2026-04-20T02:57:49.947Z</dcterms:created>
  <dcterms:modified xsi:type="dcterms:W3CDTF">2026-04-20T02:57:49.948Z</dcterms:modified>
</cp:coreProperties>
</file>

<file path=docProps/custom.xml><?xml version="1.0" encoding="utf-8"?>
<Properties xmlns="http://schemas.openxmlformats.org/officeDocument/2006/custom-properties" xmlns:vt="http://schemas.openxmlformats.org/officeDocument/2006/docPropsVTypes"/>
</file>