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80" w:before="0"/>
        <w:jc w:val="center"/>
      </w:pPr>
      <w:r>
        <w:rPr>
          <w:rFonts w:ascii="Arial" w:cs="Arial" w:eastAsia="Arial" w:hAnsi="Arial"/>
          <w:b/>
          <w:bCs/>
          <w:color w:val="1F3864"/>
          <w:sz w:val="36"/>
          <w:szCs w:val="36"/>
        </w:rPr>
        <w:t xml:space="preserve">UNIVERSITY OF CAPE COAST</w:t>
      </w:r>
    </w:p>
    <w:p>
      <w:pPr>
        <w:spacing w:after="80" w:before="0"/>
        <w:jc w:val="center"/>
      </w:pPr>
      <w:r>
        <w:rPr>
          <w:rFonts w:ascii="Arial" w:cs="Arial" w:eastAsia="Arial" w:hAnsi="Arial"/>
          <w:color w:val="555555"/>
          <w:sz w:val="24"/>
          <w:szCs w:val="24"/>
        </w:rPr>
        <w:t xml:space="preserve">College of Distance Education</w:t>
      </w:r>
    </w:p>
    <w:p>
      <w:pPr>
        <w:spacing w:after="60" w:before="80"/>
        <w:jc w:val="center"/>
      </w:pPr>
      <w:r>
        <w:rPr>
          <w:rFonts w:ascii="Arial" w:cs="Arial" w:eastAsia="Arial" w:hAnsi="Arial"/>
          <w:b/>
          <w:bCs/>
          <w:color w:val="1F3864"/>
          <w:sz w:val="28"/>
          <w:szCs w:val="28"/>
        </w:rPr>
        <w:t xml:space="preserve">ACC402D: Advanced Financial Reporting II</w:t>
      </w:r>
    </w:p>
    <w:p>
      <w:pPr>
        <w:spacing w:after="80" w:before="0"/>
        <w:jc w:val="center"/>
      </w:pPr>
      <w:r>
        <w:rPr>
          <w:rFonts w:ascii="Arial" w:cs="Arial" w:eastAsia="Arial" w:hAnsi="Arial"/>
          <w:i/>
          <w:iCs/>
          <w:color w:val="666666"/>
          <w:sz w:val="22"/>
          <w:szCs w:val="22"/>
        </w:rPr>
        <w:t xml:space="preserve">End of Semester II Examinations — 2024/2025</w:t>
      </w:r>
    </w:p>
    <w:p>
      <w:pPr>
        <w:pBdr>
          <w:top w:val="single" w:color="B8860B" w:sz="6"/>
          <w:bottom w:val="single" w:color="B8860B" w:sz="6"/>
        </w:pBdr>
        <w:shd w:fill="1F3864" w:val="clear"/>
        <w:spacing w:after="160" w:before="160"/>
        <w:ind w:left="0" w:right="0"/>
        <w:jc w:val="center"/>
      </w:pPr>
      <w:r>
        <w:rPr>
          <w:rFonts w:ascii="Arial" w:cs="Arial" w:eastAsia="Arial" w:hAnsi="Arial"/>
          <w:b/>
          <w:bCs/>
          <w:color w:val="FFFFFF"/>
          <w:sz w:val="30"/>
          <w:szCs w:val="30"/>
        </w:rPr>
        <w:t xml:space="preserve">SECTION A — MODEL ANSWERS &amp; WORKED SOLUTIONS</w:t>
      </w:r>
    </w:p>
    <w:p>
      <w:pPr>
        <w:spacing w:after="40" w:before="80"/>
        <w:jc w:val="center"/>
      </w:pPr>
      <w:r>
        <w:rPr>
          <w:rFonts w:ascii="Arial" w:cs="Arial" w:eastAsia="Arial" w:hAnsi="Arial"/>
          <w:color w:val="666666"/>
          <w:sz w:val="20"/>
          <w:szCs w:val="20"/>
        </w:rPr>
        <w:t xml:space="preserve">Philip Yesutor Avorxe  |  BSc Cyber Security &amp; Forensic Computing, University of Portsmouth</w:t>
      </w:r>
    </w:p>
    <w:p>
      <w:pPr>
        <w:spacing w:after="0" w:before="0"/>
        <w:jc w:val="center"/>
      </w:pPr>
      <w:r>
        <w:rPr>
          <w:rFonts w:ascii="Arial" w:cs="Arial" w:eastAsia="Arial" w:hAnsi="Arial"/>
          <w:i/>
          <w:iCs/>
          <w:color w:val="888888"/>
          <w:sz w:val="20"/>
          <w:szCs w:val="20"/>
        </w:rPr>
        <w:t xml:space="preserve">All 20 questions answered with full workings, highlighted correct options, and explanations</w:t>
      </w:r>
    </w:p>
    <w:p>
      <w:pPr>
        <w:spacing w:after="200" w:before="200"/>
      </w:pPr>
      <w:r>
        <w:t xml:space="preserve"/>
      </w:r>
    </w:p>
    <w:p>
      <w:pPr>
        <w:shd w:fill="4472C4" w:val="clear"/>
        <w:spacing w:after="0" w:before="200"/>
        <w:ind w:left="160"/>
      </w:pPr>
      <w:r>
        <w:rPr>
          <w:rFonts w:ascii="Arial" w:cs="Arial" w:eastAsia="Arial" w:hAnsi="Arial"/>
          <w:b/>
          <w:bCs/>
          <w:color w:val="FFFFFF"/>
          <w:sz w:val="20"/>
          <w:szCs w:val="20"/>
        </w:rPr>
        <w:t xml:space="preserve">SHARED SCENARIO FOR QUESTIONS 1 AND 2</w:t>
      </w:r>
    </w:p>
    <w:p>
      <w:pPr>
        <w:pBdr>
          <w:bottom w:val="single" w:color="AAAAAA" w:sz="2"/>
        </w:pBdr>
        <w:shd w:fill="DCE6F1" w:val="clear"/>
        <w:spacing w:after="200" w:before="0"/>
        <w:ind w:left="160" w:right="160"/>
      </w:pPr>
      <w:r>
        <w:rPr>
          <w:rFonts w:ascii="Arial" w:cs="Arial" w:eastAsia="Arial" w:hAnsi="Arial"/>
          <w:i/>
          <w:iCs/>
          <w:sz w:val="21"/>
          <w:szCs w:val="21"/>
        </w:rPr>
        <w:t xml:space="preserve">Premier has owned 90% of Sweed for many years. During the year, Sweed sold goods to Premier for GH₵12,000,000. These goods had originally cost Sweed GH₵8,000,000. Premier sold 60% of these goods by the year-end. The cost of sales figures for the two companies were as follows: Premier GH₵35,000,000, Sweed GH₵20,000,000.</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w:t>
      </w:r>
      <w:r>
        <w:rPr>
          <w:rFonts w:ascii="Arial" w:cs="Arial" w:eastAsia="Arial" w:hAnsi="Arial"/>
          <w:color w:val="D9D9D9"/>
          <w:sz w:val="22"/>
          <w:szCs w:val="22"/>
        </w:rPr>
        <w:t xml:space="preserve">   |   Unrealised Profit on Intragroup Sale</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unrealised profit on the sale is calculated as ____________.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GH₵8,000,000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GH₵4,000,000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GH₵2,400,000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GH₵1,600,000</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Selling price (Sweed → Premier)</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GH₵12,000,000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Cost of goods to Sweed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(GH₵8,000,000)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Total profit on intragroup sale</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Goods still held by Premier at year-end (100% − 60% sold = 40% unsold)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 40%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Unrealised Profit (URP) to eliminate</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GH₵1,600,000</w:t>
            </w:r>
          </w:p>
        </w:tc>
      </w:tr>
    </w:tbl>
    <w:p>
      <w:pPr>
        <w:spacing w:after="60" w:before="60"/>
      </w:pPr>
      <w:r>
        <w:t xml:space="preserve"/>
      </w:r>
    </w:p>
    <w:p>
      <w:pPr>
        <w:spacing w:after="60" w:before="60"/>
        <w:ind w:left="0"/>
      </w:pPr>
      <w:r>
        <w:rPr>
          <w:rFonts w:ascii="Arial" w:cs="Arial" w:eastAsia="Arial" w:hAnsi="Arial"/>
          <w:b w:val="false"/>
          <w:bCs w:val="false"/>
          <w:i w:val="false"/>
          <w:iCs w:val="false"/>
          <w:color w:val="000000"/>
          <w:sz w:val="22"/>
          <w:szCs w:val="22"/>
        </w:rPr>
        <w:t xml:space="preserve">Sweed is a subsidiary selling upstream to Premier (parent). Only unsold goods give rise to unrealised profit because the group has not yet recognised that profit externally. 40% of goods remain in Premier’s closing inventory, so 40% of the GH₵4M profit = GH₵1,600,000 is unrealised and must be eliminated on consolidation.</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2</w:t>
      </w:r>
      <w:r>
        <w:rPr>
          <w:rFonts w:ascii="Arial" w:cs="Arial" w:eastAsia="Arial" w:hAnsi="Arial"/>
          <w:color w:val="D9D9D9"/>
          <w:sz w:val="22"/>
          <w:szCs w:val="22"/>
        </w:rPr>
        <w:t xml:space="preserve">   |   Consolidated Cost of Sales — Premier &amp; Sweed</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At what value will cost of sales appear in the consolidated statement of profit or loss?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GH₵55,000,000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GH₵47,000,000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C.</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GH₵44,600,000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GH₵41,400,000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C</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Premier’s cost of sales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GH₵35,000,000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Sweed’s cost of sales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GH₵20,000,000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Combined COS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GH₵55,000,000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Eliminate intragroup sale (Sweed’s revenue recorded in COS flow)</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(GH₵12,000,000)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back: Unrealised profit adjustment (URP from Q1)</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GH₵1,600,000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Consolidated Cost of Sales</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GH₵44,600,000</w:t>
            </w:r>
          </w:p>
        </w:tc>
      </w:tr>
    </w:tbl>
    <w:p>
      <w:pPr>
        <w:spacing w:after="60" w:before="60"/>
      </w:pPr>
      <w:r>
        <w:t xml:space="preserve"/>
      </w:r>
    </w:p>
    <w:p>
      <w:pPr>
        <w:spacing w:after="60" w:before="60"/>
        <w:ind w:left="0"/>
      </w:pPr>
      <w:r>
        <w:rPr>
          <w:rFonts w:ascii="Arial" w:cs="Arial" w:eastAsia="Arial" w:hAnsi="Arial"/>
          <w:b w:val="false"/>
          <w:bCs w:val="false"/>
          <w:i w:val="false"/>
          <w:iCs w:val="false"/>
          <w:color w:val="000000"/>
          <w:sz w:val="22"/>
          <w:szCs w:val="22"/>
        </w:rPr>
        <w:t xml:space="preserve">In consolidation, intragroup transactions are fully eliminated. Sweed’s GH₵12M sale to Premier is removed. However, the URP of GH₵1.6M must be added back to COS because it inflates the inventory value sitting in Premier’s books — the group’s COS must reflect the true cost of goods still held.</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3</w:t>
      </w:r>
      <w:r>
        <w:rPr>
          <w:rFonts w:ascii="Arial" w:cs="Arial" w:eastAsia="Arial" w:hAnsi="Arial"/>
          <w:color w:val="D9D9D9"/>
          <w:sz w:val="22"/>
          <w:szCs w:val="22"/>
        </w:rPr>
        <w:t xml:space="preserve">   |   Cost of Investment — Paapa Ltd / Maami Ltd</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Paapa Ltd acquired 80% of the ordinary share capital of Maami Ltd on 30 August 2024. On 31 December 2024, the share capital and retained earnings of Maami Ltd were as follows:</w:t>
      </w:r>
    </w:p>
    <w:p>
      <w:pPr>
        <w:spacing w:after="40" w:before="4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tblGrid>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GH₵’000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Ordinary share capital (issued at GH₵1)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1,200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Retained earnings at 1 January 2024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900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Retained profit for the year ended 31 December 2024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600</w:t>
            </w:r>
          </w:p>
        </w:tc>
      </w:tr>
      <w:tr>
        <w:tc>
          <w:tcPr>
            <w:tcW w:type="dxa" w:w="35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left"/>
            </w:pPr>
            <w:r>
              <w:rPr>
                <w:rFonts w:ascii="Arial" w:cs="Arial" w:eastAsia="Arial" w:hAnsi="Arial"/>
                <w:b/>
                <w:bCs/>
                <w:sz w:val="20"/>
                <w:szCs w:val="20"/>
              </w:rPr>
              <w:t xml:space="preserve">Total</w:t>
            </w:r>
          </w:p>
        </w:tc>
        <w:tc>
          <w:tcPr>
            <w:tcW w:type="dxa" w:w="1500"/>
            <w:tcBorders>
              <w:top w:val="single" w:color="AAAAAA" w:sz="1"/>
              <w:left w:val="single" w:color="AAAAAA" w:sz="1"/>
              <w:bottom w:val="single" w:color="AAAAAA" w:sz="1"/>
              <w:right w:val="single" w:color="AAAAAA" w:sz="1"/>
            </w:tcBorders>
            <w:shd w:fill="FFF3CD" w:val="clear"/>
            <w:tcMar>
              <w:top w:type="dxa" w:w="60"/>
              <w:left w:type="dxa" w:w="120"/>
              <w:bottom w:type="dxa" w:w="60"/>
              <w:right w:type="dxa" w:w="120"/>
            </w:tcMar>
          </w:tcPr>
          <w:p>
            <w:pPr>
              <w:jc w:val="right"/>
            </w:pPr>
            <w:r>
              <w:rPr>
                <w:rFonts w:ascii="Arial" w:cs="Arial" w:eastAsia="Arial" w:hAnsi="Arial"/>
                <w:b/>
                <w:bCs/>
                <w:sz w:val="20"/>
                <w:szCs w:val="20"/>
              </w:rPr>
              <w:t xml:space="preserve">2,700</w:t>
            </w:r>
          </w:p>
        </w:tc>
      </w:tr>
    </w:tbl>
    <w:p>
      <w:pPr>
        <w:spacing w:after="60" w:before="60"/>
      </w:pPr>
      <w:r>
        <w:t xml:space="preserve"/>
      </w:r>
    </w:p>
    <w:p>
      <w:pPr>
        <w:spacing w:after="60" w:before="60"/>
        <w:ind w:left="0"/>
      </w:pPr>
      <w:r>
        <w:rPr>
          <w:rFonts w:ascii="Arial" w:cs="Arial" w:eastAsia="Arial" w:hAnsi="Arial"/>
          <w:b w:val="false"/>
          <w:bCs w:val="false"/>
          <w:i w:val="false"/>
          <w:iCs w:val="false"/>
          <w:color w:val="000000"/>
          <w:sz w:val="22"/>
          <w:szCs w:val="22"/>
        </w:rPr>
        <w:t xml:space="preserve">The profit for Maami Ltd has accrued evenly throughout 2024 and non-controlling interest is measured at fair value of GH₵600,000. Bargain purchase arising on acquisition of Maami Ltd was GH₵300,000. What was the cost of the investment in Maami Ltd?</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GH₵1,860,000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GH₵1,800,000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GH₵1,700,000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GH₵1,600,000</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Acquisition date: 30 August 2024. Profit accrues evenly → time-apportion to acquisition (8 months out of 12).</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Share capital</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GH₵1,200,000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Retained earnings at 1 January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GH₵900,000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Profit accrued Jan–Aug 2024: GH₵600,000 × 8/12</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GH₵400,000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Net assets at acquisition date (A)</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GH₵2,500,000</w:t>
            </w:r>
          </w:p>
        </w:tc>
      </w:tr>
    </w:tbl>
    <w:p>
      <w:pPr>
        <w:spacing w:after="40" w:before="40"/>
      </w:pPr>
      <w:r>
        <w:t xml:space="preserve"/>
      </w:r>
    </w:p>
    <w:p>
      <w:pPr>
        <w:spacing w:after="60" w:before="60"/>
        <w:ind w:left="0"/>
      </w:pPr>
      <w:r>
        <w:rPr>
          <w:rFonts w:ascii="Arial" w:cs="Arial" w:eastAsia="Arial" w:hAnsi="Arial"/>
          <w:b w:val="false"/>
          <w:bCs w:val="false"/>
          <w:i w:val="false"/>
          <w:iCs w:val="false"/>
          <w:color w:val="000000"/>
          <w:sz w:val="22"/>
          <w:szCs w:val="22"/>
        </w:rPr>
        <w:t xml:space="preserve">Using the goodwill formula:   Goodwill = Cost of Investment + NCI − Net Assets at Acquisition</w:t>
      </w:r>
    </w:p>
    <w:p>
      <w:pPr>
        <w:spacing w:after="60" w:before="60"/>
        <w:ind w:left="0"/>
      </w:pPr>
      <w:r>
        <w:rPr>
          <w:rFonts w:ascii="Arial" w:cs="Arial" w:eastAsia="Arial" w:hAnsi="Arial"/>
          <w:b w:val="false"/>
          <w:bCs w:val="false"/>
          <w:i w:val="false"/>
          <w:iCs w:val="false"/>
          <w:color w:val="000000"/>
          <w:sz w:val="22"/>
          <w:szCs w:val="22"/>
        </w:rPr>
        <w:t xml:space="preserve">A bargain purchase means Goodwill is negative, i.e. Goodwill = −GH₵300,000</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−300,000 = Cost + 600,000 − 2,500,000</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Cost = −300,000 + 2,500,000 − 600,000</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Cost of Investment in Maami Ltd</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GH₵1,600,000</w:t>
            </w:r>
          </w:p>
        </w:tc>
      </w:tr>
    </w:tbl>
    <w:p>
      <w:pPr>
        <w:shd w:fill="4472C4" w:val="clear"/>
        <w:spacing w:after="0" w:before="280"/>
        <w:ind w:left="160"/>
      </w:pPr>
      <w:r>
        <w:rPr>
          <w:rFonts w:ascii="Arial" w:cs="Arial" w:eastAsia="Arial" w:hAnsi="Arial"/>
          <w:b/>
          <w:bCs/>
          <w:color w:val="FFFFFF"/>
          <w:sz w:val="20"/>
          <w:szCs w:val="20"/>
        </w:rPr>
        <w:t xml:space="preserve">SHARED SCENARIO FOR QUESTIONS 4 AND 5</w:t>
      </w:r>
    </w:p>
    <w:p>
      <w:pPr>
        <w:pBdr>
          <w:bottom w:val="single" w:color="AAAAAA" w:sz="2"/>
        </w:pBdr>
        <w:shd w:fill="DCE6F1" w:val="clear"/>
        <w:spacing w:after="200" w:before="0"/>
        <w:ind w:left="160" w:right="160"/>
      </w:pPr>
      <w:r>
        <w:rPr>
          <w:rFonts w:ascii="Arial" w:cs="Arial" w:eastAsia="Arial" w:hAnsi="Arial"/>
          <w:i/>
          <w:iCs/>
          <w:sz w:val="21"/>
          <w:szCs w:val="21"/>
        </w:rPr>
        <w:t xml:space="preserve">Tinda is a parent and also holds a 40% investment in Bruce at GH₵3,600,000, measured at cost in the individual financial statement on 1 January 2020. On that date, share capital and retained earnings of Bruce were GH₵4,000,000 and GH₵3,040,000 respectively. A further 20% of shares were acquired on 1 January 2024 in Bruce for GH₵2,800,000. On this date, the fair value of the existing holding in Bruce was GH₵4,200,000 and the retained earnings were GH₵4,000,000. Non-controlling interest is measured using proportion of net assets method. The fair value of Bruce’s net assets on 1 January 2024 was GH₵8,000,000.</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4</w:t>
      </w:r>
      <w:r>
        <w:rPr>
          <w:rFonts w:ascii="Arial" w:cs="Arial" w:eastAsia="Arial" w:hAnsi="Arial"/>
          <w:color w:val="D9D9D9"/>
          <w:sz w:val="22"/>
          <w:szCs w:val="22"/>
        </w:rPr>
        <w:t xml:space="preserve">   |   Fair Value Gain on Step Acquisition — Tinda / Bruce</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fair value gain on the 40% original investment to be recognised in consolidated statement of profit or loss on 1 January 2024 is: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GH₵960,000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GH₵640,000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C.</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GH₵600,000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GH₵400,000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C</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When Tinda acquires an additional 20% to achieve control (step acquisition), the pre-existing 40% associate interest is remeasured to fair value at the acquisition date. The resulting gain is recognised in consolidated profit or loss (IFRS 3).</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Fair value of existing 40% holding on 1 January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GH₵4,200,000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Carrying amount (original cost) of 40% holding</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(GH₵3,600,000)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Fair value gain recognised in consolidated P&amp;L</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GH₵600,000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5</w:t>
      </w:r>
      <w:r>
        <w:rPr>
          <w:rFonts w:ascii="Arial" w:cs="Arial" w:eastAsia="Arial" w:hAnsi="Arial"/>
          <w:color w:val="D9D9D9"/>
          <w:sz w:val="22"/>
          <w:szCs w:val="22"/>
        </w:rPr>
        <w:t xml:space="preserve">   |   Goodwill on Step Acquisition — Tinda / Bruce</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value of goodwill on 1 January 2024 is calculated as _________.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GH₵1,600,000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GH₵2,200,000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GH₵2,560,000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GH₵3,160,000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NCI is measured using proportion of net assets. Total post-acquisition interest = 60%; NCI = 40% × GH₵8,000,000 = GH₵3,200,000.</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Fair value of existing 40% holding (remeasured)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GH₵4,200,000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Cost of new 20% acquisition</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GH₵2,800,000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Total consideration (A)</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GH₵7,000,000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NCI at acquisition — 40% × GH₵8,000,000</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GH₵3,200,000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Total (A + NCI)</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GH₵10,200,000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Fair value of net assets at acquisition</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(GH₵8,000,000)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Goodwill</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GH₵2,200,000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6</w:t>
      </w:r>
      <w:r>
        <w:rPr>
          <w:rFonts w:ascii="Arial" w:cs="Arial" w:eastAsia="Arial" w:hAnsi="Arial"/>
          <w:color w:val="D9D9D9"/>
          <w:sz w:val="22"/>
          <w:szCs w:val="22"/>
        </w:rPr>
        <w:t xml:space="preserve">   |   Capital Maintenance Concept</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Which capital maintenance concept focuses on maintaining productive capacity? __________ concept.</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Historical cost maintenance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Financial capital maintenance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Going concern</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Physical capital maintenance</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spacing w:after="60" w:before="60"/>
        <w:ind w:left="0"/>
      </w:pPr>
      <w:r>
        <w:rPr>
          <w:rFonts w:ascii="Arial" w:cs="Arial" w:eastAsia="Arial" w:hAnsi="Arial"/>
          <w:b w:val="false"/>
          <w:bCs w:val="false"/>
          <w:i w:val="false"/>
          <w:iCs w:val="false"/>
          <w:color w:val="000000"/>
          <w:sz w:val="22"/>
          <w:szCs w:val="22"/>
        </w:rPr>
        <w:t xml:space="preserve">Physical capital maintenance defines profit only after ensuring the entity can maintain the same physical productive capacity (i.e., volume of goods/services produced). Financial capital maintenance, by contrast, focuses on maintaining the monetary value of net assets. Options A and C are not recognised capital maintenance concepts under the IASB Conceptual Framework.</w:t>
      </w:r>
    </w:p>
    <w:p>
      <w:pPr>
        <w:shd w:fill="4472C4" w:val="clear"/>
        <w:spacing w:after="0" w:before="280"/>
        <w:ind w:left="160"/>
      </w:pPr>
      <w:r>
        <w:rPr>
          <w:rFonts w:ascii="Arial" w:cs="Arial" w:eastAsia="Arial" w:hAnsi="Arial"/>
          <w:b/>
          <w:bCs/>
          <w:color w:val="FFFFFF"/>
          <w:sz w:val="20"/>
          <w:szCs w:val="20"/>
        </w:rPr>
        <w:t xml:space="preserve">SHARED SCENARIO FOR QUESTIONS 7, 8 AND 9</w:t>
      </w:r>
    </w:p>
    <w:p>
      <w:pPr>
        <w:pBdr>
          <w:bottom w:val="single" w:color="AAAAAA" w:sz="2"/>
        </w:pBdr>
        <w:shd w:fill="DCE6F1" w:val="clear"/>
        <w:spacing w:after="200" w:before="0"/>
        <w:ind w:left="160" w:right="160"/>
      </w:pPr>
      <w:r>
        <w:rPr>
          <w:rFonts w:ascii="Arial" w:cs="Arial" w:eastAsia="Arial" w:hAnsi="Arial"/>
          <w:i/>
          <w:iCs/>
          <w:sz w:val="21"/>
          <w:szCs w:val="21"/>
        </w:rPr>
        <w:t xml:space="preserve">A company bought an item of plant on 30 June 2019 at a cost of GH₵400,000. Its expected useful life was ten years, with a nil value at the end. An identical model of plant is no longer available, but the following specific price indices are considered suitable: 30 June 2019 — Index = 132; 31 December 2024 — Index = 195.</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7</w:t>
      </w:r>
      <w:r>
        <w:rPr>
          <w:rFonts w:ascii="Arial" w:cs="Arial" w:eastAsia="Arial" w:hAnsi="Arial"/>
          <w:color w:val="D9D9D9"/>
          <w:sz w:val="22"/>
          <w:szCs w:val="22"/>
        </w:rPr>
        <w:t xml:space="preserve">   |   Gross Replacement Cost at 31 December 2024</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gross replacement cost at 31 December 2024 would be 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GH₵325,000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GH₵265,909</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C.</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GH₵590,909</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GH₵400,000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C</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Original historical cost</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Price index at 31 Dec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195</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Price index at acquisition (30 Jun 2019)</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132</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Gross Replacement Cost = GH₵400,000 × (195 ÷ 132)</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GH₵590,909</w:t>
            </w:r>
          </w:p>
        </w:tc>
      </w:tr>
    </w:tbl>
    <w:p>
      <w:pPr>
        <w:spacing w:after="60" w:before="60"/>
      </w:pPr>
      <w:r>
        <w:t xml:space="preserve"/>
      </w:r>
    </w:p>
    <w:p>
      <w:pPr>
        <w:spacing w:after="60" w:before="60"/>
        <w:ind w:left="0"/>
      </w:pPr>
      <w:r>
        <w:rPr>
          <w:rFonts w:ascii="Arial" w:cs="Arial" w:eastAsia="Arial" w:hAnsi="Arial"/>
          <w:b w:val="false"/>
          <w:bCs w:val="false"/>
          <w:i w:val="false"/>
          <w:iCs w:val="false"/>
          <w:color w:val="000000"/>
          <w:sz w:val="22"/>
          <w:szCs w:val="22"/>
        </w:rPr>
        <w:t xml:space="preserve">Under Current Cost Accounting (CCA), assets are restated to their current replacement cost using specific price indices. The gross replacement cost is the full cost to replace the asset at current prices, before deducting depreciation.</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8</w:t>
      </w:r>
      <w:r>
        <w:rPr>
          <w:rFonts w:ascii="Arial" w:cs="Arial" w:eastAsia="Arial" w:hAnsi="Arial"/>
          <w:color w:val="D9D9D9"/>
          <w:sz w:val="22"/>
          <w:szCs w:val="22"/>
        </w:rPr>
        <w:t xml:space="preserve">   |   Accumulated Depreciation on Gross Replacement Cost</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accumulated depreciation on the gross replacement cost at 31 December 2024 would be ____________.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GH₵265,909</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GH₵325,000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GH₵590,909</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Asset purchased 30 June 2019. Reporting date: 31 December 2024. Age = 5 years and 6 months = 5.5 years.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Gross Replacement Cost (from Q7)</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GH₵590,909</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Years of useful life elapsed (30 Jun 2019 → 31 Dec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5.5 years</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Total useful life</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10 years</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Accumulated Depreciation = GH₵590,909 × (5.5 ÷ 10)</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GH₵325,000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9</w:t>
      </w:r>
      <w:r>
        <w:rPr>
          <w:rFonts w:ascii="Arial" w:cs="Arial" w:eastAsia="Arial" w:hAnsi="Arial"/>
          <w:color w:val="D9D9D9"/>
          <w:sz w:val="22"/>
          <w:szCs w:val="22"/>
        </w:rPr>
        <w:t xml:space="preserve">   |   Net Replacement Cost at 31 December 2024</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net replacement cost at 31 December 2024 would be ________.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GH₵590,909</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GH₵325,000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GH₵265,909</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Gross Replacement Cost (Q7)</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GH₵590,909</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Accumulated Depreciation (Q8)</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(GH₵325,000)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Net Replacement Cost (Carrying Amount under CCA)</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GH₵265,909</w:t>
            </w:r>
          </w:p>
        </w:tc>
      </w:tr>
    </w:tbl>
    <w:p>
      <w:pPr>
        <w:shd w:fill="4472C4" w:val="clear"/>
        <w:spacing w:after="0" w:before="280"/>
        <w:ind w:left="160"/>
      </w:pPr>
      <w:r>
        <w:rPr>
          <w:rFonts w:ascii="Arial" w:cs="Arial" w:eastAsia="Arial" w:hAnsi="Arial"/>
          <w:b/>
          <w:bCs/>
          <w:color w:val="FFFFFF"/>
          <w:sz w:val="20"/>
          <w:szCs w:val="20"/>
        </w:rPr>
        <w:t xml:space="preserve">SHARED SCENARIO FOR QUESTIONS 10, 11 AND 12</w:t>
      </w:r>
    </w:p>
    <w:p>
      <w:pPr>
        <w:pBdr>
          <w:bottom w:val="single" w:color="AAAAAA" w:sz="2"/>
        </w:pBdr>
        <w:shd w:fill="DCE6F1" w:val="clear"/>
        <w:spacing w:after="200" w:before="0"/>
        <w:ind w:left="160" w:right="160"/>
      </w:pPr>
      <w:r>
        <w:rPr>
          <w:rFonts w:ascii="Arial" w:cs="Arial" w:eastAsia="Arial" w:hAnsi="Arial"/>
          <w:i/>
          <w:iCs/>
          <w:sz w:val="21"/>
          <w:szCs w:val="21"/>
        </w:rPr>
        <w:t xml:space="preserve">The following are extracts from the group statement of financial position of Kayla as at 31 December: Inventory — 2024: GH₵1,500,000; 2023: GH₵1,100,000. Receivables — 2024: GH₵900,000; 2023: GH₵1,250,000. Payables — 2024: GH₵1,950,000; 2023: GH₵1,700,000. During 2024, Jak was acquired (Inventory: GH₵105,000; Receivables: GH₵160,000; Payables: GH₵180,000) and all shares in Bob were disposed of (Inventory: GH₵130,000; Receivables: GH₵140,000; Payables: GH₵120,000).</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10</w:t>
      </w:r>
      <w:r>
        <w:rPr>
          <w:rFonts w:ascii="Arial" w:cs="Arial" w:eastAsia="Arial" w:hAnsi="Arial"/>
          <w:color w:val="D9D9D9"/>
          <w:sz w:val="22"/>
          <w:szCs w:val="22"/>
        </w:rPr>
        <w:t xml:space="preserve">   |   Movement in Inventories — Group Cash Flows</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Calculate the movement in inventories, for inclusion in the group statement of cash flows.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GH₵375,000 decrease in inventory and increase in cash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GH₵425,000 decrease in inventory and increase in cash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GH₵375,000 increase in inventory and decrease in cash</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GH₵425,000 increase in inventory and decrease in cash</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For group cash flows, working capital movements are adjusted to exclude balances of subsidiaries acquired or disposed of during the year (these are shown separately as investing activities).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Closing inventory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GH₵1,500,000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Jak acquired inventory (excluded — investing activity)</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(GH₵105,000)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closing inventory</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GH₵1,395,000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Opening inventory (2023)</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GH₵1,100,000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Bob disposed inventory (excluded — investing activity)</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(GH₵130,000)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opening inventory</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GH₵970,000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Movement: GH₵1,395,000 − GH₵970,000 = INCREASE → cash outflow</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GH₵425,000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11</w:t>
      </w:r>
      <w:r>
        <w:rPr>
          <w:rFonts w:ascii="Arial" w:cs="Arial" w:eastAsia="Arial" w:hAnsi="Arial"/>
          <w:color w:val="D9D9D9"/>
          <w:sz w:val="22"/>
          <w:szCs w:val="22"/>
        </w:rPr>
        <w:t xml:space="preserve">   |   Movement in Receivables — Group Cash Flows</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Calculate the movement in receivables and for inclusion in the group statement of cash flows.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GH₵330,000 decrease in receivables and increase in cash flows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GH₵330,000 increase in receivables and decrease in cash flows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GH₵370,000 increase in receivables and decrease in cash flows</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D.</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GH₵370,000 decrease in receivables and increase in cash flows</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D</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Closing receivables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GH₵900,000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Jak acquired receivables (excluded)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(GH₵160,000)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closing receivables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GH₵740,000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Opening receivables (2023)</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GH₵1,250,000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Bob disposed receivables (excluded)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(GH₵140,000)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opening receivables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GH₵1,110,000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Movement: GH₵740,000 − GH₵1,110,000 = DECREASE → cash inflow</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(GH₵370,000)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12</w:t>
      </w:r>
      <w:r>
        <w:rPr>
          <w:rFonts w:ascii="Arial" w:cs="Arial" w:eastAsia="Arial" w:hAnsi="Arial"/>
          <w:color w:val="D9D9D9"/>
          <w:sz w:val="22"/>
          <w:szCs w:val="22"/>
        </w:rPr>
        <w:t xml:space="preserve">   |   Movement in Payables — Group Cash Flows</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Calculate the movement in payables for inclusion in the group statement of cash flows.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A.</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GH₵190,000 increase in payables and increase in cash</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GH₵310,000 decrease in payables and decrease in cash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GH₵310,000 increase in payable and increase in cash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GH₵190,000 decrease in payables and decrease in cash</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A</w:t>
      </w:r>
    </w:p>
    <w:p>
      <w:pPr>
        <w:pBdr>
          <w:bottom w:val="single" w:color="B8860B" w:sz="2"/>
        </w:pBdr>
        <w:spacing w:after="40" w:before="140"/>
      </w:pPr>
      <w:r>
        <w:rPr>
          <w:rFonts w:ascii="Arial" w:cs="Arial" w:eastAsia="Arial" w:hAnsi="Arial"/>
          <w:b/>
          <w:bCs/>
          <w:color w:val="1F3864"/>
          <w:sz w:val="18"/>
          <w:szCs w:val="18"/>
        </w:rPr>
        <w:t xml:space="preserve">WORKINGS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Closing payables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GH₵1,950,000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Jak acquired payables (excluded)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(GH₵180,000)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closing payables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GH₵1,770,000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Opening payables (2023)</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GH₵1,700,000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Bob disposed payables (excluded)</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(GH₵120,000)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Adjusted opening payables</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GH₵1,580,000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Movement: GH₵1,770,000 − GH₵1,580,000 = INCREASE → cash inflow</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GH₵190,000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13</w:t>
      </w:r>
      <w:r>
        <w:rPr>
          <w:rFonts w:ascii="Arial" w:cs="Arial" w:eastAsia="Arial" w:hAnsi="Arial"/>
          <w:color w:val="D9D9D9"/>
          <w:sz w:val="22"/>
          <w:szCs w:val="22"/>
        </w:rPr>
        <w:t xml:space="preserve">   |   Price Level Changes &amp; Historical Cost Accounting</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Which of the following statements is TRUE in a period of upward price level changes?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Historical cost accounting understates profit.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Net holding gains on monetary items arises when monetary assets exceed monetary liabilities.</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C.</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Net holding gains on monetary items arises when monetary liabilities exceed monetary assets.</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Depreciation charge to income statement based on historic cost of assets tends to be higher than the fair value of the usage of the asset in the period.</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C</w:t>
      </w:r>
    </w:p>
    <w:p>
      <w:pPr>
        <w:spacing w:after="60" w:before="60"/>
        <w:ind w:left="0"/>
      </w:pPr>
      <w:r>
        <w:rPr>
          <w:rFonts w:ascii="Arial" w:cs="Arial" w:eastAsia="Arial" w:hAnsi="Arial"/>
          <w:b w:val="false"/>
          <w:bCs w:val="false"/>
          <w:i w:val="false"/>
          <w:iCs w:val="false"/>
          <w:color w:val="000000"/>
          <w:sz w:val="22"/>
          <w:szCs w:val="22"/>
        </w:rPr>
        <w:t xml:space="preserve">In a period of rising prices, owing money (monetary liabilities) becomes advantageous because you repay with money of lower real value than when borrowed. This real gain is called a net holding gain on monetary items and it arises when monetary liabilities exceed monetary assets.</w:t>
      </w:r>
    </w:p>
    <w:p>
      <w:pPr>
        <w:spacing w:after="60" w:before="60"/>
        <w:ind w:left="0"/>
      </w:pPr>
      <w:r>
        <w:rPr>
          <w:rFonts w:ascii="Arial" w:cs="Arial" w:eastAsia="Arial" w:hAnsi="Arial"/>
          <w:b w:val="false"/>
          <w:bCs w:val="false"/>
          <w:i w:val="false"/>
          <w:iCs w:val="false"/>
          <w:color w:val="000000"/>
          <w:sz w:val="22"/>
          <w:szCs w:val="22"/>
        </w:rPr>
        <w:t xml:space="preserve">Why the other options are wrong:</w:t>
      </w:r>
    </w:p>
    <w:p>
      <w:pPr>
        <w:spacing w:after="60" w:before="60"/>
        <w:ind w:left="280"/>
      </w:pPr>
      <w:r>
        <w:rPr>
          <w:rFonts w:ascii="Arial" w:cs="Arial" w:eastAsia="Arial" w:hAnsi="Arial"/>
          <w:b w:val="false"/>
          <w:bCs w:val="false"/>
          <w:i w:val="false"/>
          <w:iCs w:val="false"/>
          <w:color w:val="000000"/>
          <w:sz w:val="22"/>
          <w:szCs w:val="22"/>
        </w:rPr>
        <w:t xml:space="preserve">A: HCA actually OVERSTATES profit because depreciation is based on lower historical cost, not the higher replacement cost of the asset consumed.</w:t>
      </w:r>
    </w:p>
    <w:p>
      <w:pPr>
        <w:spacing w:after="60" w:before="60"/>
        <w:ind w:left="280"/>
      </w:pPr>
      <w:r>
        <w:rPr>
          <w:rFonts w:ascii="Arial" w:cs="Arial" w:eastAsia="Arial" w:hAnsi="Arial"/>
          <w:b w:val="false"/>
          <w:bCs w:val="false"/>
          <w:i w:val="false"/>
          <w:iCs w:val="false"/>
          <w:color w:val="000000"/>
          <w:sz w:val="22"/>
          <w:szCs w:val="22"/>
        </w:rPr>
        <w:t xml:space="preserve">B: Holding MORE monetary assets than liabilities in a period of inflation causes a LOSS in real value, not a gain.</w:t>
      </w:r>
    </w:p>
    <w:p>
      <w:pPr>
        <w:spacing w:after="60" w:before="60"/>
        <w:ind w:left="280"/>
      </w:pPr>
      <w:r>
        <w:rPr>
          <w:rFonts w:ascii="Arial" w:cs="Arial" w:eastAsia="Arial" w:hAnsi="Arial"/>
          <w:b w:val="false"/>
          <w:bCs w:val="false"/>
          <w:i w:val="false"/>
          <w:iCs w:val="false"/>
          <w:color w:val="000000"/>
          <w:sz w:val="22"/>
          <w:szCs w:val="22"/>
        </w:rPr>
        <w:t xml:space="preserve">D: HCA depreciation is LOWER than the fair value of asset usage (since cost is lower than current value), not higher.</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14</w:t>
      </w:r>
      <w:r>
        <w:rPr>
          <w:rFonts w:ascii="Arial" w:cs="Arial" w:eastAsia="Arial" w:hAnsi="Arial"/>
          <w:color w:val="D9D9D9"/>
          <w:sz w:val="22"/>
          <w:szCs w:val="22"/>
        </w:rPr>
        <w:t xml:space="preserve">   |   Consolidation — Entity A, B and C (Preference Shares)</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Entity A has 80% preference shares in Entity B: Entity A has 40% equity shares in Entity C and Entity B has 30% equity shares in Entity C. Entity A controls both entities B and C and must therefore consolidate both entities.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False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True</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 (TRUE)</w:t>
      </w:r>
    </w:p>
    <w:p>
      <w:pPr>
        <w:spacing w:after="60" w:before="60"/>
        <w:ind w:left="0"/>
      </w:pPr>
      <w:r>
        <w:rPr>
          <w:rFonts w:ascii="Arial" w:cs="Arial" w:eastAsia="Arial" w:hAnsi="Arial"/>
          <w:b w:val="false"/>
          <w:bCs w:val="false"/>
          <w:i w:val="false"/>
          <w:iCs w:val="false"/>
          <w:color w:val="000000"/>
          <w:sz w:val="22"/>
          <w:szCs w:val="22"/>
        </w:rPr>
        <w:t xml:space="preserve">The statement asserts that Entity A controls both B and C. Under IFRS 10, control depends on power over the investee, exposure to variable returns, and ability to use that power to affect those returns. Preference shares can confer control where they carry voting rights or other mechanisms. The question explicitly states control exists, so consolidation of both entities is required. The statement is TRUE.</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15</w:t>
      </w:r>
      <w:r>
        <w:rPr>
          <w:rFonts w:ascii="Arial" w:cs="Arial" w:eastAsia="Arial" w:hAnsi="Arial"/>
          <w:color w:val="D9D9D9"/>
          <w:sz w:val="22"/>
          <w:szCs w:val="22"/>
        </w:rPr>
        <w:t xml:space="preserve">   |   Effective Interest in Entity C — Is the 70% Claim Correct?</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Entity A has 40% equity shares in Entity B: Entity A has 40% equity shares in Entity C and Entity B has 30% equity shares in Entity C. Entity A controls entity C with total of 70% equity shares and must therefore consolidate Entity A.</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True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False</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 (FALSE)</w:t>
      </w:r>
    </w:p>
    <w:p>
      <w:pPr>
        <w:spacing w:after="60" w:before="60"/>
        <w:ind w:left="0"/>
      </w:pPr>
      <w:r>
        <w:rPr>
          <w:rFonts w:ascii="Arial" w:cs="Arial" w:eastAsia="Arial" w:hAnsi="Arial"/>
          <w:b w:val="false"/>
          <w:bCs w:val="false"/>
          <w:i w:val="false"/>
          <w:iCs w:val="false"/>
          <w:color w:val="000000"/>
          <w:sz w:val="22"/>
          <w:szCs w:val="22"/>
        </w:rPr>
        <w:t xml:space="preserve">The statement contains TWO errors:</w:t>
      </w:r>
    </w:p>
    <w:p>
      <w:pPr>
        <w:spacing w:after="60" w:before="60"/>
        <w:ind w:left="0"/>
      </w:pPr>
      <w:r>
        <w:rPr>
          <w:rFonts w:ascii="Arial" w:cs="Arial" w:eastAsia="Arial" w:hAnsi="Arial"/>
          <w:b/>
          <w:bCs/>
          <w:i w:val="false"/>
          <w:iCs w:val="false"/>
          <w:color w:val="000000"/>
          <w:sz w:val="22"/>
          <w:szCs w:val="22"/>
        </w:rPr>
        <w:t xml:space="preserve">Error 1 — Wrong percentage: Entity A’s effective interest in C is NOT 70%. The correct calculation is: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Direct holding (A’s own 40% in C)</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40%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Indirect holding (A’s 40% in B × B’s 30% in C)</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12%</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Total effective interest in C</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52%</w:t>
            </w:r>
          </w:p>
        </w:tc>
      </w:tr>
    </w:tbl>
    <w:p>
      <w:pPr>
        <w:spacing w:after="40" w:before="40"/>
      </w:pPr>
      <w:r>
        <w:t xml:space="preserve"/>
      </w:r>
    </w:p>
    <w:p>
      <w:pPr>
        <w:spacing w:after="60" w:before="60"/>
        <w:ind w:left="0"/>
      </w:pPr>
      <w:r>
        <w:rPr>
          <w:rFonts w:ascii="Arial" w:cs="Arial" w:eastAsia="Arial" w:hAnsi="Arial"/>
          <w:b w:val="false"/>
          <w:bCs w:val="false"/>
          <w:i w:val="false"/>
          <w:iCs w:val="false"/>
          <w:color w:val="000000"/>
          <w:sz w:val="22"/>
          <w:szCs w:val="22"/>
        </w:rPr>
        <w:t xml:space="preserve">Error 2 — Wrong entity named: The statement says Entity A ‘must consolidate Entity A’ which is nonsensical. It should say Entity A must consolidate Entity C. The statement is therefore FALSE.</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16</w:t>
      </w:r>
      <w:r>
        <w:rPr>
          <w:rFonts w:ascii="Arial" w:cs="Arial" w:eastAsia="Arial" w:hAnsi="Arial"/>
          <w:color w:val="D9D9D9"/>
          <w:sz w:val="22"/>
          <w:szCs w:val="22"/>
        </w:rPr>
        <w:t xml:space="preserve">   |   NCI Dividend — WAGIM Group</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following information has been extracted from the consolidated financial statements of WAGIM:</w:t>
      </w:r>
    </w:p>
    <w:p>
      <w:pPr>
        <w:spacing w:after="4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tblGrid>
      <w:tr>
        <w:tc>
          <w:tcPr>
            <w:tcW w:type="dxa" w:w="32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pPr>
              <w:jc w:val="left"/>
            </w:pPr>
            <w:r>
              <w:rPr>
                <w:rFonts w:ascii="Arial" w:cs="Arial" w:eastAsia="Arial" w:hAnsi="Arial"/>
                <w:b/>
                <w:bCs/>
                <w:sz w:val="20"/>
                <w:szCs w:val="20"/>
              </w:rPr>
              <w:t xml:space="preserve"/>
            </w:r>
          </w:p>
        </w:tc>
        <w:tc>
          <w:tcPr>
            <w:tcW w:type="dxa" w:w="14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pPr>
              <w:jc w:val="right"/>
            </w:pPr>
            <w:r>
              <w:rPr>
                <w:rFonts w:ascii="Arial" w:cs="Arial" w:eastAsia="Arial" w:hAnsi="Arial"/>
                <w:b/>
                <w:bCs/>
                <w:sz w:val="20"/>
                <w:szCs w:val="20"/>
              </w:rPr>
              <w:t xml:space="preserve">2023 (GH₵000)</w:t>
            </w:r>
          </w:p>
        </w:tc>
        <w:tc>
          <w:tcPr>
            <w:tcW w:type="dxa" w:w="1400"/>
            <w:tcBorders>
              <w:top w:val="single" w:color="AAAAAA" w:sz="1"/>
              <w:left w:val="single" w:color="AAAAAA" w:sz="1"/>
              <w:bottom w:val="single" w:color="AAAAAA" w:sz="1"/>
              <w:right w:val="single" w:color="AAAAAA" w:sz="1"/>
            </w:tcBorders>
            <w:shd w:fill="DCE6F1" w:val="clear"/>
            <w:tcMar>
              <w:top w:type="dxa" w:w="60"/>
              <w:left w:type="dxa" w:w="120"/>
              <w:bottom w:type="dxa" w:w="60"/>
              <w:right w:type="dxa" w:w="120"/>
            </w:tcMar>
          </w:tcPr>
          <w:p>
            <w:pPr>
              <w:jc w:val="right"/>
            </w:pPr>
            <w:r>
              <w:rPr>
                <w:rFonts w:ascii="Arial" w:cs="Arial" w:eastAsia="Arial" w:hAnsi="Arial"/>
                <w:b/>
                <w:bCs/>
                <w:sz w:val="20"/>
                <w:szCs w:val="20"/>
              </w:rPr>
              <w:t xml:space="preserve">2024 (GH₵000)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Non-controlling interest (CSFP)</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27,600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31,200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Profit for period attributable to NCI (CSPL)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9,200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sz w:val="20"/>
                <w:szCs w:val="20"/>
              </w:rPr>
              <w:t xml:space="preserve">4,800</w:t>
            </w:r>
          </w:p>
        </w:tc>
      </w:tr>
    </w:tbl>
    <w:p>
      <w:pPr>
        <w:spacing w:after="60" w:before="60"/>
      </w:pPr>
      <w:r>
        <w:t xml:space="preserve"/>
      </w:r>
    </w:p>
    <w:p>
      <w:pPr>
        <w:spacing w:after="60" w:before="60"/>
        <w:ind w:left="0"/>
      </w:pPr>
      <w:r>
        <w:rPr>
          <w:rFonts w:ascii="Arial" w:cs="Arial" w:eastAsia="Arial" w:hAnsi="Arial"/>
          <w:b w:val="false"/>
          <w:bCs w:val="false"/>
          <w:i w:val="false"/>
          <w:iCs w:val="false"/>
          <w:color w:val="000000"/>
          <w:sz w:val="22"/>
          <w:szCs w:val="22"/>
        </w:rPr>
        <w:t xml:space="preserve">The dividend paid to non-controlling interest is: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GH₵800,000</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GH₵1,200,000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GH₵3,600,000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GH₵8,400,000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NCI dividends reduce the NCI balance. We reconcile the NCI movement:</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Opening NCI balance (end of 2023)</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GH₵27,600,000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Profit attributable to NCI in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GH₵4,800,000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Closing NCI balance (end of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(GH₵31,200,000)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Dividend paid to NCI</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GH₵1,200,000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17</w:t>
      </w:r>
      <w:r>
        <w:rPr>
          <w:rFonts w:ascii="Arial" w:cs="Arial" w:eastAsia="Arial" w:hAnsi="Arial"/>
          <w:color w:val="D9D9D9"/>
          <w:sz w:val="22"/>
          <w:szCs w:val="22"/>
        </w:rPr>
        <w:t xml:space="preserve">   |   Dividend Received from Associate</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Given an entity’s share of associate’s profit after tax for the year to 31 December 2023 and 2024 as GH₵28,000 and GH₵30,000: Investment in associate balance for 2023 and 2024 as GH₵264,000 and GH₵276,000 respectively, the dividend received for the year to 31 December 2024 is calculated as ____________</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A.</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GH₵18,000</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GH₵16,000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GH₵12,000</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GH₵10,000</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A</w:t>
      </w:r>
    </w:p>
    <w:p>
      <w:pPr>
        <w:pBdr>
          <w:bottom w:val="single" w:color="B8860B" w:sz="2"/>
        </w:pBdr>
        <w:spacing w:after="40" w:before="140"/>
      </w:pPr>
      <w:r>
        <w:rPr>
          <w:rFonts w:ascii="Arial" w:cs="Arial" w:eastAsia="Arial" w:hAnsi="Arial"/>
          <w:b/>
          <w:bCs/>
          <w:color w:val="1F3864"/>
          <w:sz w:val="18"/>
          <w:szCs w:val="18"/>
        </w:rPr>
        <w:t xml:space="preserve">WORKINGS</w:t>
      </w:r>
    </w:p>
    <w:p>
      <w:pPr>
        <w:spacing w:after="60" w:before="60"/>
        <w:ind w:left="0"/>
      </w:pPr>
      <w:r>
        <w:rPr>
          <w:rFonts w:ascii="Arial" w:cs="Arial" w:eastAsia="Arial" w:hAnsi="Arial"/>
          <w:b w:val="false"/>
          <w:bCs w:val="false"/>
          <w:i w:val="false"/>
          <w:iCs w:val="false"/>
          <w:color w:val="000000"/>
          <w:sz w:val="22"/>
          <w:szCs w:val="22"/>
        </w:rPr>
        <w:t xml:space="preserve">The investment in associate account is maintained under the equity method:</w:t>
      </w:r>
    </w:p>
    <w:p>
      <w:pPr>
        <w:spacing w:after="60" w:before="60"/>
        <w:ind w:left="0"/>
      </w:pPr>
      <w:r>
        <w:rPr>
          <w:rFonts w:ascii="Arial" w:cs="Arial" w:eastAsia="Arial" w:hAnsi="Arial"/>
          <w:b w:val="false"/>
          <w:bCs w:val="false"/>
          <w:i w:val="false"/>
          <w:iCs w:val="false"/>
          <w:color w:val="000000"/>
          <w:sz w:val="22"/>
          <w:szCs w:val="22"/>
        </w:rPr>
        <w:t xml:space="preserve">Opening balance + Share of profit − Dividend received = Closing balance</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0"/>
        <w:gridCol w:w="2760"/>
      </w:tblGrid>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Opening investment in associate (2023 balance)</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GH₵264,000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Add: Share of associate’s profit (2024)</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GH₵30,000</w:t>
            </w:r>
          </w:p>
        </w:tc>
      </w:tr>
      <w:tr>
        <w:tc>
          <w:tcPr>
            <w:tcW w:type="dxa" w:w="6000"/>
            <w:tcBorders>
              <w:top w:val="single" w:color="AAAAAA" w:sz="1"/>
              <w:left w:val="single" w:color="AAAAAA" w:sz="1"/>
              <w:bottom w:val="single" w:color="AAAAAA" w:sz="1"/>
              <w:right w:val="single" w:color="AAAAAA" w:sz="1"/>
            </w:tcBorders>
            <w:shd w:fill="F2F2F2" w:val="clear"/>
            <w:tcMar>
              <w:top w:type="dxa" w:w="70"/>
              <w:left w:type="dxa" w:w="140"/>
              <w:bottom w:type="dxa" w:w="70"/>
              <w:right w:type="dxa" w:w="140"/>
            </w:tcMar>
          </w:tcPr>
          <w:p>
            <w:r>
              <w:rPr>
                <w:rFonts w:ascii="Arial" w:cs="Arial" w:eastAsia="Arial" w:hAnsi="Arial"/>
                <w:b w:val="false"/>
                <w:bCs w:val="false"/>
                <w:sz w:val="21"/>
                <w:szCs w:val="21"/>
              </w:rPr>
              <w:t xml:space="preserve">Less: Closing investment in associate (2024 balance)</w:t>
            </w:r>
          </w:p>
        </w:tc>
        <w:tc>
          <w:tcPr>
            <w:tcW w:type="dxa" w:w="2760"/>
            <w:tcBorders>
              <w:top w:val="single" w:color="AAAAAA" w:sz="1"/>
              <w:left w:val="single" w:color="AAAAAA" w:sz="1"/>
              <w:bottom w:val="single" w:color="AAAAAA" w:sz="1"/>
              <w:right w:val="single" w:color="AAAAAA" w:sz="1"/>
            </w:tcBorders>
            <w:shd w:fill="FFFFFF" w:val="clear"/>
            <w:tcMar>
              <w:top w:type="dxa" w:w="70"/>
              <w:left w:type="dxa" w:w="140"/>
              <w:bottom w:type="dxa" w:w="70"/>
              <w:right w:type="dxa" w:w="140"/>
            </w:tcMar>
          </w:tcPr>
          <w:p>
            <w:pPr>
              <w:jc w:val="right"/>
            </w:pPr>
            <w:r>
              <w:rPr>
                <w:rFonts w:ascii="Arial" w:cs="Arial" w:eastAsia="Arial" w:hAnsi="Arial"/>
                <w:b w:val="false"/>
                <w:bCs w:val="false"/>
                <w:sz w:val="21"/>
                <w:szCs w:val="21"/>
              </w:rPr>
              <w:t xml:space="preserve">(GH₵276,000)</w:t>
            </w:r>
          </w:p>
        </w:tc>
      </w:tr>
      <w:tr>
        <w:tc>
          <w:tcPr>
            <w:tcW w:type="dxa" w:w="600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r>
              <w:rPr>
                <w:rFonts w:ascii="Arial" w:cs="Arial" w:eastAsia="Arial" w:hAnsi="Arial"/>
                <w:b/>
                <w:bCs/>
                <w:sz w:val="21"/>
                <w:szCs w:val="21"/>
              </w:rPr>
              <w:t xml:space="preserve">Dividend received from associate (2024)</w:t>
            </w:r>
          </w:p>
        </w:tc>
        <w:tc>
          <w:tcPr>
            <w:tcW w:type="dxa" w:w="2760"/>
            <w:tcBorders>
              <w:top w:val="single" w:color="AAAAAA" w:sz="1"/>
              <w:left w:val="single" w:color="AAAAAA" w:sz="1"/>
              <w:bottom w:val="single" w:color="AAAAAA" w:sz="1"/>
              <w:right w:val="single" w:color="AAAAAA" w:sz="1"/>
            </w:tcBorders>
            <w:shd w:fill="FFF3CD" w:val="clear"/>
            <w:tcMar>
              <w:top w:type="dxa" w:w="70"/>
              <w:left w:type="dxa" w:w="140"/>
              <w:bottom w:type="dxa" w:w="70"/>
              <w:right w:type="dxa" w:w="140"/>
            </w:tcMar>
          </w:tcPr>
          <w:p>
            <w:pPr>
              <w:jc w:val="right"/>
            </w:pPr>
            <w:r>
              <w:rPr>
                <w:rFonts w:ascii="Arial" w:cs="Arial" w:eastAsia="Arial" w:hAnsi="Arial"/>
                <w:b/>
                <w:bCs/>
                <w:sz w:val="21"/>
                <w:szCs w:val="21"/>
              </w:rPr>
              <w:t xml:space="preserve">GH₵18,000</w:t>
            </w:r>
          </w:p>
        </w:tc>
      </w:tr>
    </w:tbl>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18</w:t>
      </w:r>
      <w:r>
        <w:rPr>
          <w:rFonts w:ascii="Arial" w:cs="Arial" w:eastAsia="Arial" w:hAnsi="Arial"/>
          <w:color w:val="D9D9D9"/>
          <w:sz w:val="22"/>
          <w:szCs w:val="22"/>
        </w:rPr>
        <w:t xml:space="preserve">   |   Definition of Historical Cost Accounting (HCA)</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Under Historical Cost Accounting (HCA), assets are recorded at the amounts at which they are acquired and liabilities at the amount at which they are contracted with a revision to reflect changes in their monetary value.</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True</w:t>
            </w:r>
          </w:p>
        </w:tc>
      </w:tr>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B.</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False</w:t>
            </w:r>
            <w:r>
              <w:rPr>
                <w:rFonts w:ascii="Arial" w:cs="Arial" w:eastAsia="Arial" w:hAnsi="Arial"/>
                <w:b/>
                <w:bCs/>
                <w:color w:val="375623"/>
                <w:sz w:val="20"/>
                <w:szCs w:val="20"/>
              </w:rPr>
              <w:t xml:space="preserve">   ✓  CORRECT ANSWER</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B (FALSE)</w:t>
      </w:r>
    </w:p>
    <w:p>
      <w:pPr>
        <w:spacing w:after="60" w:before="60"/>
        <w:ind w:left="0"/>
      </w:pPr>
      <w:r>
        <w:rPr>
          <w:rFonts w:ascii="Arial" w:cs="Arial" w:eastAsia="Arial" w:hAnsi="Arial"/>
          <w:b w:val="false"/>
          <w:bCs w:val="false"/>
          <w:i w:val="false"/>
          <w:iCs w:val="false"/>
          <w:color w:val="000000"/>
          <w:sz w:val="22"/>
          <w:szCs w:val="22"/>
        </w:rPr>
        <w:t xml:space="preserve">The statement is FALSE. Under HCA, assets ARE recorded at original acquisition cost and liabilities at the contracted amount — that part is correct. However, the statement adds “with a revision to reflect changes in their monetary value” which is INCORRECT. HCA does NOT revise values for changes in purchasing power or price levels. That feature belongs to current value methods such as CPP or CCA.</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19</w:t>
      </w:r>
      <w:r>
        <w:rPr>
          <w:rFonts w:ascii="Arial" w:cs="Arial" w:eastAsia="Arial" w:hAnsi="Arial"/>
          <w:color w:val="D9D9D9"/>
          <w:sz w:val="22"/>
          <w:szCs w:val="22"/>
        </w:rPr>
        <w:t xml:space="preserve">   |   CPP vs CCA — Key Distinction</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The main difference between Current Purchasing Power (CPP) method and Current Cost Accounting (CCA) method is that CPP accounts for the effects of general price changes in goods and services whiles CCA accounts for the effects of specific price change in assets and liabilities in the underlying financial statements.</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A.</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True</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False</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A (TRUE)</w:t>
      </w:r>
    </w:p>
    <w:p>
      <w:pPr>
        <w:spacing w:after="60" w:before="60"/>
        <w:ind w:left="0"/>
      </w:pPr>
      <w:r>
        <w:rPr>
          <w:rFonts w:ascii="Arial" w:cs="Arial" w:eastAsia="Arial" w:hAnsi="Arial"/>
          <w:b w:val="false"/>
          <w:bCs w:val="false"/>
          <w:i w:val="false"/>
          <w:iCs w:val="false"/>
          <w:color w:val="000000"/>
          <w:sz w:val="22"/>
          <w:szCs w:val="22"/>
        </w:rPr>
        <w:t xml:space="preserve">The statement is TRUE and correctly captures the core distinction: CPP uses a general price index (such as CPI) to restate all items uniformly, reflecting changes in general purchasing power. CCA, on the other hand, uses specific price indices relevant to each individual asset or liability held by the entity. This means CCA provides more entity-specific information about the cost of maintaining operating capacity.</w:t>
      </w:r>
    </w:p>
    <w:p>
      <w:pPr>
        <w:pBdr>
          <w:bottom w:val="single" w:color="B8860B" w:sz="6"/>
        </w:pBdr>
        <w:shd w:fill="1F3864" w:val="clear"/>
        <w:spacing w:after="0" w:before="280"/>
        <w:ind w:left="160" w:right="160"/>
      </w:pPr>
      <w:r>
        <w:rPr>
          <w:rFonts w:ascii="Arial" w:cs="Arial" w:eastAsia="Arial" w:hAnsi="Arial"/>
          <w:b/>
          <w:bCs/>
          <w:color w:val="FFFFFF"/>
          <w:sz w:val="24"/>
          <w:szCs w:val="24"/>
        </w:rPr>
        <w:t xml:space="preserve">Question 20</w:t>
      </w:r>
      <w:r>
        <w:rPr>
          <w:rFonts w:ascii="Arial" w:cs="Arial" w:eastAsia="Arial" w:hAnsi="Arial"/>
          <w:color w:val="D9D9D9"/>
          <w:sz w:val="22"/>
          <w:szCs w:val="22"/>
        </w:rPr>
        <w:t xml:space="preserve">   |   Environmental Expenditure as an Asset</w:t>
      </w:r>
    </w:p>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THE QUESTION</w:t>
      </w:r>
    </w:p>
    <w:p>
      <w:pPr>
        <w:spacing w:after="60" w:before="60"/>
        <w:ind w:left="0"/>
      </w:pPr>
      <w:r>
        <w:rPr>
          <w:rFonts w:ascii="Arial" w:cs="Arial" w:eastAsia="Arial" w:hAnsi="Arial"/>
          <w:b w:val="false"/>
          <w:bCs w:val="false"/>
          <w:i w:val="false"/>
          <w:iCs w:val="false"/>
          <w:color w:val="000000"/>
          <w:sz w:val="22"/>
          <w:szCs w:val="22"/>
        </w:rPr>
        <w:t xml:space="preserve">If environmental expenditure provides access to future economic benefits, it meets the IASB’s definition of an asset. It would normally be capitalised and depreciated over the useful life of the asset.</w:t>
      </w:r>
    </w:p>
    <w:p>
      <w:pPr>
        <w:spacing w:after="40" w:before="4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8060"/>
      </w:tblGrid>
      <w:tr>
        <w:tc>
          <w:tcPr>
            <w:tcW w:type="dxa" w:w="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Arial" w:cs="Arial" w:eastAsia="Arial" w:hAnsi="Arial"/>
                <w:b/>
                <w:bCs/>
                <w:color w:val="375623"/>
                <w:sz w:val="22"/>
                <w:szCs w:val="22"/>
              </w:rPr>
              <w:t xml:space="preserve">A.</w:t>
            </w:r>
          </w:p>
        </w:tc>
        <w:tc>
          <w:tcPr>
            <w:tcW w:type="dxa" w:w="8060"/>
            <w:tcBorders>
              <w:top w:val="single" w:color="AAAAAA" w:sz="1"/>
              <w:left w:val="single" w:color="AAAAAA" w:sz="1"/>
              <w:bottom w:val="single" w:color="AAAAAA" w:sz="1"/>
              <w:right w:val="single" w:color="AAAAAA" w:sz="1"/>
            </w:tcBorders>
            <w:shd w:fill="E2EFDA" w:val="clear"/>
            <w:tcMar>
              <w:top w:type="dxa" w:w="80"/>
              <w:left w:type="dxa" w:w="140"/>
              <w:bottom w:type="dxa" w:w="80"/>
              <w:right w:type="dxa" w:w="140"/>
            </w:tcMar>
          </w:tcPr>
          <w:p>
            <w:r>
              <w:rPr>
                <w:rFonts w:ascii="Arial" w:cs="Arial" w:eastAsia="Arial" w:hAnsi="Arial"/>
                <w:b/>
                <w:bCs/>
                <w:color w:val="375623"/>
                <w:sz w:val="22"/>
                <w:szCs w:val="22"/>
              </w:rPr>
              <w:t xml:space="preserve">True</w:t>
            </w:r>
            <w:r>
              <w:rPr>
                <w:rFonts w:ascii="Arial" w:cs="Arial" w:eastAsia="Arial" w:hAnsi="Arial"/>
                <w:b/>
                <w:bCs/>
                <w:color w:val="375623"/>
                <w:sz w:val="20"/>
                <w:szCs w:val="20"/>
              </w:rPr>
              <w:t xml:space="preserve">   ✓  CORRECT ANSWER</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w:t>
            </w:r>
          </w:p>
        </w:tc>
        <w:tc>
          <w:tcPr>
            <w:tcW w:type="dxa" w:w="806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tcPr>
          <w:p>
            <w:r>
              <w:rPr>
                <w:rFonts w:ascii="Arial" w:cs="Arial" w:eastAsia="Arial" w:hAnsi="Arial"/>
                <w:b w:val="false"/>
                <w:bCs w:val="false"/>
                <w:color w:val="333333"/>
                <w:sz w:val="22"/>
                <w:szCs w:val="22"/>
              </w:rPr>
              <w:t xml:space="preserve">False</w:t>
            </w:r>
          </w:p>
        </w:tc>
      </w:tr>
    </w:tbl>
    <w:p>
      <w:pPr>
        <w:spacing w:after="60" w:before="60"/>
      </w:pPr>
      <w:r>
        <w:t xml:space="preserve"/>
      </w:r>
    </w:p>
    <w:p>
      <w:pPr>
        <w:pBdr>
          <w:bottom w:val="single" w:color="B8860B" w:sz="2"/>
        </w:pBdr>
        <w:spacing w:after="40" w:before="160"/>
      </w:pPr>
      <w:r>
        <w:rPr>
          <w:rFonts w:ascii="Arial" w:cs="Arial" w:eastAsia="Arial" w:hAnsi="Arial"/>
          <w:b/>
          <w:bCs/>
          <w:color w:val="1F3864"/>
          <w:sz w:val="18"/>
          <w:szCs w:val="18"/>
        </w:rPr>
        <w:t xml:space="preserve">SOLUTION — ANSWER: A (TRUE)</w:t>
      </w:r>
    </w:p>
    <w:p>
      <w:pPr>
        <w:spacing w:after="60" w:before="60"/>
        <w:ind w:left="0"/>
      </w:pPr>
      <w:r>
        <w:rPr>
          <w:rFonts w:ascii="Arial" w:cs="Arial" w:eastAsia="Arial" w:hAnsi="Arial"/>
          <w:b w:val="false"/>
          <w:bCs w:val="false"/>
          <w:i w:val="false"/>
          <w:iCs w:val="false"/>
          <w:color w:val="000000"/>
          <w:sz w:val="22"/>
          <w:szCs w:val="22"/>
        </w:rPr>
        <w:t xml:space="preserve">The statement is TRUE. Under the IASB Conceptual Framework, an asset is a present economic resource controlled by the entity as a result of past events from which future economic benefits are expected to flow. If environmental expenditure (e.g., pollution-control equipment, site restoration infrastructure) creates or gives access to future economic benefits, it satisfies this definition. It should be recognised as an asset on the balance sheet and depreciated over its useful economic life.</w:t>
      </w:r>
    </w:p>
    <w:p>
      <w:pPr>
        <w:spacing w:after="200" w:before="200"/>
      </w:pPr>
      <w:r>
        <w:t xml:space="preserve"/>
      </w:r>
    </w:p>
    <w:p>
      <w:pPr>
        <w:pBdr>
          <w:top w:val="single" w:color="B8860B" w:sz="6"/>
          <w:bottom w:val="single" w:color="B8860B" w:sz="6"/>
        </w:pBdr>
        <w:shd w:fill="1F3864" w:val="clear"/>
        <w:spacing w:after="0" w:before="200"/>
        <w:jc w:val="center"/>
      </w:pPr>
      <w:r>
        <w:rPr>
          <w:rFonts w:ascii="Arial" w:cs="Arial" w:eastAsia="Arial" w:hAnsi="Arial"/>
          <w:b/>
          <w:bCs/>
          <w:color w:val="FFFFFF"/>
          <w:sz w:val="26"/>
          <w:szCs w:val="26"/>
        </w:rPr>
        <w:t xml:space="preserve">SECTION A — ANSWER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560"/>
        <w:gridCol w:w="30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Key Point</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Unrealised Profit — Premier/Sweed</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GH₵1,600,000</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C</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Consolidated Cost of Sales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GH₵44,600,000</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3</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Cost of Investment — Paapa/Maami</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GH₵1,600,000</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4</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C</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FV Gain on Step Acquisition — Tinda/Bruce</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GH₵600,000</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5</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Goodwill on Step Acquisition</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GH₵2,200,000</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6</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Capital Maintenance Concept</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Physical Capital Maintenance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7</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Gross Replacement Cost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GH₵590,909</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8</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Accumulated Depreciation on RC</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GH₵325,000</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9</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Net Replacement Cost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GH₵265,909</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10</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Movement in Inventories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GH₵425,000 increase (cash outflow)</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11</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D</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Movement in Receivables</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GH₵370,000 decrease (cash inflow)</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12</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A</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Movement in Payables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GH₵190,000 increase (cash inflow)</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13</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C</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Price Level Changes — True Statement</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Monetary liabilities &gt; monetary assets</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14</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Consolidation — A, B, C (preference shares)</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True</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15</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Effective Interest in Entity C</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False — 52%, not 70%</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16</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NCI Dividend — WAGIM</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GH₵1,200,000</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17</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Dividend from Associate</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GH₵18,000</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18</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B</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HCA Definition</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False — no monetary revision</w:t>
            </w:r>
          </w:p>
        </w:tc>
      </w:tr>
      <w:tr>
        <w:tc>
          <w:tcPr>
            <w:tcW w:type="dxa" w:w="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19</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A</w:t>
            </w:r>
          </w:p>
        </w:tc>
        <w:tc>
          <w:tcPr>
            <w:tcW w:type="dxa" w:w="4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CPP vs CCA</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True</w:t>
            </w:r>
          </w:p>
        </w:tc>
      </w:tr>
      <w:tr>
        <w:tc>
          <w:tcPr>
            <w:tcW w:type="dxa" w:w="8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20</w:t>
            </w:r>
          </w:p>
        </w:tc>
        <w:tc>
          <w:tcPr>
            <w:tcW w:type="dxa" w:w="1000"/>
            <w:tcBorders>
              <w:top w:val="single" w:color="AAAAAA" w:sz="1"/>
              <w:left w:val="single" w:color="AAAAAA" w:sz="1"/>
              <w:bottom w:val="single" w:color="AAAAAA" w:sz="1"/>
              <w:right w:val="single" w:color="AAAAAA" w:sz="1"/>
            </w:tcBorders>
            <w:shd w:fill="E2EFDA" w:val="clear"/>
            <w:tcMar>
              <w:top w:type="dxa" w:w="70"/>
              <w:left w:type="dxa" w:w="120"/>
              <w:bottom w:type="dxa" w:w="70"/>
              <w:right w:type="dxa" w:w="120"/>
            </w:tcMar>
          </w:tcPr>
          <w:p>
            <w:pPr>
              <w:jc w:val="center"/>
            </w:pPr>
            <w:r>
              <w:rPr>
                <w:rFonts w:ascii="Arial" w:cs="Arial" w:eastAsia="Arial" w:hAnsi="Arial"/>
                <w:b/>
                <w:bCs/>
                <w:color w:val="375623"/>
                <w:sz w:val="20"/>
                <w:szCs w:val="20"/>
              </w:rPr>
              <w:t xml:space="preserve">A</w:t>
            </w:r>
          </w:p>
        </w:tc>
        <w:tc>
          <w:tcPr>
            <w:tcW w:type="dxa" w:w="456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Environmental Expenditure</w:t>
            </w:r>
          </w:p>
        </w:tc>
        <w:tc>
          <w:tcPr>
            <w:tcW w:type="dxa" w:w="3000"/>
            <w:tcBorders>
              <w:top w:val="single" w:color="AAAAAA" w:sz="1"/>
              <w:left w:val="single" w:color="AAAAAA" w:sz="1"/>
              <w:bottom w:val="single" w:color="AAAAAA" w:sz="1"/>
              <w:right w:val="single" w:color="AAAAAA" w:sz="1"/>
            </w:tcBorders>
            <w:shd w:fill="F2F2F2"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True</w:t>
            </w:r>
          </w:p>
        </w:tc>
      </w:tr>
    </w:tbl>
    <w:p>
      <w:pPr>
        <w:spacing w:after="120" w:before="120"/>
      </w:pPr>
      <w:r>
        <w:t xml:space="preserve"/>
      </w:r>
    </w:p>
    <w:p>
      <w:pPr>
        <w:jc w:val="center"/>
      </w:pPr>
      <w:r>
        <w:rPr>
          <w:rFonts w:ascii="Arial" w:cs="Arial" w:eastAsia="Arial" w:hAnsi="Arial"/>
          <w:i/>
          <w:iCs/>
          <w:color w:val="999999"/>
          <w:sz w:val="18"/>
          <w:szCs w:val="18"/>
        </w:rPr>
        <w:t xml:space="preserve">Prepared by Claude (Anthropic) for academic study — ACC402D Advanced Financial Reporting II, UCC 2024/2025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2026-04-21T09:11:19.766Z</dcterms:created>
  <dcterms:modified xsi:type="dcterms:W3CDTF">2026-04-21T09:11:19.767Z</dcterms:modified>
</cp:coreProperties>
</file>

<file path=docProps/custom.xml><?xml version="1.0" encoding="utf-8"?>
<Properties xmlns="http://schemas.openxmlformats.org/officeDocument/2006/custom-properties" xmlns:vt="http://schemas.openxmlformats.org/officeDocument/2006/docPropsVTypes"/>
</file>