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sz w:val="20"/>
          <w:szCs w:val="20"/>
        </w:rPr>
        <w:t xml:space="preserve">Question 2</w:t>
      </w:r>
    </w:p>
    <w:p>
      <w:pPr>
        <w:spacing w:after="80" w:before="60"/>
        <w:jc w:val="left"/>
      </w:pPr>
      <w:r>
        <w:rPr>
          <w:rFonts w:ascii="Arial" w:cs="Arial" w:eastAsia="Arial" w:hAnsi="Arial"/>
          <w:b w:val="false"/>
          <w:bCs w:val="false"/>
          <w:sz w:val="20"/>
          <w:szCs w:val="20"/>
        </w:rPr>
        <w:t xml:space="preserve">The following information is relevant to the preparation of the group financial statements of Marchant, a public limited company, for the year ended 30 April 2020:</w:t>
      </w:r>
    </w:p>
    <w:p>
      <w:pPr>
        <w:spacing w:after="80" w:before="60"/>
        <w:jc w:val="left"/>
      </w:pPr>
      <w:r>
        <w:rPr>
          <w:rFonts w:ascii="Arial" w:cs="Arial" w:eastAsia="Arial" w:hAnsi="Arial"/>
          <w:b w:val="false"/>
          <w:bCs w:val="false"/>
          <w:sz w:val="20"/>
          <w:szCs w:val="20"/>
        </w:rPr>
        <w:t xml:space="preserve">a)    On 1 May 2018, Chante Ltd acquired 60% of the equity interests of Nathan, a public limited company, paying GH₵120m immediately in cash and additional GH₵44 million on 30 April 2019. The fair value of the identifiable net assets acquired was GH₵220 million at acquisition date. The fair value of the non-controlling interest (NCI) in Nathan was GH₵90 million on 1 May 2018. Where necessary, the cost of capital of the entity is 10%.</w:t>
      </w:r>
    </w:p>
    <w:p>
      <w:pPr>
        <w:spacing w:after="80" w:before="60"/>
        <w:jc w:val="left"/>
      </w:pPr>
      <w:r>
        <w:rPr>
          <w:rFonts w:ascii="Arial" w:cs="Arial" w:eastAsia="Arial" w:hAnsi="Arial"/>
          <w:b w:val="false"/>
          <w:bCs w:val="false"/>
          <w:sz w:val="20"/>
          <w:szCs w:val="20"/>
        </w:rPr>
        <w:t xml:space="preserve">Chante uses the 'full goodwill' method for all acquisitions. The share capital and retained earnings of Nathan were GH₵50 million and GH₵130 million respectively and other components of equity were GH₵12 million at the date of acquisition. The excess of the fair value of the identifiable net assets at acquisition was due to non-depreciable land.</w:t>
      </w:r>
    </w:p>
    <w:p>
      <w:pPr>
        <w:spacing w:after="80" w:before="60"/>
        <w:jc w:val="left"/>
      </w:pPr>
      <w:r>
        <w:rPr>
          <w:rFonts w:ascii="Arial" w:cs="Arial" w:eastAsia="Arial" w:hAnsi="Arial"/>
          <w:b w:val="false"/>
          <w:bCs w:val="false"/>
          <w:sz w:val="20"/>
          <w:szCs w:val="20"/>
        </w:rPr>
        <w:t xml:space="preserve">Goodwill has been tested for impairment annually and as at 30 April 2019 had reduced in value by 20%.</w:t>
      </w:r>
    </w:p>
    <w:p>
      <w:pPr>
        <w:spacing w:after="80" w:before="60"/>
        <w:jc w:val="left"/>
      </w:pPr>
      <w:r>
        <w:rPr>
          <w:rFonts w:ascii="Arial" w:cs="Arial" w:eastAsia="Arial" w:hAnsi="Arial"/>
          <w:b w:val="false"/>
          <w:bCs w:val="false"/>
          <w:sz w:val="20"/>
          <w:szCs w:val="20"/>
        </w:rPr>
        <w:t xml:space="preserve">At 30 April 2020, the impairment of goodwill had reversed and goodwill was valued at GH₵4 million above its original value. This upward change in value has already been included in draft financial statements of Chante prior to the preparation of the group accounts by a new Accounts Officer who is not aware of international financial reporting standards.</w:t>
      </w:r>
    </w:p>
    <w:p>
      <w:pPr>
        <w:spacing w:after="80" w:before="60"/>
        <w:jc w:val="left"/>
      </w:pPr>
      <w:r>
        <w:rPr>
          <w:rFonts w:ascii="Arial" w:cs="Arial" w:eastAsia="Arial" w:hAnsi="Arial"/>
          <w:b/>
          <w:bCs/>
          <w:sz w:val="20"/>
          <w:szCs w:val="20"/>
        </w:rPr>
        <w:t xml:space="preserve">Required:</w:t>
      </w:r>
    </w:p>
    <w:p>
      <w:pPr>
        <w:spacing w:after="80" w:before="60"/>
        <w:jc w:val="left"/>
      </w:pPr>
      <w:r>
        <w:rPr>
          <w:rFonts w:ascii="Arial" w:cs="Arial" w:eastAsia="Arial" w:hAnsi="Arial"/>
          <w:b w:val="false"/>
          <w:bCs w:val="false"/>
          <w:sz w:val="20"/>
          <w:szCs w:val="20"/>
        </w:rPr>
        <w:t xml:space="preserve">i. Calculate the goodwill to be reported in the financial statement on 30 April 2019.</w:t>
      </w:r>
      <w:r>
        <w:rPr>
          <w:rFonts w:ascii="Arial" w:cs="Arial" w:eastAsia="Arial" w:hAnsi="Arial"/>
          <w:b/>
          <w:bCs/>
          <w:sz w:val="20"/>
          <w:szCs w:val="20"/>
        </w:rPr>
        <w:t xml:space="preserve">                                                        [4 marks]</w:t>
      </w:r>
    </w:p>
    <w:p>
      <w:pPr>
        <w:spacing w:after="80" w:before="60"/>
        <w:jc w:val="left"/>
      </w:pPr>
      <w:r>
        <w:rPr>
          <w:rFonts w:ascii="Arial" w:cs="Arial" w:eastAsia="Arial" w:hAnsi="Arial"/>
          <w:b w:val="false"/>
          <w:bCs w:val="false"/>
          <w:sz w:val="20"/>
          <w:szCs w:val="20"/>
        </w:rPr>
        <w:t xml:space="preserve">ii. Explain how the upward impairment should be accounted for to the new Accounts officer and state the value of goodwill at 30 April 2020.</w:t>
      </w:r>
      <w:r>
        <w:rPr>
          <w:rFonts w:ascii="Arial" w:cs="Arial" w:eastAsia="Arial" w:hAnsi="Arial"/>
          <w:b/>
          <w:bCs/>
          <w:sz w:val="20"/>
          <w:szCs w:val="20"/>
        </w:rPr>
        <w:t xml:space="preserve">                    [3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sz w:val="20"/>
          <w:szCs w:val="20"/>
        </w:rPr>
        <w:t xml:space="preserve">b)    On 1 January 2019, Zoli Ltd entered into a contractual agreement with CKG Ltd to produce a new product. Zoli Ltd undertakes one manufacturing process and CKG Ltd undertakes the other. Both parties have agreed that decisions regarding their activities will be made unanimously and that each will bear their own expenses and take an agreed share of the sales revenue from the product.</w:t>
      </w:r>
    </w:p>
    <w:p>
      <w:pPr>
        <w:spacing w:after="80" w:before="60"/>
        <w:jc w:val="left"/>
      </w:pPr>
      <w:r>
        <w:rPr>
          <w:rFonts w:ascii="Arial" w:cs="Arial" w:eastAsia="Arial" w:hAnsi="Arial"/>
          <w:b w:val="false"/>
          <w:bCs w:val="false"/>
          <w:sz w:val="20"/>
          <w:szCs w:val="20"/>
        </w:rPr>
        <w:t xml:space="preserve">In a separate agreement, Zoli Ltd and SEKA Ltd decide to form an entity such that, Zoli will own 55% of the equity capital of the new entity, with SEKA owning the remaining 45%. They agreed that decision making regarding the new entity will be unanimous and that they will have an interest in the net assets of the new entity.</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sz w:val="20"/>
          <w:szCs w:val="20"/>
        </w:rPr>
        <w:t xml:space="preserve">EXAM CODE 03</w:t>
      </w:r>
    </w:p>
    <w:p>
      <w:pPr>
        <w:spacing w:after="80" w:before="60"/>
        <w:jc w:val="left"/>
      </w:pPr>
      <w:r>
        <w:rPr>
          <w:rFonts w:ascii="Arial" w:cs="Arial" w:eastAsia="Arial" w:hAnsi="Arial"/>
          <w:b/>
          <w:bCs/>
          <w:sz w:val="20"/>
          <w:szCs w:val="20"/>
        </w:rPr>
        <w:t xml:space="preserve">Required: </w:t>
      </w:r>
      <w:r>
        <w:rPr>
          <w:rFonts w:ascii="Arial" w:cs="Arial" w:eastAsia="Arial" w:hAnsi="Arial"/>
          <w:b w:val="false"/>
          <w:bCs w:val="false"/>
          <w:sz w:val="20"/>
          <w:szCs w:val="20"/>
        </w:rPr>
        <w:t xml:space="preserve">With reference to the appropriate standards, explain how the above transactions should be accounted for in the books of Zoli Ltd.</w:t>
      </w:r>
      <w:r>
        <w:rPr>
          <w:rFonts w:ascii="Arial" w:cs="Arial" w:eastAsia="Arial" w:hAnsi="Arial"/>
          <w:b/>
          <w:bCs/>
          <w:sz w:val="20"/>
          <w:szCs w:val="20"/>
        </w:rPr>
        <w:t xml:space="preserve">                    [7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sz w:val="20"/>
          <w:szCs w:val="20"/>
        </w:rPr>
        <w:t xml:space="preserve">c)    Delight Ltd had bought 90% of the issued capital of Enyonam Ltd several years ago at a cost of GH₵2,120,000 when the net assets of Enyonam amounted to GH₵1,920,000. Both companies prepare accounts to 31st December each year. On 1st July 2019, Delight Ltd. Sold 50% of its shareholding in Enyonam Ltd for GH₵2,160,000. At this date the carrying value of the net assets of Enyonam was GH₵3,200,000 and no goodwill is attributed to non-controlling interests. Goodwill arising on the acquisition has suffered an impairment of 60% of its original value. The fair value of the remaining investment in Enyonam is estimated at GH₵2,000,000.</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sz w:val="20"/>
          <w:szCs w:val="20"/>
        </w:rPr>
        <w:t xml:space="preserve">Required:</w:t>
      </w:r>
    </w:p>
    <w:p>
      <w:pPr>
        <w:spacing w:after="60" w:before="60"/>
        <w:jc w:val="left"/>
      </w:pPr>
      <w:r>
        <w:rPr>
          <w:rFonts w:ascii="Arial" w:cs="Arial" w:eastAsia="Arial" w:hAnsi="Arial"/>
          <w:b w:val="false"/>
          <w:bCs w:val="false"/>
          <w:sz w:val="20"/>
          <w:szCs w:val="20"/>
        </w:rPr>
        <w:t xml:space="preserve">Explain (with relevant calculations) how delight Ltd should account for this transaction in the financial statements at 31 December 2019.</w:t>
      </w:r>
      <w:r>
        <w:rPr>
          <w:rFonts w:ascii="Arial" w:cs="Arial" w:eastAsia="Arial" w:hAnsi="Arial"/>
          <w:b/>
          <w:bCs/>
          <w:sz w:val="20"/>
          <w:szCs w:val="20"/>
        </w:rPr>
        <w:t xml:space="preserve">    [6 marks]</w:t>
      </w:r>
    </w:p>
    <w:p>
      <w:pPr>
        <w:spacing w:after="60" w:before="60"/>
        <w:jc w:val="right"/>
      </w:pPr>
      <w:r>
        <w:rPr>
          <w:rFonts w:ascii="Arial" w:cs="Arial" w:eastAsia="Arial" w:hAnsi="Arial"/>
          <w:b/>
          <w:bCs/>
          <w:sz w:val="20"/>
          <w:szCs w:val="20"/>
        </w:rPr>
        <w:t xml:space="preserve">[Total = 20 marks]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2026-04-15T08:25:27.483Z</dcterms:created>
  <dcterms:modified xsi:type="dcterms:W3CDTF">2026-04-15T08:25:27.485Z</dcterms:modified>
</cp:coreProperties>
</file>

<file path=docProps/custom.xml><?xml version="1.0" encoding="utf-8"?>
<Properties xmlns="http://schemas.openxmlformats.org/officeDocument/2006/custom-properties" xmlns:vt="http://schemas.openxmlformats.org/officeDocument/2006/docPropsVTypes"/>
</file>