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sz w:val="20"/>
          <w:szCs w:val="20"/>
          <w:u w:val="single"/>
        </w:rPr>
        <w:t xml:space="preserve">QUESTION</w:t>
      </w:r>
    </w:p>
    <w:p>
      <w:pPr>
        <w:spacing w:after="60" w:before="60"/>
        <w:jc w:val="left"/>
      </w:pPr>
      <w:r>
        <w:rPr>
          <w:rFonts w:ascii="Arial" w:cs="Arial" w:eastAsia="Arial" w:hAnsi="Arial"/>
          <w:b w:val="false"/>
          <w:bCs w:val="false"/>
          <w:sz w:val="20"/>
          <w:szCs w:val="20"/>
        </w:rPr>
        <w:t xml:space="preserve">Moon Ltd operated as a single company, but in 2025 decided to expand its operations. Moon Ltd acquired a 60% interest in Stars on 1 January 2025 for GH₵2,000,000. The statements of comprehensive income of Moon Ltd and Stars Ltd for the year ended 30 June 2025 are as follows:</w:t>
      </w:r>
    </w:p>
    <w:p>
      <w:pPr>
        <w:spacing w:after="60" w:before="60"/>
        <w:jc w:val="left"/>
      </w:pPr>
      <w:r>
        <w:rPr>
          <w:rFonts w:ascii="Arial" w:cs="Arial" w:eastAsia="Arial" w:hAnsi="Arial"/>
          <w:b w:val="false"/>
          <w:bCs w:val="false"/>
          <w:sz w:val="20"/>
          <w:szCs w:val="20"/>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800"/>
        <w:gridCol w:w="1920"/>
        <w:gridCol w:w="1920"/>
      </w:tblGrid>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center"/>
            </w:pPr>
            <w:r>
              <w:rPr>
                <w:rFonts w:ascii="Arial" w:cs="Arial" w:eastAsia="Arial" w:hAnsi="Arial"/>
                <w:b/>
                <w:bCs/>
                <w:sz w:val="20"/>
                <w:szCs w:val="20"/>
              </w:rPr>
              <w:t xml:space="preserve">Moon Ltd</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center"/>
            </w:pPr>
            <w:r>
              <w:rPr>
                <w:rFonts w:ascii="Arial" w:cs="Arial" w:eastAsia="Arial" w:hAnsi="Arial"/>
                <w:b/>
                <w:bCs/>
                <w:sz w:val="20"/>
                <w:szCs w:val="20"/>
              </w:rPr>
              <w:t xml:space="preserve">Stars</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center"/>
            </w:pPr>
            <w:r>
              <w:rPr>
                <w:rFonts w:ascii="Arial" w:cs="Arial" w:eastAsia="Arial" w:hAnsi="Arial"/>
                <w:b/>
                <w:bCs/>
                <w:sz w:val="20"/>
                <w:szCs w:val="20"/>
              </w:rPr>
              <w:t xml:space="preserve">Ltd</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center"/>
            </w:pPr>
            <w:r>
              <w:rPr>
                <w:rFonts w:ascii="Arial" w:cs="Arial" w:eastAsia="Arial" w:hAnsi="Arial"/>
                <w:b/>
                <w:bCs/>
                <w:sz w:val="20"/>
                <w:szCs w:val="20"/>
              </w:rPr>
              <w:t xml:space="preserve">GH₵'000</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center"/>
            </w:pPr>
            <w:r>
              <w:rPr>
                <w:rFonts w:ascii="Arial" w:cs="Arial" w:eastAsia="Arial" w:hAnsi="Arial"/>
                <w:b/>
                <w:bCs/>
                <w:sz w:val="20"/>
                <w:szCs w:val="20"/>
              </w:rPr>
              <w:t xml:space="preserve">GH₵'000</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Revenue</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22,800</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4,300</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Cost of sales</w:t>
            </w:r>
          </w:p>
        </w:tc>
        <w:tc>
          <w:tcPr>
            <w:tcW w:type="dxa" w:w="1920"/>
            <w:tcBorders>
              <w:top w:val="none" w:color="FFFFFF" w:sz="0"/>
              <w:left w:val="none" w:color="FFFFFF" w:sz="0"/>
              <w:bottom w:val="single" w:color="000000" w:sz="1"/>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(13,600)</w:t>
            </w:r>
          </w:p>
        </w:tc>
        <w:tc>
          <w:tcPr>
            <w:tcW w:type="dxa" w:w="1920"/>
            <w:tcBorders>
              <w:top w:val="none" w:color="FFFFFF" w:sz="0"/>
              <w:left w:val="none" w:color="FFFFFF" w:sz="0"/>
              <w:bottom w:val="single" w:color="000000" w:sz="1"/>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(2,600)</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Gross profit</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9,200</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1,700</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Distribution cost</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(2,900)</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(500)</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Administrative expenses</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(1,800)</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(300)</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Finance costs</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(200)</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(70)</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Finance income</w:t>
            </w:r>
          </w:p>
        </w:tc>
        <w:tc>
          <w:tcPr>
            <w:tcW w:type="dxa" w:w="1920"/>
            <w:tcBorders>
              <w:top w:val="none" w:color="FFFFFF" w:sz="0"/>
              <w:left w:val="none" w:color="FFFFFF" w:sz="0"/>
              <w:bottom w:val="single" w:color="000000" w:sz="1"/>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50</w:t>
            </w:r>
          </w:p>
        </w:tc>
        <w:tc>
          <w:tcPr>
            <w:tcW w:type="dxa" w:w="1920"/>
            <w:tcBorders>
              <w:top w:val="none" w:color="FFFFFF" w:sz="0"/>
              <w:left w:val="none" w:color="FFFFFF" w:sz="0"/>
              <w:bottom w:val="single" w:color="000000" w:sz="1"/>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bCs/>
                <w:sz w:val="20"/>
                <w:szCs w:val="20"/>
              </w:rPr>
              <w:t xml:space="preserve">Profit before tax</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bCs/>
                <w:sz w:val="20"/>
                <w:szCs w:val="20"/>
              </w:rPr>
              <w:t xml:space="preserve">4,350</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bCs/>
                <w:sz w:val="20"/>
                <w:szCs w:val="20"/>
              </w:rPr>
              <w:t xml:space="preserve">830</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Income tax expense</w:t>
            </w:r>
          </w:p>
        </w:tc>
        <w:tc>
          <w:tcPr>
            <w:tcW w:type="dxa" w:w="1920"/>
            <w:tcBorders>
              <w:top w:val="none" w:color="FFFFFF" w:sz="0"/>
              <w:left w:val="none" w:color="FFFFFF" w:sz="0"/>
              <w:bottom w:val="single" w:color="000000" w:sz="1"/>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(1,300)</w:t>
            </w:r>
          </w:p>
        </w:tc>
        <w:tc>
          <w:tcPr>
            <w:tcW w:type="dxa" w:w="1920"/>
            <w:tcBorders>
              <w:top w:val="none" w:color="FFFFFF" w:sz="0"/>
              <w:left w:val="none" w:color="FFFFFF" w:sz="0"/>
              <w:bottom w:val="single" w:color="000000" w:sz="1"/>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(220)</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bCs/>
                <w:sz w:val="20"/>
                <w:szCs w:val="20"/>
              </w:rPr>
              <w:t xml:space="preserve">Profit for the year</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bCs/>
                <w:sz w:val="20"/>
                <w:szCs w:val="20"/>
              </w:rPr>
              <w:t xml:space="preserve">3,050</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bCs/>
                <w:sz w:val="20"/>
                <w:szCs w:val="20"/>
              </w:rPr>
              <w:t xml:space="preserve">610</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Other comprehensive income for the year, net of tax</w:t>
            </w:r>
          </w:p>
        </w:tc>
        <w:tc>
          <w:tcPr>
            <w:tcW w:type="dxa" w:w="1920"/>
            <w:tcBorders>
              <w:top w:val="none" w:color="FFFFFF" w:sz="0"/>
              <w:left w:val="none" w:color="FFFFFF" w:sz="0"/>
              <w:bottom w:val="single" w:color="000000" w:sz="1"/>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1,600</w:t>
            </w:r>
          </w:p>
        </w:tc>
        <w:tc>
          <w:tcPr>
            <w:tcW w:type="dxa" w:w="1920"/>
            <w:tcBorders>
              <w:top w:val="none" w:color="FFFFFF" w:sz="0"/>
              <w:left w:val="none" w:color="FFFFFF" w:sz="0"/>
              <w:bottom w:val="single" w:color="000000" w:sz="1"/>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180</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bCs/>
                <w:sz w:val="20"/>
                <w:szCs w:val="20"/>
              </w:rPr>
              <w:t xml:space="preserve">Total comprehensive income for the year</w:t>
            </w:r>
          </w:p>
        </w:tc>
        <w:tc>
          <w:tcPr>
            <w:tcW w:type="dxa" w:w="1920"/>
            <w:tcBorders>
              <w:top w:val="single" w:color="000000" w:sz="1"/>
              <w:left w:val="none" w:color="FFFFFF" w:sz="0"/>
              <w:bottom w:val="single" w:color="000000" w:sz="1"/>
              <w:right w:val="none" w:color="FFFFFF" w:sz="0"/>
            </w:tcBorders>
            <w:tcMar>
              <w:top w:type="dxa" w:w="50"/>
              <w:left w:type="dxa" w:w="100"/>
              <w:bottom w:type="dxa" w:w="50"/>
              <w:right w:type="dxa" w:w="100"/>
            </w:tcMar>
          </w:tcPr>
          <w:p>
            <w:pPr>
              <w:jc w:val="right"/>
            </w:pPr>
            <w:r>
              <w:rPr>
                <w:rFonts w:ascii="Arial" w:cs="Arial" w:eastAsia="Arial" w:hAnsi="Arial"/>
                <w:b/>
                <w:bCs/>
                <w:sz w:val="20"/>
                <w:szCs w:val="20"/>
              </w:rPr>
              <w:t xml:space="preserve">4,650</w:t>
            </w:r>
          </w:p>
        </w:tc>
        <w:tc>
          <w:tcPr>
            <w:tcW w:type="dxa" w:w="1920"/>
            <w:tcBorders>
              <w:top w:val="single" w:color="000000" w:sz="1"/>
              <w:left w:val="none" w:color="FFFFFF" w:sz="0"/>
              <w:bottom w:val="single" w:color="000000" w:sz="1"/>
              <w:right w:val="none" w:color="FFFFFF" w:sz="0"/>
            </w:tcBorders>
            <w:tcMar>
              <w:top w:type="dxa" w:w="50"/>
              <w:left w:type="dxa" w:w="100"/>
              <w:bottom w:type="dxa" w:w="50"/>
              <w:right w:type="dxa" w:w="100"/>
            </w:tcMar>
          </w:tcPr>
          <w:p>
            <w:pPr>
              <w:jc w:val="right"/>
            </w:pPr>
            <w:r>
              <w:rPr>
                <w:rFonts w:ascii="Arial" w:cs="Arial" w:eastAsia="Arial" w:hAnsi="Arial"/>
                <w:b/>
                <w:bCs/>
                <w:sz w:val="20"/>
                <w:szCs w:val="20"/>
              </w:rPr>
              <w:t xml:space="preserve">790</w:t>
            </w:r>
          </w:p>
        </w:tc>
      </w:tr>
    </w:tbl>
    <w:p>
      <w:pPr>
        <w:spacing w:after="60" w:before="60"/>
        <w:jc w:val="left"/>
      </w:pPr>
      <w:r>
        <w:rPr>
          <w:rFonts w:ascii="Arial" w:cs="Arial" w:eastAsia="Arial" w:hAnsi="Arial"/>
          <w:b w:val="false"/>
          <w:bCs w:val="false"/>
          <w:sz w:val="20"/>
          <w:szCs w:val="20"/>
        </w:rPr>
        <w:t xml:space="preserve"/>
      </w:r>
    </w:p>
    <w:p>
      <w:pPr>
        <w:spacing w:after="60" w:before="60"/>
      </w:pPr>
      <w:r>
        <w:rPr>
          <w:rFonts w:ascii="Arial" w:cs="Arial" w:eastAsia="Arial" w:hAnsi="Arial"/>
          <w:b/>
          <w:bCs/>
          <w:sz w:val="20"/>
          <w:szCs w:val="20"/>
          <w:u w:val="single"/>
        </w:rPr>
        <w:t xml:space="preserve">Additional information</w:t>
      </w:r>
    </w:p>
    <w:p>
      <w:pPr>
        <w:spacing w:after="60" w:before="60"/>
        <w:jc w:val="left"/>
      </w:pPr>
      <w:r>
        <w:rPr>
          <w:rFonts w:ascii="Arial" w:cs="Arial" w:eastAsia="Arial" w:hAnsi="Arial"/>
          <w:b w:val="false"/>
          <w:bCs w:val="false"/>
          <w:sz w:val="20"/>
          <w:szCs w:val="20"/>
        </w:rPr>
        <w:t xml:space="preserve">Since acquisition, Moon purchased GH₵320,000 of goods from Stars. Of these, GH₵60,000 remained in inventories at the year end. Stars makes a mark-up on cost of 20% under the transfer pricing agreement between the two companies. The fair value of the identifiable net assets of Stars on purchase, were GH₵200,000 greater than their book value. The difference relates to properties with remaining useful life of 20 years.</w:t>
      </w:r>
    </w:p>
    <w:p>
      <w:pPr>
        <w:spacing w:after="60" w:before="60"/>
        <w:jc w:val="left"/>
      </w:pPr>
      <w:r>
        <w:rPr>
          <w:rFonts w:ascii="Arial" w:cs="Arial" w:eastAsia="Arial" w:hAnsi="Arial"/>
          <w:b w:val="false"/>
          <w:bCs w:val="false"/>
          <w:sz w:val="20"/>
          <w:szCs w:val="20"/>
        </w:rPr>
        <w:t xml:space="preserve">On the acquisition date, Moon Ltd advanced a loan to Stars Ltd amounting to GH₵800,000 at a preferential interest rate of 5%. The loan is due for repayment in 2032.</w:t>
      </w:r>
    </w:p>
    <w:p>
      <w:pPr>
        <w:spacing w:after="60" w:before="60"/>
        <w:jc w:val="left"/>
      </w:pPr>
      <w:r>
        <w:rPr>
          <w:rFonts w:ascii="Arial" w:cs="Arial" w:eastAsia="Arial" w:hAnsi="Arial"/>
          <w:b w:val="false"/>
          <w:bCs w:val="false"/>
          <w:sz w:val="20"/>
          <w:szCs w:val="20"/>
        </w:rPr>
        <w:t xml:space="preserve"/>
      </w:r>
    </w:p>
    <w:p>
      <w:pPr>
        <w:spacing w:after="60" w:before="60"/>
      </w:pPr>
      <w:r>
        <w:rPr>
          <w:rFonts w:ascii="Arial" w:cs="Arial" w:eastAsia="Arial" w:hAnsi="Arial"/>
          <w:b/>
          <w:bCs/>
          <w:sz w:val="20"/>
          <w:szCs w:val="20"/>
        </w:rPr>
        <w:t xml:space="preserve">Statement of changes in equity (extracts) for the two companies:</w:t>
      </w:r>
    </w:p>
    <w:p>
      <w:pPr>
        <w:spacing w:after="60" w:before="60"/>
        <w:jc w:val="left"/>
      </w:pPr>
      <w:r>
        <w:rPr>
          <w:rFonts w:ascii="Arial" w:cs="Arial" w:eastAsia="Arial" w:hAnsi="Arial"/>
          <w:b w:val="false"/>
          <w:bCs w:val="false"/>
          <w:sz w:val="20"/>
          <w:szCs w:val="20"/>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800"/>
        <w:gridCol w:w="1920"/>
        <w:gridCol w:w="1920"/>
      </w:tblGrid>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center"/>
            </w:pPr>
            <w:r>
              <w:rPr>
                <w:rFonts w:ascii="Arial" w:cs="Arial" w:eastAsia="Arial" w:hAnsi="Arial"/>
                <w:b/>
                <w:bCs/>
                <w:sz w:val="20"/>
                <w:szCs w:val="20"/>
              </w:rPr>
              <w:t xml:space="preserve">Moon Ltd</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center"/>
            </w:pPr>
            <w:r>
              <w:rPr>
                <w:rFonts w:ascii="Arial" w:cs="Arial" w:eastAsia="Arial" w:hAnsi="Arial"/>
                <w:b/>
                <w:bCs/>
                <w:sz w:val="20"/>
                <w:szCs w:val="20"/>
              </w:rPr>
              <w:t xml:space="preserve">Stars Ltd</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center"/>
            </w:pPr>
            <w:r>
              <w:rPr>
                <w:rFonts w:ascii="Arial" w:cs="Arial" w:eastAsia="Arial" w:hAnsi="Arial"/>
                <w:b/>
                <w:bCs/>
                <w:sz w:val="20"/>
                <w:szCs w:val="20"/>
              </w:rPr>
              <w:t xml:space="preserve">GH₵'000</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center"/>
            </w:pPr>
            <w:r>
              <w:rPr>
                <w:rFonts w:ascii="Arial" w:cs="Arial" w:eastAsia="Arial" w:hAnsi="Arial"/>
                <w:b/>
                <w:bCs/>
                <w:sz w:val="20"/>
                <w:szCs w:val="20"/>
              </w:rPr>
              <w:t xml:space="preserve">GH₵'000</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Balance at 1 July 2024</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12,750</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2,480</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Dividend paid</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(900)</w:t>
            </w:r>
          </w:p>
        </w:tc>
        <w:tc>
          <w:tcPr>
            <w:tcW w:type="dxa" w:w="1920"/>
            <w:tcBorders>
              <w:top w:val="none" w:color="FFFFFF" w:sz="0"/>
              <w:left w:val="none" w:color="FFFFFF" w:sz="0"/>
              <w:bottom w:val="none" w:color="FFFFFF" w:sz="0"/>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val="false"/>
                <w:bCs w:val="false"/>
                <w:sz w:val="20"/>
                <w:szCs w:val="20"/>
              </w:rPr>
              <w:t xml:space="preserve">Total comprehensive income for the year</w:t>
            </w:r>
          </w:p>
        </w:tc>
        <w:tc>
          <w:tcPr>
            <w:tcW w:type="dxa" w:w="1920"/>
            <w:tcBorders>
              <w:top w:val="none" w:color="FFFFFF" w:sz="0"/>
              <w:left w:val="none" w:color="FFFFFF" w:sz="0"/>
              <w:bottom w:val="single" w:color="000000" w:sz="1"/>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4,650</w:t>
            </w:r>
          </w:p>
        </w:tc>
        <w:tc>
          <w:tcPr>
            <w:tcW w:type="dxa" w:w="1920"/>
            <w:tcBorders>
              <w:top w:val="none" w:color="FFFFFF" w:sz="0"/>
              <w:left w:val="none" w:color="FFFFFF" w:sz="0"/>
              <w:bottom w:val="single" w:color="000000" w:sz="1"/>
              <w:right w:val="none" w:color="FFFFFF" w:sz="0"/>
            </w:tcBorders>
            <w:tcMar>
              <w:top w:type="dxa" w:w="50"/>
              <w:left w:type="dxa" w:w="100"/>
              <w:bottom w:type="dxa" w:w="50"/>
              <w:right w:type="dxa" w:w="100"/>
            </w:tcMar>
          </w:tcPr>
          <w:p>
            <w:pPr>
              <w:jc w:val="right"/>
            </w:pPr>
            <w:r>
              <w:rPr>
                <w:rFonts w:ascii="Arial" w:cs="Arial" w:eastAsia="Arial" w:hAnsi="Arial"/>
                <w:b w:val="false"/>
                <w:bCs w:val="false"/>
                <w:sz w:val="20"/>
                <w:szCs w:val="20"/>
              </w:rPr>
              <w:t xml:space="preserve">790</w:t>
            </w:r>
          </w:p>
        </w:tc>
      </w:tr>
      <w:tr>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tcPr>
          <w:p>
            <w:pPr>
              <w:jc w:val="left"/>
            </w:pPr>
            <w:r>
              <w:rPr>
                <w:rFonts w:ascii="Arial" w:cs="Arial" w:eastAsia="Arial" w:hAnsi="Arial"/>
                <w:b/>
                <w:bCs/>
                <w:sz w:val="20"/>
                <w:szCs w:val="20"/>
              </w:rPr>
              <w:t xml:space="preserve">Balance at 30 June 2025</w:t>
            </w:r>
          </w:p>
        </w:tc>
        <w:tc>
          <w:tcPr>
            <w:tcW w:type="dxa" w:w="1920"/>
            <w:tcBorders>
              <w:top w:val="single" w:color="000000" w:sz="1"/>
              <w:left w:val="none" w:color="FFFFFF" w:sz="0"/>
              <w:bottom w:val="single" w:color="000000" w:sz="1"/>
              <w:right w:val="none" w:color="FFFFFF" w:sz="0"/>
            </w:tcBorders>
            <w:tcMar>
              <w:top w:type="dxa" w:w="50"/>
              <w:left w:type="dxa" w:w="100"/>
              <w:bottom w:type="dxa" w:w="50"/>
              <w:right w:type="dxa" w:w="100"/>
            </w:tcMar>
          </w:tcPr>
          <w:p>
            <w:pPr>
              <w:jc w:val="right"/>
            </w:pPr>
            <w:r>
              <w:rPr>
                <w:rFonts w:ascii="Arial" w:cs="Arial" w:eastAsia="Arial" w:hAnsi="Arial"/>
                <w:b/>
                <w:bCs/>
                <w:sz w:val="20"/>
                <w:szCs w:val="20"/>
              </w:rPr>
              <w:t xml:space="preserve">16,500</w:t>
            </w:r>
          </w:p>
        </w:tc>
        <w:tc>
          <w:tcPr>
            <w:tcW w:type="dxa" w:w="1920"/>
            <w:tcBorders>
              <w:top w:val="single" w:color="000000" w:sz="1"/>
              <w:left w:val="none" w:color="FFFFFF" w:sz="0"/>
              <w:bottom w:val="single" w:color="000000" w:sz="1"/>
              <w:right w:val="none" w:color="FFFFFF" w:sz="0"/>
            </w:tcBorders>
            <w:tcMar>
              <w:top w:type="dxa" w:w="50"/>
              <w:left w:type="dxa" w:w="100"/>
              <w:bottom w:type="dxa" w:w="50"/>
              <w:right w:type="dxa" w:w="100"/>
            </w:tcMar>
          </w:tcPr>
          <w:p>
            <w:pPr>
              <w:jc w:val="right"/>
            </w:pPr>
            <w:r>
              <w:rPr>
                <w:rFonts w:ascii="Arial" w:cs="Arial" w:eastAsia="Arial" w:hAnsi="Arial"/>
                <w:b/>
                <w:bCs/>
                <w:sz w:val="20"/>
                <w:szCs w:val="20"/>
              </w:rPr>
              <w:t xml:space="preserve">3,270</w:t>
            </w:r>
          </w:p>
        </w:tc>
      </w:tr>
    </w:tbl>
    <w:p>
      <w:pPr>
        <w:spacing w:after="60" w:before="60"/>
        <w:jc w:val="left"/>
      </w:pPr>
      <w:r>
        <w:rPr>
          <w:rFonts w:ascii="Arial" w:cs="Arial" w:eastAsia="Arial" w:hAnsi="Arial"/>
          <w:b w:val="false"/>
          <w:bCs w:val="false"/>
          <w:sz w:val="20"/>
          <w:szCs w:val="20"/>
        </w:rPr>
        <w:t xml:space="preserve"/>
      </w:r>
    </w:p>
    <w:p>
      <w:pPr>
        <w:spacing w:after="60" w:before="60"/>
        <w:jc w:val="left"/>
      </w:pPr>
      <w:r>
        <w:rPr>
          <w:rFonts w:ascii="Arial" w:cs="Arial" w:eastAsia="Arial" w:hAnsi="Arial"/>
          <w:b w:val="false"/>
          <w:bCs w:val="false"/>
          <w:sz w:val="20"/>
          <w:szCs w:val="20"/>
        </w:rPr>
        <w:t xml:space="preserve">Moon Ltd and Stars Ltd had GH₵400,000 and GH₵ 150,000 of share capital in issue throughout the period respectively.</w:t>
      </w:r>
    </w:p>
    <w:p>
      <w:pPr>
        <w:spacing w:after="60" w:before="60"/>
        <w:jc w:val="left"/>
      </w:pPr>
      <w:r>
        <w:rPr>
          <w:rFonts w:ascii="Arial" w:cs="Arial" w:eastAsia="Arial" w:hAnsi="Arial"/>
          <w:b w:val="false"/>
          <w:bCs w:val="false"/>
          <w:sz w:val="20"/>
          <w:szCs w:val="20"/>
        </w:rPr>
        <w:t xml:space="preserve"/>
      </w:r>
    </w:p>
    <w:p>
      <w:pPr>
        <w:spacing w:after="60" w:before="60"/>
      </w:pPr>
      <w:r>
        <w:rPr>
          <w:rFonts w:ascii="Arial" w:cs="Arial" w:eastAsia="Arial" w:hAnsi="Arial"/>
          <w:b/>
          <w:bCs/>
          <w:sz w:val="20"/>
          <w:szCs w:val="20"/>
        </w:rPr>
        <w:t xml:space="preserve">Required:</w:t>
      </w:r>
    </w:p>
    <w:p>
      <w:pPr>
        <w:spacing w:after="60" w:before="60"/>
        <w:jc w:val="left"/>
      </w:pPr>
      <w:r>
        <w:rPr>
          <w:rFonts w:ascii="Arial" w:cs="Arial" w:eastAsia="Arial" w:hAnsi="Arial"/>
          <w:b w:val="false"/>
          <w:bCs w:val="false"/>
          <w:sz w:val="20"/>
          <w:szCs w:val="20"/>
        </w:rPr>
        <w:t xml:space="preserve">Prepare the consolidated Statement of Profit or Loss and statement of changes in equity (extract for reserves) for the Moon Group for the year ended 30 June 2025. No adjustment for impairment losses is necessary in the group financial statements. Assume income and expenses (other than intra-group items) accrue evenly.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2026-04-17T05:40:13.276Z</dcterms:created>
  <dcterms:modified xsi:type="dcterms:W3CDTF">2026-04-17T05:40:13.277Z</dcterms:modified>
</cp:coreProperties>
</file>

<file path=docProps/custom.xml><?xml version="1.0" encoding="utf-8"?>
<Properties xmlns="http://schemas.openxmlformats.org/officeDocument/2006/custom-properties" xmlns:vt="http://schemas.openxmlformats.org/officeDocument/2006/docPropsVTypes"/>
</file>