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FDA80" w14:textId="77777777" w:rsidR="00B337BA" w:rsidRPr="00024916" w:rsidRDefault="00B337BA" w:rsidP="00A52061">
      <w:pPr>
        <w:tabs>
          <w:tab w:val="left" w:pos="567"/>
        </w:tabs>
        <w:spacing w:before="73"/>
      </w:pPr>
    </w:p>
    <w:p w14:paraId="5605CAF7" w14:textId="076B9601" w:rsidR="00B337BA" w:rsidRPr="00024916" w:rsidRDefault="00B337BA" w:rsidP="00550AC0">
      <w:pPr>
        <w:pStyle w:val="Liststycke"/>
        <w:tabs>
          <w:tab w:val="left" w:pos="567"/>
        </w:tabs>
        <w:spacing w:before="73"/>
        <w:ind w:left="0"/>
        <w:contextualSpacing w:val="0"/>
        <w:jc w:val="center"/>
        <w:rPr>
          <w:b/>
        </w:rPr>
      </w:pPr>
      <w:r w:rsidRPr="00024916">
        <w:rPr>
          <w:b/>
        </w:rPr>
        <w:t>PRODUKTRESUMÉ</w:t>
      </w:r>
    </w:p>
    <w:p w14:paraId="000E5E42" w14:textId="77777777" w:rsidR="00B337BA" w:rsidRPr="00024916" w:rsidRDefault="00B337BA" w:rsidP="00550AC0">
      <w:pPr>
        <w:pStyle w:val="Liststycke"/>
        <w:tabs>
          <w:tab w:val="left" w:pos="567"/>
        </w:tabs>
        <w:spacing w:before="73"/>
        <w:ind w:left="0"/>
        <w:contextualSpacing w:val="0"/>
        <w:rPr>
          <w:b/>
        </w:rPr>
      </w:pPr>
    </w:p>
    <w:p w14:paraId="1B773154" w14:textId="77777777" w:rsidR="00B337BA" w:rsidRPr="00024916" w:rsidRDefault="00B337BA" w:rsidP="00550AC0">
      <w:pPr>
        <w:pStyle w:val="Liststycke"/>
        <w:tabs>
          <w:tab w:val="left" w:pos="567"/>
        </w:tabs>
        <w:spacing w:before="73"/>
        <w:ind w:left="0"/>
        <w:contextualSpacing w:val="0"/>
        <w:rPr>
          <w:b/>
        </w:rPr>
      </w:pPr>
    </w:p>
    <w:p w14:paraId="3CF5106E" w14:textId="4299A5B7" w:rsidR="00B13606" w:rsidRPr="00024916" w:rsidRDefault="00B13606" w:rsidP="00A52061">
      <w:pPr>
        <w:pStyle w:val="Liststycke"/>
        <w:numPr>
          <w:ilvl w:val="0"/>
          <w:numId w:val="5"/>
        </w:numPr>
        <w:tabs>
          <w:tab w:val="left" w:pos="567"/>
        </w:tabs>
        <w:spacing w:before="73"/>
        <w:ind w:left="0" w:firstLine="0"/>
        <w:contextualSpacing w:val="0"/>
        <w:rPr>
          <w:b/>
        </w:rPr>
      </w:pPr>
      <w:r w:rsidRPr="00024916">
        <w:rPr>
          <w:b/>
        </w:rPr>
        <w:t>LÄKEMEDLETS</w:t>
      </w:r>
      <w:r w:rsidRPr="00024916">
        <w:rPr>
          <w:b/>
          <w:spacing w:val="-2"/>
        </w:rPr>
        <w:t xml:space="preserve"> </w:t>
      </w:r>
      <w:r w:rsidRPr="00024916">
        <w:rPr>
          <w:b/>
        </w:rPr>
        <w:t>NAMN</w:t>
      </w:r>
    </w:p>
    <w:p w14:paraId="2084244E" w14:textId="77777777" w:rsidR="00B13606" w:rsidRPr="00024916" w:rsidRDefault="00B13606" w:rsidP="00A52061">
      <w:pPr>
        <w:pStyle w:val="Brdtext"/>
        <w:rPr>
          <w:b/>
        </w:rPr>
      </w:pPr>
    </w:p>
    <w:p w14:paraId="08717DBC" w14:textId="77777777" w:rsidR="00B13606" w:rsidRPr="00024916" w:rsidRDefault="00B13606" w:rsidP="00A52061">
      <w:pPr>
        <w:pStyle w:val="Brdtext"/>
      </w:pPr>
      <w:r w:rsidRPr="00024916">
        <w:t>Abacavir Accord 300</w:t>
      </w:r>
      <w:r w:rsidR="00D22313" w:rsidRPr="00024916">
        <w:t> </w:t>
      </w:r>
      <w:r w:rsidRPr="00024916">
        <w:t>mg filmdragerade tabletter</w:t>
      </w:r>
    </w:p>
    <w:p w14:paraId="04F14E06" w14:textId="77777777" w:rsidR="00B13606" w:rsidRPr="00024916" w:rsidRDefault="00B13606" w:rsidP="00A52061">
      <w:pPr>
        <w:pStyle w:val="Brdtext"/>
      </w:pPr>
    </w:p>
    <w:p w14:paraId="384ADC8D" w14:textId="77777777" w:rsidR="00B13606" w:rsidRPr="00024916" w:rsidRDefault="00B13606" w:rsidP="00A52061">
      <w:pPr>
        <w:pStyle w:val="Brdtext"/>
        <w:spacing w:before="2"/>
      </w:pPr>
    </w:p>
    <w:p w14:paraId="2AFBD2AF" w14:textId="77777777" w:rsidR="00B13606" w:rsidRPr="00024916" w:rsidRDefault="00B13606" w:rsidP="00A52061">
      <w:pPr>
        <w:pStyle w:val="Rubrik1"/>
        <w:keepNext w:val="0"/>
        <w:keepLines w:val="0"/>
        <w:numPr>
          <w:ilvl w:val="0"/>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KVALITATIV OCH KVANTITATIV</w:t>
      </w:r>
      <w:r w:rsidRPr="00024916">
        <w:rPr>
          <w:rFonts w:ascii="Times New Roman" w:hAnsi="Times New Roman" w:cs="Times New Roman"/>
          <w:color w:val="auto"/>
          <w:spacing w:val="-5"/>
          <w:sz w:val="22"/>
          <w:szCs w:val="22"/>
        </w:rPr>
        <w:t xml:space="preserve"> </w:t>
      </w:r>
      <w:r w:rsidRPr="00024916">
        <w:rPr>
          <w:rFonts w:ascii="Times New Roman" w:hAnsi="Times New Roman" w:cs="Times New Roman"/>
          <w:color w:val="auto"/>
          <w:sz w:val="22"/>
          <w:szCs w:val="22"/>
        </w:rPr>
        <w:t>SAMMANSÄTTNING</w:t>
      </w:r>
    </w:p>
    <w:p w14:paraId="19CE45AA" w14:textId="77777777" w:rsidR="00B13606" w:rsidRPr="00024916" w:rsidRDefault="00B13606" w:rsidP="00A52061">
      <w:pPr>
        <w:pStyle w:val="Brdtext"/>
        <w:spacing w:before="9"/>
        <w:rPr>
          <w:b/>
        </w:rPr>
      </w:pPr>
    </w:p>
    <w:p w14:paraId="1953462E" w14:textId="77777777" w:rsidR="00D22313" w:rsidRPr="00024916" w:rsidRDefault="00B13606" w:rsidP="00A52061">
      <w:pPr>
        <w:pStyle w:val="Brdtext"/>
      </w:pPr>
      <w:r w:rsidRPr="00024916">
        <w:t>Varje filmdragerad tablett innehåller 300</w:t>
      </w:r>
      <w:r w:rsidR="00D22313" w:rsidRPr="00024916">
        <w:t> </w:t>
      </w:r>
      <w:r w:rsidRPr="00024916">
        <w:t>mg abakavir.</w:t>
      </w:r>
    </w:p>
    <w:p w14:paraId="2AB807C3" w14:textId="77777777" w:rsidR="00D22313" w:rsidRPr="00024916" w:rsidRDefault="00D22313" w:rsidP="00A52061">
      <w:pPr>
        <w:pStyle w:val="Brdtext"/>
      </w:pPr>
    </w:p>
    <w:p w14:paraId="710E8E64" w14:textId="77777777" w:rsidR="00B13606" w:rsidRPr="00024916" w:rsidRDefault="00B13606" w:rsidP="00A52061">
      <w:pPr>
        <w:pStyle w:val="Brdtext"/>
      </w:pPr>
      <w:r w:rsidRPr="00024916">
        <w:t>För fullständig förteckning över hjälpämnen, se avsnitt</w:t>
      </w:r>
      <w:r w:rsidR="00D22313" w:rsidRPr="00024916">
        <w:t> </w:t>
      </w:r>
      <w:r w:rsidRPr="00024916">
        <w:t>6.1.</w:t>
      </w:r>
    </w:p>
    <w:p w14:paraId="56798844" w14:textId="77777777" w:rsidR="00B13606" w:rsidRPr="00024916" w:rsidRDefault="00B13606" w:rsidP="00A52061">
      <w:pPr>
        <w:pStyle w:val="Brdtext"/>
      </w:pPr>
    </w:p>
    <w:p w14:paraId="0F6D6EF3" w14:textId="77777777" w:rsidR="00D22313" w:rsidRPr="00024916" w:rsidRDefault="00D22313" w:rsidP="00A52061">
      <w:pPr>
        <w:pStyle w:val="Brdtext"/>
      </w:pPr>
    </w:p>
    <w:p w14:paraId="7446165F" w14:textId="77777777" w:rsidR="00B13606" w:rsidRPr="00024916" w:rsidRDefault="00B13606" w:rsidP="00A52061">
      <w:pPr>
        <w:pStyle w:val="Rubrik1"/>
        <w:keepNext w:val="0"/>
        <w:keepLines w:val="0"/>
        <w:numPr>
          <w:ilvl w:val="0"/>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LÄKEMEDELSFORM</w:t>
      </w:r>
    </w:p>
    <w:p w14:paraId="3FD54042" w14:textId="77777777" w:rsidR="00B13606" w:rsidRPr="00024916" w:rsidRDefault="00B13606" w:rsidP="00A52061">
      <w:pPr>
        <w:pStyle w:val="Brdtext"/>
        <w:rPr>
          <w:b/>
        </w:rPr>
      </w:pPr>
    </w:p>
    <w:p w14:paraId="730F06A8" w14:textId="77777777" w:rsidR="00B13606" w:rsidRPr="00024916" w:rsidRDefault="00B13606" w:rsidP="00A52061">
      <w:pPr>
        <w:pStyle w:val="Brdtext"/>
      </w:pPr>
      <w:r w:rsidRPr="00024916">
        <w:t>Filmdragerad tablett (tablett)</w:t>
      </w:r>
    </w:p>
    <w:p w14:paraId="227F3D57" w14:textId="77777777" w:rsidR="00B13606" w:rsidRPr="00024916" w:rsidRDefault="00B13606" w:rsidP="00A52061">
      <w:pPr>
        <w:pStyle w:val="Brdtext"/>
      </w:pPr>
    </w:p>
    <w:p w14:paraId="0660F213" w14:textId="77777777" w:rsidR="00B13606" w:rsidRPr="00024916" w:rsidRDefault="00B13606" w:rsidP="00A52061">
      <w:pPr>
        <w:pStyle w:val="Brdtext"/>
        <w:spacing w:before="1"/>
      </w:pPr>
      <w:r w:rsidRPr="00024916">
        <w:t>Tablettern</w:t>
      </w:r>
      <w:r w:rsidR="00D22313" w:rsidRPr="00024916">
        <w:t>a är skårade, gula, bikonvexa, 18,50 x 7,30 mm k</w:t>
      </w:r>
      <w:r w:rsidRPr="00024916">
        <w:t xml:space="preserve">apselformade och </w:t>
      </w:r>
      <w:r w:rsidR="00D22313" w:rsidRPr="00024916">
        <w:t>präglade med ”H” på ena sidan och med ”A” och ”26” på den andra sidan på var sida om brytskåran</w:t>
      </w:r>
      <w:r w:rsidRPr="00024916">
        <w:t>.</w:t>
      </w:r>
    </w:p>
    <w:p w14:paraId="5033709C" w14:textId="77777777" w:rsidR="00B13606" w:rsidRPr="00024916" w:rsidRDefault="00B13606" w:rsidP="00A52061">
      <w:pPr>
        <w:pStyle w:val="Brdtext"/>
        <w:spacing w:before="10"/>
      </w:pPr>
    </w:p>
    <w:p w14:paraId="6073E2DE" w14:textId="77777777" w:rsidR="00D22313" w:rsidRPr="00024916" w:rsidRDefault="00D22313" w:rsidP="00A52061">
      <w:pPr>
        <w:pStyle w:val="Brdtext"/>
        <w:spacing w:before="10"/>
      </w:pPr>
      <w:r w:rsidRPr="00024916">
        <w:t>Tabletten kan delas i två lika stora doser.</w:t>
      </w:r>
    </w:p>
    <w:p w14:paraId="58D34274" w14:textId="77777777" w:rsidR="00D22313" w:rsidRPr="00024916" w:rsidRDefault="00D22313" w:rsidP="00A52061">
      <w:pPr>
        <w:pStyle w:val="Brdtext"/>
        <w:spacing w:before="10"/>
      </w:pPr>
    </w:p>
    <w:p w14:paraId="3BA933E2" w14:textId="77777777" w:rsidR="00D22313" w:rsidRPr="00024916" w:rsidRDefault="00D22313" w:rsidP="00A52061">
      <w:pPr>
        <w:pStyle w:val="Brdtext"/>
        <w:spacing w:before="10"/>
      </w:pPr>
    </w:p>
    <w:p w14:paraId="6538337A" w14:textId="77777777" w:rsidR="00B13606" w:rsidRPr="00024916" w:rsidRDefault="00B13606" w:rsidP="00A52061">
      <w:pPr>
        <w:pStyle w:val="Rubrik1"/>
        <w:keepNext w:val="0"/>
        <w:keepLines w:val="0"/>
        <w:numPr>
          <w:ilvl w:val="0"/>
          <w:numId w:val="5"/>
        </w:numPr>
        <w:tabs>
          <w:tab w:val="left" w:pos="567"/>
        </w:tabs>
        <w:spacing w:before="1"/>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KLINISKA</w:t>
      </w:r>
      <w:r w:rsidRPr="00024916">
        <w:rPr>
          <w:rFonts w:ascii="Times New Roman" w:hAnsi="Times New Roman" w:cs="Times New Roman"/>
          <w:color w:val="auto"/>
          <w:spacing w:val="-4"/>
          <w:sz w:val="22"/>
          <w:szCs w:val="22"/>
        </w:rPr>
        <w:t xml:space="preserve"> </w:t>
      </w:r>
      <w:r w:rsidRPr="00024916">
        <w:rPr>
          <w:rFonts w:ascii="Times New Roman" w:hAnsi="Times New Roman" w:cs="Times New Roman"/>
          <w:color w:val="auto"/>
          <w:sz w:val="22"/>
          <w:szCs w:val="22"/>
        </w:rPr>
        <w:t>UPPGIFTER</w:t>
      </w:r>
    </w:p>
    <w:p w14:paraId="381BA903" w14:textId="77777777" w:rsidR="00B13606" w:rsidRPr="00024916" w:rsidRDefault="00B13606" w:rsidP="00A52061">
      <w:pPr>
        <w:pStyle w:val="Brdtext"/>
        <w:rPr>
          <w:b/>
        </w:rPr>
      </w:pPr>
    </w:p>
    <w:p w14:paraId="182F9BD4" w14:textId="77777777" w:rsidR="00B13606" w:rsidRPr="00024916" w:rsidRDefault="00B13606" w:rsidP="00A52061">
      <w:pPr>
        <w:pStyle w:val="Liststycke"/>
        <w:numPr>
          <w:ilvl w:val="1"/>
          <w:numId w:val="5"/>
        </w:numPr>
        <w:tabs>
          <w:tab w:val="left" w:pos="784"/>
          <w:tab w:val="left" w:pos="785"/>
        </w:tabs>
        <w:ind w:left="0" w:firstLine="0"/>
        <w:contextualSpacing w:val="0"/>
        <w:rPr>
          <w:b/>
        </w:rPr>
      </w:pPr>
      <w:r w:rsidRPr="00024916">
        <w:rPr>
          <w:b/>
        </w:rPr>
        <w:t>Terapeutiska</w:t>
      </w:r>
      <w:r w:rsidRPr="00024916">
        <w:rPr>
          <w:b/>
          <w:spacing w:val="-8"/>
        </w:rPr>
        <w:t xml:space="preserve"> </w:t>
      </w:r>
      <w:r w:rsidRPr="00024916">
        <w:rPr>
          <w:b/>
        </w:rPr>
        <w:t>indikationer</w:t>
      </w:r>
    </w:p>
    <w:p w14:paraId="7579CF48" w14:textId="77777777" w:rsidR="00B13606" w:rsidRPr="00024916" w:rsidRDefault="00B13606" w:rsidP="00A52061">
      <w:pPr>
        <w:pStyle w:val="Brdtext"/>
        <w:rPr>
          <w:b/>
        </w:rPr>
      </w:pPr>
    </w:p>
    <w:p w14:paraId="5D11F0FE" w14:textId="77777777" w:rsidR="00B13606" w:rsidRPr="00024916" w:rsidRDefault="00B13606" w:rsidP="00A52061">
      <w:pPr>
        <w:pStyle w:val="Brdtext"/>
      </w:pPr>
      <w:r w:rsidRPr="00024916">
        <w:t>Abacavir Accord är indicerat för antiretroviral kombinationsbehandling vid infektioner med humant immunbristvirus (hiv) hos vuxna, ungdomar och barn (se avsnitt</w:t>
      </w:r>
      <w:r w:rsidR="00D22313" w:rsidRPr="00024916">
        <w:t> </w:t>
      </w:r>
      <w:r w:rsidRPr="00024916">
        <w:t>4.4 och 5.1).</w:t>
      </w:r>
    </w:p>
    <w:p w14:paraId="14573996" w14:textId="77777777" w:rsidR="00B13606" w:rsidRPr="00024916" w:rsidRDefault="00B13606" w:rsidP="00A52061">
      <w:pPr>
        <w:pStyle w:val="Brdtext"/>
        <w:spacing w:before="11"/>
      </w:pPr>
    </w:p>
    <w:p w14:paraId="7148E5E3" w14:textId="77777777" w:rsidR="00B13606" w:rsidRPr="00024916" w:rsidRDefault="00B13606" w:rsidP="00A52061">
      <w:pPr>
        <w:pStyle w:val="Brdtext"/>
      </w:pPr>
      <w:r w:rsidRPr="00024916">
        <w:t>Det kliniska värdet av Abacavir Accord är huvudsakligen visat i studier med dosering två gånger dagligen utförda på s.k. behandlingsnaiva vuxna patienter i kombinationsterapi (se avsnitt</w:t>
      </w:r>
      <w:r w:rsidR="00D22313" w:rsidRPr="00024916">
        <w:t> </w:t>
      </w:r>
      <w:r w:rsidRPr="00024916">
        <w:t>5.1).</w:t>
      </w:r>
    </w:p>
    <w:p w14:paraId="14A830BA" w14:textId="77777777" w:rsidR="00B13606" w:rsidRPr="00024916" w:rsidRDefault="00B13606" w:rsidP="00A52061">
      <w:pPr>
        <w:pStyle w:val="Brdtext"/>
        <w:spacing w:before="11"/>
      </w:pPr>
    </w:p>
    <w:p w14:paraId="1361FB68" w14:textId="77777777" w:rsidR="00B13606" w:rsidRPr="00024916" w:rsidRDefault="00B13606" w:rsidP="00A52061">
      <w:pPr>
        <w:pStyle w:val="Brdtext"/>
      </w:pPr>
      <w:r w:rsidRPr="00024916">
        <w:t>Innan behandlingen med abakavir påbörjas, ska varje hivinfekterad patient oavsett etniskt ursprung undersökas för att se om de bär på HLA</w:t>
      </w:r>
      <w:r w:rsidR="00D22313" w:rsidRPr="00024916">
        <w:noBreakHyphen/>
      </w:r>
      <w:r w:rsidRPr="00024916">
        <w:t>B*5701</w:t>
      </w:r>
      <w:r w:rsidR="00D22313" w:rsidRPr="00024916">
        <w:noBreakHyphen/>
      </w:r>
      <w:r w:rsidRPr="00024916">
        <w:t>allelen (se avsnitt</w:t>
      </w:r>
      <w:r w:rsidR="00D22313" w:rsidRPr="00024916">
        <w:t> </w:t>
      </w:r>
      <w:r w:rsidRPr="00024916">
        <w:t>4.4). Abakavir ska inte användas av patienter som är kända bärare av HLA</w:t>
      </w:r>
      <w:r w:rsidR="00D22313" w:rsidRPr="00024916">
        <w:noBreakHyphen/>
      </w:r>
      <w:r w:rsidRPr="00024916">
        <w:t>B*5701-allelen.</w:t>
      </w:r>
    </w:p>
    <w:p w14:paraId="30F68239" w14:textId="77777777" w:rsidR="00B13606" w:rsidRPr="00024916" w:rsidRDefault="00B13606" w:rsidP="00A52061">
      <w:pPr>
        <w:pStyle w:val="Brdtext"/>
      </w:pPr>
    </w:p>
    <w:p w14:paraId="7BEE9C72" w14:textId="77777777" w:rsidR="00B13606" w:rsidRPr="00024916" w:rsidRDefault="00B13606" w:rsidP="00A52061">
      <w:pPr>
        <w:pStyle w:val="Rubrik1"/>
        <w:keepNext w:val="0"/>
        <w:keepLines w:val="0"/>
        <w:numPr>
          <w:ilvl w:val="1"/>
          <w:numId w:val="5"/>
        </w:numPr>
        <w:tabs>
          <w:tab w:val="left" w:pos="567"/>
        </w:tabs>
        <w:spacing w:before="1"/>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Dosering och</w:t>
      </w:r>
      <w:r w:rsidRPr="00024916">
        <w:rPr>
          <w:rFonts w:ascii="Times New Roman" w:hAnsi="Times New Roman" w:cs="Times New Roman"/>
          <w:color w:val="auto"/>
          <w:spacing w:val="-2"/>
          <w:sz w:val="22"/>
          <w:szCs w:val="22"/>
        </w:rPr>
        <w:t xml:space="preserve"> </w:t>
      </w:r>
      <w:r w:rsidRPr="00024916">
        <w:rPr>
          <w:rFonts w:ascii="Times New Roman" w:hAnsi="Times New Roman" w:cs="Times New Roman"/>
          <w:color w:val="auto"/>
          <w:sz w:val="22"/>
          <w:szCs w:val="22"/>
        </w:rPr>
        <w:t>administreringssätt</w:t>
      </w:r>
    </w:p>
    <w:p w14:paraId="0BF4B628" w14:textId="77777777" w:rsidR="00B13606" w:rsidRPr="00024916" w:rsidRDefault="00B13606" w:rsidP="00A52061">
      <w:pPr>
        <w:pStyle w:val="Brdtext"/>
        <w:rPr>
          <w:b/>
        </w:rPr>
      </w:pPr>
    </w:p>
    <w:p w14:paraId="45FCD002" w14:textId="77777777" w:rsidR="00D22313" w:rsidRPr="00024916" w:rsidRDefault="00B13606" w:rsidP="00A52061">
      <w:pPr>
        <w:pStyle w:val="Brdtext"/>
      </w:pPr>
      <w:r w:rsidRPr="00024916">
        <w:t xml:space="preserve">Abacavir Accord bör förskrivas av läkare med erfarenhet </w:t>
      </w:r>
      <w:r w:rsidR="00D22313" w:rsidRPr="00024916">
        <w:t>av att behandla hivinfektioner.</w:t>
      </w:r>
    </w:p>
    <w:p w14:paraId="0EC4AE67" w14:textId="77777777" w:rsidR="00D22313" w:rsidRPr="00024916" w:rsidRDefault="00D22313" w:rsidP="00A52061">
      <w:pPr>
        <w:pStyle w:val="Brdtext"/>
      </w:pPr>
    </w:p>
    <w:p w14:paraId="2A635872" w14:textId="77777777" w:rsidR="00B13606" w:rsidRPr="00024916" w:rsidRDefault="00B13606" w:rsidP="00A52061">
      <w:pPr>
        <w:pStyle w:val="Brdtext"/>
      </w:pPr>
      <w:r w:rsidRPr="00024916">
        <w:t>Abacavir Accord kan tas med eller utan föda.</w:t>
      </w:r>
    </w:p>
    <w:p w14:paraId="4044DBA4" w14:textId="77777777" w:rsidR="00D22313" w:rsidRPr="00024916" w:rsidRDefault="00D22313" w:rsidP="00A52061">
      <w:pPr>
        <w:pStyle w:val="Brdtext"/>
        <w:spacing w:before="3"/>
      </w:pPr>
    </w:p>
    <w:p w14:paraId="2CAAEE55" w14:textId="77777777" w:rsidR="00B13606" w:rsidRPr="00024916" w:rsidRDefault="00B13606" w:rsidP="00A52061">
      <w:pPr>
        <w:pStyle w:val="Brdtext"/>
        <w:spacing w:before="3"/>
      </w:pPr>
      <w:r w:rsidRPr="00024916">
        <w:t>För att säkerställa att hela dosen administreras bör tabletten/tabletterna helst sväljas hela utan att krossas.</w:t>
      </w:r>
    </w:p>
    <w:p w14:paraId="3485FEDB" w14:textId="77777777" w:rsidR="00B13606" w:rsidRPr="00024916" w:rsidRDefault="00B13606" w:rsidP="00A52061">
      <w:pPr>
        <w:pStyle w:val="Brdtext"/>
        <w:spacing w:before="11"/>
      </w:pPr>
    </w:p>
    <w:p w14:paraId="138EF872" w14:textId="6C411686" w:rsidR="00B13606" w:rsidRPr="00024916" w:rsidRDefault="00B13606" w:rsidP="00A52061">
      <w:pPr>
        <w:pStyle w:val="Brdtext"/>
      </w:pPr>
      <w:r w:rsidRPr="00024916">
        <w:t>Aba</w:t>
      </w:r>
      <w:r w:rsidR="00084A5A" w:rsidRPr="00024916">
        <w:t>k</w:t>
      </w:r>
      <w:r w:rsidRPr="00024916">
        <w:t xml:space="preserve">avir </w:t>
      </w:r>
      <w:r w:rsidR="00D22313" w:rsidRPr="00024916">
        <w:t xml:space="preserve">kan </w:t>
      </w:r>
      <w:r w:rsidRPr="00024916">
        <w:t xml:space="preserve">även </w:t>
      </w:r>
      <w:r w:rsidR="00D22313" w:rsidRPr="00024916">
        <w:t xml:space="preserve">finnas </w:t>
      </w:r>
      <w:r w:rsidRPr="00024916">
        <w:t>som oral lösning för användning hos barn över tre månader som väger mindre än 14</w:t>
      </w:r>
      <w:r w:rsidR="00D22313" w:rsidRPr="00024916">
        <w:t> </w:t>
      </w:r>
      <w:r w:rsidRPr="00024916">
        <w:t>kg och för patienter där tablettintag är olämpligt.</w:t>
      </w:r>
    </w:p>
    <w:p w14:paraId="6EDDDB91" w14:textId="77777777" w:rsidR="00B13606" w:rsidRPr="00024916" w:rsidRDefault="00B13606" w:rsidP="00A52061">
      <w:pPr>
        <w:pStyle w:val="Brdtext"/>
        <w:spacing w:before="2"/>
      </w:pPr>
    </w:p>
    <w:p w14:paraId="503D45AE" w14:textId="77777777" w:rsidR="00B13606" w:rsidRPr="00024916" w:rsidRDefault="00B13606" w:rsidP="00A52061">
      <w:pPr>
        <w:pStyle w:val="Brdtext"/>
      </w:pPr>
      <w:r w:rsidRPr="00024916">
        <w:t>Alternativt, för patienter som inte kan svälja tabletter, kan tabletterna krossas och tillsättas i en liten mängd halvfast föda eller dryck. Blandningen ska intas omedelbart (se avsnitt</w:t>
      </w:r>
      <w:r w:rsidR="00D22313" w:rsidRPr="00024916">
        <w:t> </w:t>
      </w:r>
      <w:r w:rsidRPr="00024916">
        <w:t>5.2).</w:t>
      </w:r>
    </w:p>
    <w:p w14:paraId="59A715BA" w14:textId="77777777" w:rsidR="00B13606" w:rsidRPr="00024916" w:rsidRDefault="00B13606" w:rsidP="00A52061">
      <w:pPr>
        <w:pStyle w:val="Brdtext"/>
        <w:spacing w:before="10"/>
      </w:pPr>
    </w:p>
    <w:p w14:paraId="79F96186" w14:textId="77777777" w:rsidR="00D22313" w:rsidRPr="00024916" w:rsidRDefault="00B13606" w:rsidP="00A52061">
      <w:pPr>
        <w:spacing w:before="1"/>
        <w:rPr>
          <w:i/>
          <w:u w:val="single"/>
        </w:rPr>
      </w:pPr>
      <w:r w:rsidRPr="00024916">
        <w:rPr>
          <w:i/>
          <w:u w:val="single"/>
        </w:rPr>
        <w:t>Vuxna, ungdomar och barn (som väger minst 25</w:t>
      </w:r>
      <w:r w:rsidR="00D22313" w:rsidRPr="00024916">
        <w:rPr>
          <w:i/>
          <w:u w:val="single"/>
        </w:rPr>
        <w:t> </w:t>
      </w:r>
      <w:r w:rsidRPr="00024916">
        <w:rPr>
          <w:i/>
          <w:u w:val="single"/>
        </w:rPr>
        <w:t>kg):</w:t>
      </w:r>
    </w:p>
    <w:p w14:paraId="6F1F5387" w14:textId="77777777" w:rsidR="00D22313" w:rsidRPr="00024916" w:rsidRDefault="00D22313" w:rsidP="00A52061">
      <w:pPr>
        <w:spacing w:before="1"/>
        <w:rPr>
          <w:i/>
          <w:u w:val="single"/>
        </w:rPr>
      </w:pPr>
    </w:p>
    <w:p w14:paraId="1FD45A01" w14:textId="77777777" w:rsidR="001059D2" w:rsidRPr="00024916" w:rsidRDefault="00B13606" w:rsidP="00A52061">
      <w:pPr>
        <w:spacing w:before="1"/>
      </w:pPr>
      <w:r w:rsidRPr="00024916">
        <w:lastRenderedPageBreak/>
        <w:t>Den rekommenderade dosen av Abacavir Accord är 600</w:t>
      </w:r>
      <w:r w:rsidR="001059D2" w:rsidRPr="00024916">
        <w:t> </w:t>
      </w:r>
      <w:r w:rsidRPr="00024916">
        <w:t>mg dagligen. Denna dos kan antingen ges som 300 mg (en tablett) två gånger dagligen eller som 600</w:t>
      </w:r>
      <w:r w:rsidR="001059D2" w:rsidRPr="00024916">
        <w:t> </w:t>
      </w:r>
      <w:r w:rsidRPr="00024916">
        <w:t>mg (två tabletter) en gång dagligen (se avsnitt</w:t>
      </w:r>
      <w:r w:rsidR="001059D2" w:rsidRPr="00024916">
        <w:t> </w:t>
      </w:r>
      <w:r w:rsidRPr="00024916">
        <w:t>4.4 och 5.1).</w:t>
      </w:r>
    </w:p>
    <w:p w14:paraId="308DAADC" w14:textId="77777777" w:rsidR="001059D2" w:rsidRPr="00024916" w:rsidRDefault="001059D2" w:rsidP="00A52061">
      <w:pPr>
        <w:spacing w:before="1"/>
      </w:pPr>
    </w:p>
    <w:p w14:paraId="45E0933D" w14:textId="77777777" w:rsidR="001059D2" w:rsidRPr="00024916" w:rsidRDefault="00B13606" w:rsidP="00A52061">
      <w:pPr>
        <w:spacing w:before="1"/>
        <w:rPr>
          <w:i/>
          <w:u w:val="single"/>
        </w:rPr>
      </w:pPr>
      <w:r w:rsidRPr="00024916">
        <w:rPr>
          <w:i/>
          <w:u w:val="single"/>
        </w:rPr>
        <w:t>Barn (som väger mindre än 25</w:t>
      </w:r>
      <w:r w:rsidR="001059D2" w:rsidRPr="00024916">
        <w:rPr>
          <w:i/>
          <w:u w:val="single"/>
        </w:rPr>
        <w:t> </w:t>
      </w:r>
      <w:r w:rsidRPr="00024916">
        <w:rPr>
          <w:i/>
          <w:u w:val="single"/>
        </w:rPr>
        <w:t>kg):</w:t>
      </w:r>
    </w:p>
    <w:p w14:paraId="537D526B" w14:textId="77777777" w:rsidR="001059D2" w:rsidRPr="00024916" w:rsidRDefault="001059D2" w:rsidP="00A52061">
      <w:pPr>
        <w:spacing w:before="1"/>
        <w:rPr>
          <w:i/>
          <w:u w:val="single"/>
        </w:rPr>
      </w:pPr>
    </w:p>
    <w:p w14:paraId="09CFA2C0" w14:textId="77777777" w:rsidR="00B13606" w:rsidRPr="00024916" w:rsidRDefault="00B13606" w:rsidP="00A52061">
      <w:pPr>
        <w:spacing w:before="1"/>
      </w:pPr>
      <w:r w:rsidRPr="00024916">
        <w:t>Dosering baserad på viktintervall är rekommenderad för Abacavir Accord</w:t>
      </w:r>
      <w:r w:rsidR="001059D2" w:rsidRPr="00024916">
        <w:t xml:space="preserve"> </w:t>
      </w:r>
      <w:r w:rsidRPr="00024916">
        <w:t>tabletter.</w:t>
      </w:r>
    </w:p>
    <w:p w14:paraId="7DA344FC" w14:textId="77777777" w:rsidR="00B13606" w:rsidRPr="00024916" w:rsidRDefault="00B13606" w:rsidP="00A52061">
      <w:pPr>
        <w:pStyle w:val="Brdtext"/>
      </w:pPr>
    </w:p>
    <w:p w14:paraId="7B9A8250" w14:textId="77777777" w:rsidR="00B13606" w:rsidRPr="00024916" w:rsidRDefault="00B13606" w:rsidP="00A52061">
      <w:pPr>
        <w:pStyle w:val="Brdtext"/>
      </w:pPr>
      <w:r w:rsidRPr="00024916">
        <w:rPr>
          <w:i/>
        </w:rPr>
        <w:t>Barn som väger ≥</w:t>
      </w:r>
      <w:r w:rsidR="001059D2" w:rsidRPr="00024916">
        <w:rPr>
          <w:i/>
        </w:rPr>
        <w:t> </w:t>
      </w:r>
      <w:r w:rsidRPr="00024916">
        <w:rPr>
          <w:i/>
        </w:rPr>
        <w:t>20</w:t>
      </w:r>
      <w:r w:rsidR="001059D2" w:rsidRPr="00024916">
        <w:rPr>
          <w:i/>
        </w:rPr>
        <w:t> </w:t>
      </w:r>
      <w:r w:rsidRPr="00024916">
        <w:rPr>
          <w:i/>
        </w:rPr>
        <w:t>kg till &lt;</w:t>
      </w:r>
      <w:r w:rsidR="001059D2" w:rsidRPr="00024916">
        <w:rPr>
          <w:i/>
        </w:rPr>
        <w:t> </w:t>
      </w:r>
      <w:r w:rsidRPr="00024916">
        <w:rPr>
          <w:i/>
        </w:rPr>
        <w:t>25</w:t>
      </w:r>
      <w:r w:rsidR="001059D2" w:rsidRPr="00024916">
        <w:rPr>
          <w:i/>
        </w:rPr>
        <w:t> </w:t>
      </w:r>
      <w:r w:rsidRPr="00024916">
        <w:rPr>
          <w:i/>
        </w:rPr>
        <w:t xml:space="preserve">kg: </w:t>
      </w:r>
      <w:r w:rsidRPr="00024916">
        <w:t>Rekommenderad dos är 450</w:t>
      </w:r>
      <w:r w:rsidR="001059D2" w:rsidRPr="00024916">
        <w:t> </w:t>
      </w:r>
      <w:r w:rsidRPr="00024916">
        <w:t>mg dagligen. Denna kan antingen administreras som 150</w:t>
      </w:r>
      <w:r w:rsidR="001059D2" w:rsidRPr="00024916">
        <w:t> </w:t>
      </w:r>
      <w:r w:rsidRPr="00024916">
        <w:t>mg (en halv tablett) som tas på morgonen och 300 mg (en hel tablett) som tas på kvällen, eller som 450</w:t>
      </w:r>
      <w:r w:rsidR="001059D2" w:rsidRPr="00024916">
        <w:t> </w:t>
      </w:r>
      <w:r w:rsidRPr="00024916">
        <w:t>mg (en och en halv tablett) som tas en gång dagligen.</w:t>
      </w:r>
    </w:p>
    <w:p w14:paraId="7186202F" w14:textId="77777777" w:rsidR="00B13606" w:rsidRPr="00024916" w:rsidRDefault="00B13606" w:rsidP="00A52061">
      <w:pPr>
        <w:pStyle w:val="Brdtext"/>
        <w:spacing w:before="9"/>
      </w:pPr>
    </w:p>
    <w:p w14:paraId="418DA548" w14:textId="77777777" w:rsidR="00B13606" w:rsidRPr="00024916" w:rsidRDefault="00B13606" w:rsidP="00A52061">
      <w:pPr>
        <w:pStyle w:val="Brdtext"/>
        <w:spacing w:before="1"/>
      </w:pPr>
      <w:r w:rsidRPr="00024916">
        <w:rPr>
          <w:i/>
        </w:rPr>
        <w:t>Barn som väger 14 till &lt;</w:t>
      </w:r>
      <w:r w:rsidR="001059D2" w:rsidRPr="00024916">
        <w:rPr>
          <w:i/>
        </w:rPr>
        <w:t> </w:t>
      </w:r>
      <w:r w:rsidRPr="00024916">
        <w:rPr>
          <w:i/>
        </w:rPr>
        <w:t>20</w:t>
      </w:r>
      <w:r w:rsidR="001059D2" w:rsidRPr="00024916">
        <w:rPr>
          <w:i/>
        </w:rPr>
        <w:t> </w:t>
      </w:r>
      <w:r w:rsidRPr="00024916">
        <w:rPr>
          <w:i/>
        </w:rPr>
        <w:t xml:space="preserve">kg: </w:t>
      </w:r>
      <w:r w:rsidRPr="00024916">
        <w:t>Rekommenderad dos är 300</w:t>
      </w:r>
      <w:r w:rsidR="001059D2" w:rsidRPr="00024916">
        <w:t> </w:t>
      </w:r>
      <w:r w:rsidRPr="00024916">
        <w:t>mg dagligen. Denna kan antingen administreras som 150</w:t>
      </w:r>
      <w:r w:rsidR="001059D2" w:rsidRPr="00024916">
        <w:t> </w:t>
      </w:r>
      <w:r w:rsidRPr="00024916">
        <w:t>mg (en halv tablett) två gånger dagligen eller som 300</w:t>
      </w:r>
      <w:r w:rsidR="001059D2" w:rsidRPr="00024916">
        <w:t> </w:t>
      </w:r>
      <w:r w:rsidRPr="00024916">
        <w:t>mg (en hel tablett) en gång dagligen.</w:t>
      </w:r>
    </w:p>
    <w:p w14:paraId="720A9EE2" w14:textId="77777777" w:rsidR="00B13606" w:rsidRPr="00024916" w:rsidRDefault="00B13606" w:rsidP="00A52061">
      <w:pPr>
        <w:pStyle w:val="Brdtext"/>
      </w:pPr>
    </w:p>
    <w:p w14:paraId="1C7E3B3D" w14:textId="77777777" w:rsidR="00B13606" w:rsidRPr="00024916" w:rsidRDefault="00B13606" w:rsidP="00A52061">
      <w:pPr>
        <w:pStyle w:val="Brdtext"/>
      </w:pPr>
      <w:r w:rsidRPr="00024916">
        <w:rPr>
          <w:i/>
        </w:rPr>
        <w:t xml:space="preserve">Barn under tre månader: </w:t>
      </w:r>
      <w:r w:rsidRPr="00024916">
        <w:t>Den kliniska erfarenheten från barn yngre än tre månader är begränsad och är otillräcklig för att fastslå specifik doseringsrekommendation (se avsnitt</w:t>
      </w:r>
      <w:r w:rsidR="001059D2" w:rsidRPr="00024916">
        <w:t> </w:t>
      </w:r>
      <w:r w:rsidRPr="00024916">
        <w:t>5.2).</w:t>
      </w:r>
    </w:p>
    <w:p w14:paraId="31B365CF" w14:textId="77777777" w:rsidR="00B13606" w:rsidRPr="00024916" w:rsidRDefault="00B13606" w:rsidP="00A52061">
      <w:pPr>
        <w:pStyle w:val="Brdtext"/>
        <w:spacing w:before="11"/>
      </w:pPr>
    </w:p>
    <w:p w14:paraId="4A557716" w14:textId="77777777" w:rsidR="00B13606" w:rsidRPr="00024916" w:rsidRDefault="00B13606" w:rsidP="00A52061">
      <w:pPr>
        <w:pStyle w:val="Brdtext"/>
      </w:pPr>
      <w:r w:rsidRPr="00024916">
        <w:t>Patienter som byter från dosering två gånger per dag till dosering en gång per dag ska börja följa den rekommenderade doseringen för administrering en gång per dag (som beskrivs ovan) ungefär 12</w:t>
      </w:r>
      <w:r w:rsidR="001059D2" w:rsidRPr="00024916">
        <w:t> </w:t>
      </w:r>
      <w:r w:rsidRPr="00024916">
        <w:t>timmar efter att den sista dosen inom en två gånger dagligen regim administrerats. Därefter ska patienten fortsätta att följa den rekommenderade doseringen för administrering en gång per dag (som beskrivs ovan) med ungefär 24</w:t>
      </w:r>
      <w:r w:rsidR="001059D2" w:rsidRPr="00024916">
        <w:t> </w:t>
      </w:r>
      <w:r w:rsidRPr="00024916">
        <w:t>timmars mellanrum. I de fall där patienten ska byta tillbaka till doseringen två gånger per dag ska denna börja följa rekommenderad dosering för administrering två gånger per dag ungefär 24</w:t>
      </w:r>
      <w:r w:rsidR="001059D2" w:rsidRPr="00024916">
        <w:t> </w:t>
      </w:r>
      <w:r w:rsidRPr="00024916">
        <w:t>timmar efter att den sista dosen som administrerats en gång per dag intagits.</w:t>
      </w:r>
    </w:p>
    <w:p w14:paraId="4BC66C5F" w14:textId="77777777" w:rsidR="00B13606" w:rsidRPr="00024916" w:rsidRDefault="00B13606" w:rsidP="00A52061">
      <w:pPr>
        <w:pStyle w:val="Brdtext"/>
        <w:spacing w:before="10"/>
      </w:pPr>
    </w:p>
    <w:p w14:paraId="16384923" w14:textId="77777777" w:rsidR="001059D2" w:rsidRPr="00024916" w:rsidRDefault="00B13606" w:rsidP="00A52061">
      <w:pPr>
        <w:rPr>
          <w:i/>
          <w:u w:val="single"/>
        </w:rPr>
      </w:pPr>
      <w:r w:rsidRPr="00024916">
        <w:rPr>
          <w:i/>
          <w:u w:val="single"/>
        </w:rPr>
        <w:t>Speciella patientgrupper</w:t>
      </w:r>
    </w:p>
    <w:p w14:paraId="085A8847" w14:textId="77777777" w:rsidR="001059D2" w:rsidRPr="00024916" w:rsidRDefault="001059D2" w:rsidP="00A52061">
      <w:pPr>
        <w:rPr>
          <w:i/>
          <w:u w:val="single"/>
        </w:rPr>
      </w:pPr>
    </w:p>
    <w:p w14:paraId="142AC6FD" w14:textId="77777777" w:rsidR="00B13606" w:rsidRPr="00024916" w:rsidRDefault="00B13606" w:rsidP="00A52061">
      <w:pPr>
        <w:rPr>
          <w:i/>
        </w:rPr>
      </w:pPr>
      <w:r w:rsidRPr="00024916">
        <w:rPr>
          <w:i/>
        </w:rPr>
        <w:t>Nedsatt njurfunktion</w:t>
      </w:r>
    </w:p>
    <w:p w14:paraId="48209E6B" w14:textId="77777777" w:rsidR="00B13606" w:rsidRPr="00024916" w:rsidRDefault="00B13606" w:rsidP="00A52061">
      <w:pPr>
        <w:pStyle w:val="Brdtext"/>
        <w:spacing w:before="1"/>
      </w:pPr>
      <w:r w:rsidRPr="00024916">
        <w:t>Ingen dosjustering av Abacavir Accord behövs hos patienter med nedsatt njurfunktion. Behandling med Abacavir Accord rekommenderas dock inte till patienter med terminal njurinsufficiens (se avsnitt</w:t>
      </w:r>
      <w:r w:rsidR="001059D2" w:rsidRPr="00024916">
        <w:t> </w:t>
      </w:r>
      <w:r w:rsidRPr="00024916">
        <w:t>5.2).</w:t>
      </w:r>
    </w:p>
    <w:p w14:paraId="266A45CA" w14:textId="77777777" w:rsidR="00B13606" w:rsidRPr="00024916" w:rsidRDefault="00B13606" w:rsidP="00A52061">
      <w:pPr>
        <w:pStyle w:val="Brdtext"/>
      </w:pPr>
    </w:p>
    <w:p w14:paraId="560424D5" w14:textId="77777777" w:rsidR="00B13606" w:rsidRPr="00024916" w:rsidRDefault="00B13606" w:rsidP="00A52061">
      <w:pPr>
        <w:rPr>
          <w:i/>
        </w:rPr>
      </w:pPr>
      <w:r w:rsidRPr="00024916">
        <w:rPr>
          <w:i/>
        </w:rPr>
        <w:t>Nedsatt leverfunktion</w:t>
      </w:r>
    </w:p>
    <w:p w14:paraId="7805E009" w14:textId="77777777" w:rsidR="00B13606" w:rsidRPr="00024916" w:rsidRDefault="00B13606" w:rsidP="00A52061">
      <w:pPr>
        <w:pStyle w:val="Brdtext"/>
      </w:pPr>
      <w:r w:rsidRPr="00024916">
        <w:t>Abakavir metaboliseras huvudsakligen via levern. Ingen definitiv dosrekommendation kan ges till patienter med lä</w:t>
      </w:r>
      <w:r w:rsidR="001059D2" w:rsidRPr="00024916">
        <w:t>tt nedsatt leverfunktion (Child</w:t>
      </w:r>
      <w:r w:rsidR="001059D2" w:rsidRPr="00024916">
        <w:noBreakHyphen/>
      </w:r>
      <w:r w:rsidRPr="00024916">
        <w:t>Pugh score 5</w:t>
      </w:r>
      <w:r w:rsidR="001059D2" w:rsidRPr="00024916">
        <w:noBreakHyphen/>
      </w:r>
      <w:r w:rsidRPr="00024916">
        <w:t>6). Data saknas för patienter med måttlig eller kraftig leverfunktionsnedsättning, därför rekommenderas inte användning av abakavir såvida inte detta bedömts som nödvändigt. Om abakavir används till patienter med lätt nedsatt leverfunktion krävs noggrann uppföljning, inklusive övervakning av plasmakoncentrationen av abakavir om möjligt (se avsnitt</w:t>
      </w:r>
      <w:r w:rsidR="001059D2" w:rsidRPr="00024916">
        <w:t> </w:t>
      </w:r>
      <w:r w:rsidRPr="00024916">
        <w:t>4.4 och 5.2).</w:t>
      </w:r>
    </w:p>
    <w:p w14:paraId="14709F40" w14:textId="77777777" w:rsidR="00B13606" w:rsidRPr="00024916" w:rsidRDefault="00B13606" w:rsidP="00A52061">
      <w:pPr>
        <w:pStyle w:val="Brdtext"/>
        <w:spacing w:before="10"/>
      </w:pPr>
    </w:p>
    <w:p w14:paraId="3F9A15F8" w14:textId="77777777" w:rsidR="00B13606" w:rsidRPr="00024916" w:rsidRDefault="00B13606" w:rsidP="00A52061">
      <w:pPr>
        <w:spacing w:before="1"/>
        <w:rPr>
          <w:i/>
        </w:rPr>
      </w:pPr>
      <w:r w:rsidRPr="00024916">
        <w:rPr>
          <w:i/>
        </w:rPr>
        <w:t>Äldre</w:t>
      </w:r>
    </w:p>
    <w:p w14:paraId="15499C05" w14:textId="77777777" w:rsidR="00B13606" w:rsidRPr="00024916" w:rsidRDefault="00B13606" w:rsidP="00A52061">
      <w:pPr>
        <w:pStyle w:val="Brdtext"/>
      </w:pPr>
      <w:r w:rsidRPr="00024916">
        <w:t>För närvarande saknas farmakokinetiska data för abakavir hos patienter äldre än 65</w:t>
      </w:r>
      <w:r w:rsidR="001059D2" w:rsidRPr="00024916">
        <w:t> </w:t>
      </w:r>
      <w:r w:rsidRPr="00024916">
        <w:t>år.</w:t>
      </w:r>
    </w:p>
    <w:p w14:paraId="43F325E3" w14:textId="77777777" w:rsidR="00B13606" w:rsidRPr="00024916" w:rsidRDefault="00B13606" w:rsidP="00A52061">
      <w:pPr>
        <w:pStyle w:val="Brdtext"/>
      </w:pPr>
    </w:p>
    <w:p w14:paraId="62014689" w14:textId="77777777" w:rsidR="00B13606" w:rsidRPr="00024916" w:rsidRDefault="00B13606" w:rsidP="00A52061">
      <w:pPr>
        <w:pStyle w:val="Rubrik1"/>
        <w:keepNext w:val="0"/>
        <w:keepLines w:val="0"/>
        <w:numPr>
          <w:ilvl w:val="1"/>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Kontraindikationer</w:t>
      </w:r>
    </w:p>
    <w:p w14:paraId="65FBE423" w14:textId="77777777" w:rsidR="00B13606" w:rsidRPr="00024916" w:rsidRDefault="00B13606" w:rsidP="00A52061">
      <w:pPr>
        <w:pStyle w:val="Brdtext"/>
        <w:rPr>
          <w:b/>
        </w:rPr>
      </w:pPr>
    </w:p>
    <w:p w14:paraId="0B6C01E9" w14:textId="77777777" w:rsidR="00B13606" w:rsidRPr="00024916" w:rsidRDefault="00B13606" w:rsidP="00A52061">
      <w:pPr>
        <w:pStyle w:val="Brdtext"/>
      </w:pPr>
      <w:r w:rsidRPr="00024916">
        <w:t>Överkänslighet mot abakavir eller mot något hjälpämne som anges i avsnitt</w:t>
      </w:r>
      <w:r w:rsidR="001059D2" w:rsidRPr="00024916">
        <w:t> </w:t>
      </w:r>
      <w:r w:rsidRPr="00024916">
        <w:t>6.1. Se avsnitt</w:t>
      </w:r>
      <w:r w:rsidR="001059D2" w:rsidRPr="00024916">
        <w:t> </w:t>
      </w:r>
      <w:r w:rsidRPr="00024916">
        <w:t>4.4 och 4.8.</w:t>
      </w:r>
    </w:p>
    <w:p w14:paraId="49921066" w14:textId="77777777" w:rsidR="00B13606" w:rsidRPr="00024916" w:rsidRDefault="00B13606" w:rsidP="00A52061">
      <w:pPr>
        <w:pStyle w:val="Brdtext"/>
        <w:spacing w:before="1"/>
      </w:pPr>
    </w:p>
    <w:p w14:paraId="038C0136" w14:textId="77777777" w:rsidR="00B13606" w:rsidRPr="00024916" w:rsidRDefault="00B13606" w:rsidP="00A52061">
      <w:pPr>
        <w:pStyle w:val="Rubrik1"/>
        <w:keepNext w:val="0"/>
        <w:keepLines w:val="0"/>
        <w:numPr>
          <w:ilvl w:val="1"/>
          <w:numId w:val="5"/>
        </w:numPr>
        <w:tabs>
          <w:tab w:val="left" w:pos="784"/>
          <w:tab w:val="left" w:pos="785"/>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Varningar och</w:t>
      </w:r>
      <w:r w:rsidRPr="00024916">
        <w:rPr>
          <w:rFonts w:ascii="Times New Roman" w:hAnsi="Times New Roman" w:cs="Times New Roman"/>
          <w:color w:val="auto"/>
          <w:spacing w:val="-6"/>
          <w:sz w:val="22"/>
          <w:szCs w:val="22"/>
        </w:rPr>
        <w:t xml:space="preserve"> </w:t>
      </w:r>
      <w:r w:rsidRPr="00024916">
        <w:rPr>
          <w:rFonts w:ascii="Times New Roman" w:hAnsi="Times New Roman" w:cs="Times New Roman"/>
          <w:color w:val="auto"/>
          <w:sz w:val="22"/>
          <w:szCs w:val="22"/>
        </w:rPr>
        <w:t>försiktighet</w:t>
      </w:r>
    </w:p>
    <w:p w14:paraId="2D17142A" w14:textId="77777777" w:rsidR="003A0DB8" w:rsidRPr="00024916" w:rsidRDefault="003A0DB8" w:rsidP="00A52061">
      <w:pPr>
        <w:adjustRightInd w:val="0"/>
      </w:pPr>
    </w:p>
    <w:p w14:paraId="696D54CA"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color w:val="auto"/>
          <w:sz w:val="22"/>
          <w:szCs w:val="22"/>
          <w:u w:val="single"/>
          <w:lang w:val="sv-SE"/>
        </w:rPr>
      </w:pPr>
      <w:r w:rsidRPr="00024916">
        <w:rPr>
          <w:bCs/>
          <w:iCs/>
          <w:color w:val="auto"/>
          <w:sz w:val="22"/>
          <w:szCs w:val="22"/>
          <w:u w:val="single"/>
          <w:lang w:val="sv-SE"/>
        </w:rPr>
        <w:t xml:space="preserve">Överkänslighetsreaktioner </w:t>
      </w:r>
      <w:r w:rsidRPr="00024916">
        <w:rPr>
          <w:color w:val="auto"/>
          <w:sz w:val="22"/>
          <w:szCs w:val="22"/>
          <w:u w:val="single"/>
          <w:lang w:val="sv-SE"/>
        </w:rPr>
        <w:t>(se även avsnitt 4.8)</w:t>
      </w:r>
      <w:r w:rsidRPr="00024916">
        <w:rPr>
          <w:bCs/>
          <w:iCs/>
          <w:color w:val="auto"/>
          <w:sz w:val="22"/>
          <w:szCs w:val="22"/>
          <w:u w:val="single"/>
          <w:lang w:val="sv-SE"/>
        </w:rPr>
        <w:t>:</w:t>
      </w:r>
    </w:p>
    <w:p w14:paraId="225AB8CE"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color w:val="auto"/>
          <w:sz w:val="22"/>
          <w:szCs w:val="22"/>
          <w:lang w:val="sv-SE"/>
        </w:rPr>
      </w:pPr>
    </w:p>
    <w:p w14:paraId="0D706E23"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Abakavir är associerat med en risk för överkänslighetsreaktioner (se avsnitt 4.8) karaktäriserade av feber och/eller hudutslag tillsammans med andra symtom som tyder på att många organsystem är involverade. Överkänslighetsreaktioner har observerats med abakavir, varav några har varit livshotande, i sällsynta fall dödliga, när de inte behandlats på rätt sätt.</w:t>
      </w:r>
    </w:p>
    <w:p w14:paraId="2D3DEA24"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lastRenderedPageBreak/>
        <w:t>Patienter som testas positiva för HLA</w:t>
      </w:r>
      <w:r w:rsidRPr="00024916">
        <w:rPr>
          <w:sz w:val="22"/>
          <w:szCs w:val="22"/>
          <w:lang w:val="sv-SE"/>
        </w:rPr>
        <w:noBreakHyphen/>
        <w:t>B*5701</w:t>
      </w:r>
      <w:r w:rsidRPr="00024916">
        <w:rPr>
          <w:sz w:val="22"/>
          <w:szCs w:val="22"/>
          <w:lang w:val="sv-SE"/>
        </w:rPr>
        <w:noBreakHyphen/>
        <w:t>allelen löper stor risk att utveckla en överkänslighetsreaktion mot abakavir.</w:t>
      </w:r>
    </w:p>
    <w:p w14:paraId="3B4C2E1C"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Överkänslighetsreaktioner mot abakavir har dock rapporterats med lägre frekvens hos patienter som inte är bärare av denna allel.</w:t>
      </w:r>
    </w:p>
    <w:p w14:paraId="59D7F41C" w14:textId="77777777" w:rsidR="00E928E7" w:rsidRPr="00024916" w:rsidRDefault="00E928E7"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7491C980" w14:textId="6BEC0DBD"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Därför gäller följande</w:t>
      </w:r>
    </w:p>
    <w:p w14:paraId="17EC31D5"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color w:val="auto"/>
          <w:sz w:val="22"/>
          <w:szCs w:val="22"/>
          <w:lang w:val="sv-SE"/>
        </w:rPr>
      </w:pPr>
    </w:p>
    <w:p w14:paraId="5B407572"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tabs>
          <w:tab w:val="left" w:pos="851"/>
        </w:tabs>
        <w:rPr>
          <w:color w:val="auto"/>
          <w:sz w:val="22"/>
          <w:szCs w:val="22"/>
          <w:lang w:val="sv-SE"/>
        </w:rPr>
      </w:pPr>
      <w:r w:rsidRPr="00024916">
        <w:rPr>
          <w:color w:val="auto"/>
          <w:sz w:val="22"/>
          <w:szCs w:val="22"/>
          <w:lang w:val="sv-SE"/>
        </w:rPr>
        <w:sym w:font="Symbol" w:char="F0B7"/>
      </w:r>
      <w:r w:rsidRPr="00024916">
        <w:rPr>
          <w:color w:val="auto"/>
          <w:sz w:val="22"/>
          <w:szCs w:val="22"/>
          <w:lang w:val="sv-SE"/>
        </w:rPr>
        <w:tab/>
      </w:r>
      <w:r w:rsidRPr="00024916">
        <w:rPr>
          <w:sz w:val="22"/>
          <w:szCs w:val="22"/>
          <w:lang w:val="sv-SE"/>
        </w:rPr>
        <w:t>HLA-B*5701</w:t>
      </w:r>
      <w:r w:rsidRPr="00024916">
        <w:rPr>
          <w:sz w:val="22"/>
          <w:szCs w:val="22"/>
          <w:lang w:val="sv-SE"/>
        </w:rPr>
        <w:noBreakHyphen/>
        <w:t>status måste alltid dokumenteras före</w:t>
      </w:r>
      <w:r w:rsidRPr="00024916">
        <w:rPr>
          <w:spacing w:val="-6"/>
          <w:sz w:val="22"/>
          <w:szCs w:val="22"/>
          <w:lang w:val="sv-SE"/>
        </w:rPr>
        <w:t xml:space="preserve"> </w:t>
      </w:r>
      <w:r w:rsidRPr="00024916">
        <w:rPr>
          <w:sz w:val="22"/>
          <w:szCs w:val="22"/>
          <w:lang w:val="sv-SE"/>
        </w:rPr>
        <w:t>behandlingsstart.</w:t>
      </w:r>
    </w:p>
    <w:p w14:paraId="52E671AD"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color w:val="auto"/>
          <w:sz w:val="22"/>
          <w:szCs w:val="22"/>
          <w:lang w:val="sv-SE"/>
        </w:rPr>
      </w:pPr>
    </w:p>
    <w:p w14:paraId="6DA3DCD3" w14:textId="180A088B" w:rsidR="003A0DB8" w:rsidRPr="00024916" w:rsidRDefault="003A0DB8" w:rsidP="00A52061">
      <w:pPr>
        <w:pStyle w:val="Default"/>
        <w:pBdr>
          <w:top w:val="single" w:sz="4" w:space="1" w:color="auto"/>
          <w:left w:val="single" w:sz="4" w:space="4" w:color="auto"/>
          <w:bottom w:val="single" w:sz="4" w:space="1" w:color="auto"/>
          <w:right w:val="single" w:sz="4" w:space="4" w:color="auto"/>
        </w:pBdr>
        <w:tabs>
          <w:tab w:val="left" w:pos="851"/>
        </w:tabs>
        <w:ind w:left="851" w:hanging="851"/>
        <w:rPr>
          <w:sz w:val="22"/>
          <w:szCs w:val="22"/>
          <w:lang w:val="sv-SE"/>
        </w:rPr>
      </w:pPr>
      <w:r w:rsidRPr="00024916">
        <w:rPr>
          <w:color w:val="auto"/>
          <w:sz w:val="22"/>
          <w:szCs w:val="22"/>
          <w:lang w:val="sv-SE"/>
        </w:rPr>
        <w:sym w:font="Symbol" w:char="F0B7"/>
      </w:r>
      <w:r w:rsidRPr="00024916">
        <w:rPr>
          <w:color w:val="auto"/>
          <w:sz w:val="22"/>
          <w:szCs w:val="22"/>
          <w:lang w:val="sv-SE"/>
        </w:rPr>
        <w:tab/>
      </w:r>
      <w:r w:rsidRPr="00024916">
        <w:rPr>
          <w:sz w:val="22"/>
          <w:szCs w:val="22"/>
          <w:lang w:val="sv-SE"/>
        </w:rPr>
        <w:t>Aba</w:t>
      </w:r>
      <w:r w:rsidR="00F4635E" w:rsidRPr="00024916">
        <w:rPr>
          <w:sz w:val="22"/>
          <w:szCs w:val="22"/>
          <w:lang w:val="sv-SE"/>
        </w:rPr>
        <w:t>k</w:t>
      </w:r>
      <w:r w:rsidRPr="00024916">
        <w:rPr>
          <w:sz w:val="22"/>
          <w:szCs w:val="22"/>
          <w:lang w:val="sv-SE"/>
        </w:rPr>
        <w:t>avir ska aldrig sättas in hos patienter med positiv HLA</w:t>
      </w:r>
      <w:r w:rsidRPr="00024916">
        <w:rPr>
          <w:sz w:val="22"/>
          <w:szCs w:val="22"/>
          <w:lang w:val="sv-SE"/>
        </w:rPr>
        <w:noBreakHyphen/>
        <w:t>B*5701-status eller hos patienter med negativ HLA-B*5701-status som har haft en misstänkt överkänslighetsreaktion mot abakavir under en tidigare abakavirinnehållande behandling (t.ex.</w:t>
      </w:r>
      <w:r w:rsidR="00FB0FAD" w:rsidRPr="00024916">
        <w:rPr>
          <w:sz w:val="22"/>
          <w:szCs w:val="22"/>
          <w:lang w:val="sv-SE"/>
        </w:rPr>
        <w:t xml:space="preserve"> </w:t>
      </w:r>
      <w:r w:rsidR="00FB0FAD" w:rsidRPr="00024916">
        <w:rPr>
          <w:color w:val="auto"/>
          <w:sz w:val="22"/>
          <w:szCs w:val="22"/>
          <w:lang w:val="sv-SE"/>
        </w:rPr>
        <w:t>abakavir/lamivudin, abakavir/lamivudin/zidovudin, aba</w:t>
      </w:r>
      <w:r w:rsidR="00526675" w:rsidRPr="00024916">
        <w:rPr>
          <w:color w:val="auto"/>
          <w:sz w:val="22"/>
          <w:szCs w:val="22"/>
          <w:lang w:val="sv-SE"/>
        </w:rPr>
        <w:t>k</w:t>
      </w:r>
      <w:r w:rsidR="00FB0FAD" w:rsidRPr="00024916">
        <w:rPr>
          <w:color w:val="auto"/>
          <w:sz w:val="22"/>
          <w:szCs w:val="22"/>
          <w:lang w:val="sv-SE"/>
        </w:rPr>
        <w:t>avir/dolutegravir/lamivudin</w:t>
      </w:r>
      <w:r w:rsidRPr="00024916">
        <w:rPr>
          <w:sz w:val="22"/>
          <w:szCs w:val="22"/>
          <w:lang w:val="sv-SE"/>
        </w:rPr>
        <w:t>).</w:t>
      </w:r>
    </w:p>
    <w:p w14:paraId="425B88D5"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4C9D28B9"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tabs>
          <w:tab w:val="left" w:pos="851"/>
        </w:tabs>
        <w:ind w:left="851" w:hanging="851"/>
        <w:rPr>
          <w:sz w:val="22"/>
          <w:szCs w:val="22"/>
          <w:lang w:val="sv-SE"/>
        </w:rPr>
      </w:pPr>
      <w:r w:rsidRPr="00024916">
        <w:rPr>
          <w:color w:val="auto"/>
          <w:sz w:val="22"/>
          <w:szCs w:val="22"/>
          <w:lang w:val="sv-SE"/>
        </w:rPr>
        <w:sym w:font="Symbol" w:char="F0B7"/>
      </w:r>
      <w:r w:rsidRPr="00024916">
        <w:rPr>
          <w:color w:val="auto"/>
          <w:sz w:val="22"/>
          <w:szCs w:val="22"/>
          <w:lang w:val="sv-SE"/>
        </w:rPr>
        <w:tab/>
      </w:r>
      <w:r w:rsidRPr="00024916">
        <w:rPr>
          <w:b/>
          <w:sz w:val="22"/>
          <w:szCs w:val="22"/>
          <w:lang w:val="sv-SE"/>
        </w:rPr>
        <w:t>Aba</w:t>
      </w:r>
      <w:r w:rsidR="00526675" w:rsidRPr="00024916">
        <w:rPr>
          <w:b/>
          <w:sz w:val="22"/>
          <w:szCs w:val="22"/>
          <w:lang w:val="sv-SE"/>
        </w:rPr>
        <w:t>k</w:t>
      </w:r>
      <w:r w:rsidRPr="00024916">
        <w:rPr>
          <w:b/>
          <w:sz w:val="22"/>
          <w:szCs w:val="22"/>
          <w:lang w:val="sv-SE"/>
        </w:rPr>
        <w:t>avir måste sättas ut omedelbart</w:t>
      </w:r>
      <w:r w:rsidRPr="00024916">
        <w:rPr>
          <w:sz w:val="22"/>
          <w:szCs w:val="22"/>
          <w:lang w:val="sv-SE"/>
        </w:rPr>
        <w:t>, även i frånvaro av HLA</w:t>
      </w:r>
      <w:r w:rsidRPr="00024916">
        <w:rPr>
          <w:sz w:val="22"/>
          <w:szCs w:val="22"/>
          <w:lang w:val="sv-SE"/>
        </w:rPr>
        <w:noBreakHyphen/>
        <w:t xml:space="preserve">B*5701-allelen, om en överkänslighetsreaktion misstänks. Dröjsmål med att sätta ut </w:t>
      </w:r>
      <w:r w:rsidR="00FB0FAD" w:rsidRPr="00024916">
        <w:rPr>
          <w:sz w:val="22"/>
          <w:szCs w:val="22"/>
          <w:lang w:val="sv-SE"/>
        </w:rPr>
        <w:t>abak</w:t>
      </w:r>
      <w:r w:rsidRPr="00024916">
        <w:rPr>
          <w:sz w:val="22"/>
          <w:szCs w:val="22"/>
          <w:lang w:val="sv-SE"/>
        </w:rPr>
        <w:t>avir efter att överkänslighet har uppstått kan leda till en livshotande</w:t>
      </w:r>
      <w:r w:rsidRPr="00024916">
        <w:rPr>
          <w:spacing w:val="1"/>
          <w:sz w:val="22"/>
          <w:szCs w:val="22"/>
          <w:lang w:val="sv-SE"/>
        </w:rPr>
        <w:t xml:space="preserve"> </w:t>
      </w:r>
      <w:r w:rsidRPr="00024916">
        <w:rPr>
          <w:sz w:val="22"/>
          <w:szCs w:val="22"/>
          <w:lang w:val="sv-SE"/>
        </w:rPr>
        <w:t>reaktion.</w:t>
      </w:r>
    </w:p>
    <w:p w14:paraId="443016C6"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03E69468"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tabs>
          <w:tab w:val="left" w:pos="851"/>
        </w:tabs>
        <w:ind w:left="851" w:hanging="851"/>
        <w:rPr>
          <w:sz w:val="22"/>
          <w:szCs w:val="22"/>
          <w:lang w:val="sv-SE"/>
        </w:rPr>
      </w:pPr>
      <w:r w:rsidRPr="00024916">
        <w:rPr>
          <w:color w:val="auto"/>
          <w:sz w:val="22"/>
          <w:szCs w:val="22"/>
          <w:lang w:val="sv-SE"/>
        </w:rPr>
        <w:sym w:font="Symbol" w:char="F0B7"/>
      </w:r>
      <w:r w:rsidRPr="00024916">
        <w:rPr>
          <w:color w:val="auto"/>
          <w:sz w:val="22"/>
          <w:szCs w:val="22"/>
          <w:lang w:val="sv-SE"/>
        </w:rPr>
        <w:tab/>
      </w:r>
      <w:r w:rsidRPr="00024916">
        <w:rPr>
          <w:sz w:val="22"/>
          <w:szCs w:val="22"/>
          <w:lang w:val="sv-SE"/>
        </w:rPr>
        <w:t xml:space="preserve">Efter att </w:t>
      </w:r>
      <w:r w:rsidR="00526675" w:rsidRPr="00024916">
        <w:rPr>
          <w:sz w:val="22"/>
          <w:szCs w:val="22"/>
          <w:lang w:val="sv-SE"/>
        </w:rPr>
        <w:t>a</w:t>
      </w:r>
      <w:r w:rsidRPr="00024916">
        <w:rPr>
          <w:sz w:val="22"/>
          <w:szCs w:val="22"/>
          <w:lang w:val="sv-SE"/>
        </w:rPr>
        <w:t>ba</w:t>
      </w:r>
      <w:r w:rsidR="00526675" w:rsidRPr="00024916">
        <w:rPr>
          <w:sz w:val="22"/>
          <w:szCs w:val="22"/>
          <w:lang w:val="sv-SE"/>
        </w:rPr>
        <w:t>k</w:t>
      </w:r>
      <w:r w:rsidRPr="00024916">
        <w:rPr>
          <w:sz w:val="22"/>
          <w:szCs w:val="22"/>
          <w:lang w:val="sv-SE"/>
        </w:rPr>
        <w:t xml:space="preserve">avir har satts ut på grund av en misstänkt överkänslighetsreaktion får Abacavir Accord </w:t>
      </w:r>
      <w:r w:rsidRPr="00024916">
        <w:rPr>
          <w:b/>
          <w:sz w:val="22"/>
          <w:szCs w:val="22"/>
          <w:lang w:val="sv-SE"/>
        </w:rPr>
        <w:t xml:space="preserve">eller något annat läkemedel som innehåller abakavir </w:t>
      </w:r>
      <w:r w:rsidRPr="00024916">
        <w:rPr>
          <w:sz w:val="22"/>
          <w:szCs w:val="22"/>
          <w:lang w:val="sv-SE"/>
        </w:rPr>
        <w:t xml:space="preserve">(t.ex. </w:t>
      </w:r>
      <w:r w:rsidR="00526675" w:rsidRPr="00024916">
        <w:rPr>
          <w:color w:val="auto"/>
          <w:sz w:val="22"/>
          <w:szCs w:val="22"/>
          <w:lang w:val="sv-SE"/>
        </w:rPr>
        <w:t>abakavir/lamivudin, abakavir/lamivudin/zidovudin, abakavir/dolutegravir/lamivudin</w:t>
      </w:r>
      <w:r w:rsidR="00526675" w:rsidRPr="00024916">
        <w:rPr>
          <w:sz w:val="22"/>
          <w:szCs w:val="22"/>
          <w:lang w:val="sv-SE"/>
        </w:rPr>
        <w:t>)</w:t>
      </w:r>
      <w:r w:rsidRPr="00024916">
        <w:rPr>
          <w:sz w:val="22"/>
          <w:szCs w:val="22"/>
          <w:lang w:val="sv-SE"/>
        </w:rPr>
        <w:t xml:space="preserve"> </w:t>
      </w:r>
      <w:r w:rsidRPr="00024916">
        <w:rPr>
          <w:b/>
          <w:sz w:val="22"/>
          <w:szCs w:val="22"/>
          <w:lang w:val="sv-SE"/>
        </w:rPr>
        <w:t>aldrig återinsättas</w:t>
      </w:r>
      <w:r w:rsidRPr="00024916">
        <w:rPr>
          <w:sz w:val="22"/>
          <w:szCs w:val="22"/>
          <w:lang w:val="sv-SE"/>
        </w:rPr>
        <w:t>.</w:t>
      </w:r>
    </w:p>
    <w:p w14:paraId="3FD81187"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5F254746"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ind w:left="851" w:hanging="851"/>
        <w:rPr>
          <w:sz w:val="22"/>
          <w:szCs w:val="22"/>
          <w:lang w:val="sv-SE"/>
        </w:rPr>
      </w:pPr>
      <w:r w:rsidRPr="00024916">
        <w:rPr>
          <w:color w:val="auto"/>
          <w:sz w:val="22"/>
          <w:szCs w:val="22"/>
          <w:lang w:val="sv-SE"/>
        </w:rPr>
        <w:sym w:font="Symbol" w:char="F0B7"/>
      </w:r>
      <w:r w:rsidRPr="00024916">
        <w:rPr>
          <w:color w:val="auto"/>
          <w:sz w:val="22"/>
          <w:szCs w:val="22"/>
          <w:lang w:val="sv-SE"/>
        </w:rPr>
        <w:tab/>
      </w:r>
      <w:r w:rsidRPr="00024916">
        <w:rPr>
          <w:sz w:val="22"/>
          <w:szCs w:val="22"/>
          <w:lang w:val="sv-SE"/>
        </w:rPr>
        <w:t>Återinsättning av ett abakavirinnehållande läkemedel efter en misstänkt överkänslighetsreaktion kan leda till att symtomen snabbt återkommer, inom några få timmar. Denna återkommande reaktion är vanligtvis svårare än den initiala och kan inkludera livshotande hypotension och leda till att patienten</w:t>
      </w:r>
      <w:r w:rsidRPr="00024916">
        <w:rPr>
          <w:spacing w:val="-2"/>
          <w:sz w:val="22"/>
          <w:szCs w:val="22"/>
          <w:lang w:val="sv-SE"/>
        </w:rPr>
        <w:t xml:space="preserve"> </w:t>
      </w:r>
      <w:r w:rsidRPr="00024916">
        <w:rPr>
          <w:sz w:val="22"/>
          <w:szCs w:val="22"/>
          <w:lang w:val="sv-SE"/>
        </w:rPr>
        <w:t>avlider.</w:t>
      </w:r>
    </w:p>
    <w:p w14:paraId="342C4377"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2124E973" w14:textId="7C8957EB" w:rsidR="003A0DB8" w:rsidRPr="00024916" w:rsidRDefault="003A0DB8" w:rsidP="00A52061">
      <w:pPr>
        <w:pStyle w:val="Default"/>
        <w:pBdr>
          <w:top w:val="single" w:sz="4" w:space="1" w:color="auto"/>
          <w:left w:val="single" w:sz="4" w:space="4" w:color="auto"/>
          <w:bottom w:val="single" w:sz="4" w:space="1" w:color="auto"/>
          <w:right w:val="single" w:sz="4" w:space="4" w:color="auto"/>
        </w:pBdr>
        <w:ind w:left="851" w:hanging="851"/>
        <w:rPr>
          <w:sz w:val="22"/>
          <w:szCs w:val="22"/>
          <w:lang w:val="sv-SE"/>
        </w:rPr>
      </w:pPr>
      <w:r w:rsidRPr="00024916">
        <w:rPr>
          <w:color w:val="auto"/>
          <w:sz w:val="22"/>
          <w:szCs w:val="22"/>
          <w:lang w:val="sv-SE"/>
        </w:rPr>
        <w:sym w:font="Symbol" w:char="F0B7"/>
      </w:r>
      <w:r w:rsidRPr="00024916">
        <w:rPr>
          <w:color w:val="auto"/>
          <w:sz w:val="22"/>
          <w:szCs w:val="22"/>
          <w:lang w:val="sv-SE"/>
        </w:rPr>
        <w:tab/>
      </w:r>
      <w:r w:rsidRPr="00024916">
        <w:rPr>
          <w:sz w:val="22"/>
          <w:szCs w:val="22"/>
          <w:lang w:val="sv-SE"/>
        </w:rPr>
        <w:t xml:space="preserve">För att undvika en återexponering för abakavir, ska patienter som haft en överkänslighetsreaktion uppmanas att återlämna resterande </w:t>
      </w:r>
      <w:r w:rsidR="00526675" w:rsidRPr="00024916">
        <w:rPr>
          <w:sz w:val="22"/>
          <w:szCs w:val="22"/>
          <w:lang w:val="sv-SE"/>
        </w:rPr>
        <w:t>a</w:t>
      </w:r>
      <w:r w:rsidRPr="00024916">
        <w:rPr>
          <w:sz w:val="22"/>
          <w:szCs w:val="22"/>
          <w:lang w:val="sv-SE"/>
        </w:rPr>
        <w:t>ba</w:t>
      </w:r>
      <w:r w:rsidR="00526675" w:rsidRPr="00024916">
        <w:rPr>
          <w:sz w:val="22"/>
          <w:szCs w:val="22"/>
          <w:lang w:val="sv-SE"/>
        </w:rPr>
        <w:t>k</w:t>
      </w:r>
      <w:r w:rsidRPr="00024916">
        <w:rPr>
          <w:sz w:val="22"/>
          <w:szCs w:val="22"/>
          <w:lang w:val="sv-SE"/>
        </w:rPr>
        <w:t>avir</w:t>
      </w:r>
      <w:r w:rsidR="008F3B12" w:rsidRPr="00024916">
        <w:rPr>
          <w:sz w:val="22"/>
          <w:szCs w:val="22"/>
          <w:lang w:val="sv-SE"/>
        </w:rPr>
        <w:t xml:space="preserve"> tabletter</w:t>
      </w:r>
      <w:r w:rsidRPr="00024916">
        <w:rPr>
          <w:sz w:val="22"/>
          <w:szCs w:val="22"/>
          <w:lang w:val="sv-SE"/>
        </w:rPr>
        <w:t>.</w:t>
      </w:r>
    </w:p>
    <w:p w14:paraId="201CA39E"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05BD98C7"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b/>
          <w:sz w:val="22"/>
          <w:szCs w:val="22"/>
          <w:u w:val="thick"/>
          <w:lang w:val="sv-SE"/>
        </w:rPr>
        <w:t>Klinisk beskrivning av överkänslighetsreaktioner mot</w:t>
      </w:r>
      <w:r w:rsidRPr="00024916">
        <w:rPr>
          <w:b/>
          <w:spacing w:val="-6"/>
          <w:sz w:val="22"/>
          <w:szCs w:val="22"/>
          <w:u w:val="thick"/>
          <w:lang w:val="sv-SE"/>
        </w:rPr>
        <w:t xml:space="preserve"> </w:t>
      </w:r>
      <w:r w:rsidRPr="00024916">
        <w:rPr>
          <w:b/>
          <w:sz w:val="22"/>
          <w:szCs w:val="22"/>
          <w:u w:val="thick"/>
          <w:lang w:val="sv-SE"/>
        </w:rPr>
        <w:t>abakavir</w:t>
      </w:r>
    </w:p>
    <w:p w14:paraId="559ABC7E"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2C3E2270"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Överkänslighetsreaktioner mot abakavir har karaktäriserats väl i kliniska studier och under uppföljning vid normal klinisk användning. Symtomen har vanligen uppträtt inom de första sex veckorna (mediantid till debut 11</w:t>
      </w:r>
      <w:r w:rsidR="00FB0FAD" w:rsidRPr="00024916">
        <w:rPr>
          <w:sz w:val="22"/>
          <w:szCs w:val="22"/>
          <w:lang w:val="sv-SE"/>
        </w:rPr>
        <w:t> </w:t>
      </w:r>
      <w:r w:rsidRPr="00024916">
        <w:rPr>
          <w:sz w:val="22"/>
          <w:szCs w:val="22"/>
          <w:lang w:val="sv-SE"/>
        </w:rPr>
        <w:t xml:space="preserve">dagar) från behandlingsstart med abakavir, </w:t>
      </w:r>
      <w:r w:rsidRPr="00024916">
        <w:rPr>
          <w:b/>
          <w:sz w:val="22"/>
          <w:szCs w:val="22"/>
          <w:lang w:val="sv-SE"/>
        </w:rPr>
        <w:t>även om dessa reaktioner kan uppträda när som helst under behandling</w:t>
      </w:r>
      <w:r w:rsidRPr="00024916">
        <w:rPr>
          <w:sz w:val="22"/>
          <w:szCs w:val="22"/>
          <w:lang w:val="sv-SE"/>
        </w:rPr>
        <w:t>.</w:t>
      </w:r>
    </w:p>
    <w:p w14:paraId="66BBF568"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53C28500"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Nästan alla överkänslighetsreaktioner inkluderar feber och/eller hudutslag. Andra tecken och symtom som observerats som del i överkänslighetsreaktionen mot abakavir beskrivs ingående i avsnitt</w:t>
      </w:r>
      <w:r w:rsidR="00FB0FAD" w:rsidRPr="00024916">
        <w:rPr>
          <w:sz w:val="22"/>
          <w:szCs w:val="22"/>
          <w:lang w:val="sv-SE"/>
        </w:rPr>
        <w:t> </w:t>
      </w:r>
      <w:r w:rsidRPr="00024916">
        <w:rPr>
          <w:sz w:val="22"/>
          <w:szCs w:val="22"/>
          <w:lang w:val="sv-SE"/>
        </w:rPr>
        <w:t xml:space="preserve">4.8 (Beskrivning av ett urval av biverkningar), däribland symtom från luftvägarna och magtarmkanalen. Viktigt är att sådana symtom kan </w:t>
      </w:r>
      <w:r w:rsidRPr="00024916">
        <w:rPr>
          <w:b/>
          <w:sz w:val="22"/>
          <w:szCs w:val="22"/>
          <w:lang w:val="sv-SE"/>
        </w:rPr>
        <w:t>leda till att överkänslighetsreaktionen feldiagnostiseras som en sjukdom i luftvägarna (pneumoni, bronkit, faryngit) eller som en</w:t>
      </w:r>
      <w:r w:rsidRPr="00024916">
        <w:rPr>
          <w:b/>
          <w:spacing w:val="-15"/>
          <w:sz w:val="22"/>
          <w:szCs w:val="22"/>
          <w:lang w:val="sv-SE"/>
        </w:rPr>
        <w:t xml:space="preserve"> </w:t>
      </w:r>
      <w:r w:rsidRPr="00024916">
        <w:rPr>
          <w:b/>
          <w:sz w:val="22"/>
          <w:szCs w:val="22"/>
          <w:lang w:val="sv-SE"/>
        </w:rPr>
        <w:t>gastroenterit</w:t>
      </w:r>
      <w:r w:rsidRPr="00024916">
        <w:rPr>
          <w:sz w:val="22"/>
          <w:szCs w:val="22"/>
          <w:lang w:val="sv-SE"/>
        </w:rPr>
        <w:t>.</w:t>
      </w:r>
    </w:p>
    <w:p w14:paraId="68753241"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7315DEF9"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Symtomen relaterade till överkänslighetsreaktioner förvärras vid fortsatt behandling och kan vara livshotande. Symtomen försvinner vanligtvis när behandlingen med Abacavir Accord</w:t>
      </w:r>
      <w:r w:rsidRPr="00024916">
        <w:rPr>
          <w:spacing w:val="-6"/>
          <w:sz w:val="22"/>
          <w:szCs w:val="22"/>
          <w:lang w:val="sv-SE"/>
        </w:rPr>
        <w:t xml:space="preserve"> </w:t>
      </w:r>
      <w:r w:rsidRPr="00024916">
        <w:rPr>
          <w:sz w:val="22"/>
          <w:szCs w:val="22"/>
          <w:lang w:val="sv-SE"/>
        </w:rPr>
        <w:t>avbryts.</w:t>
      </w:r>
    </w:p>
    <w:p w14:paraId="2917DDDC"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color w:val="auto"/>
          <w:sz w:val="22"/>
          <w:szCs w:val="22"/>
          <w:lang w:val="sv-SE"/>
        </w:rPr>
      </w:pPr>
    </w:p>
    <w:p w14:paraId="13A70DE0"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r w:rsidRPr="00024916">
        <w:rPr>
          <w:sz w:val="22"/>
          <w:szCs w:val="22"/>
          <w:lang w:val="sv-SE"/>
        </w:rPr>
        <w:t>I sällsynta fall har även patienter som avbrutit behandling med abakavir av andra skäl än en överkänslighetsreaktion drabbats av livshotande reaktioner inom några timmar från återinsättning av abakavirbehandling (se avsnitt</w:t>
      </w:r>
      <w:r w:rsidR="00FB0FAD" w:rsidRPr="00024916">
        <w:rPr>
          <w:sz w:val="22"/>
          <w:szCs w:val="22"/>
          <w:lang w:val="sv-SE"/>
        </w:rPr>
        <w:t> </w:t>
      </w:r>
      <w:r w:rsidRPr="00024916">
        <w:rPr>
          <w:sz w:val="22"/>
          <w:szCs w:val="22"/>
          <w:lang w:val="sv-SE"/>
        </w:rPr>
        <w:t>4.8 Beskrivning av ett urval av biverkningar). Återinsättning av abakavir hos sådana patienter måste ske där sjukvårdsresurser finns lätt</w:t>
      </w:r>
      <w:r w:rsidRPr="00024916">
        <w:rPr>
          <w:spacing w:val="-10"/>
          <w:sz w:val="22"/>
          <w:szCs w:val="22"/>
          <w:lang w:val="sv-SE"/>
        </w:rPr>
        <w:t xml:space="preserve"> </w:t>
      </w:r>
      <w:r w:rsidRPr="00024916">
        <w:rPr>
          <w:sz w:val="22"/>
          <w:szCs w:val="22"/>
          <w:lang w:val="sv-SE"/>
        </w:rPr>
        <w:t>tillgängliga.</w:t>
      </w:r>
    </w:p>
    <w:p w14:paraId="0ACC12C2" w14:textId="77777777" w:rsidR="003A0DB8" w:rsidRPr="00024916" w:rsidRDefault="003A0DB8" w:rsidP="00A52061">
      <w:pPr>
        <w:pStyle w:val="Default"/>
        <w:pBdr>
          <w:top w:val="single" w:sz="4" w:space="1" w:color="auto"/>
          <w:left w:val="single" w:sz="4" w:space="4" w:color="auto"/>
          <w:bottom w:val="single" w:sz="4" w:space="1" w:color="auto"/>
          <w:right w:val="single" w:sz="4" w:space="4" w:color="auto"/>
        </w:pBdr>
        <w:rPr>
          <w:sz w:val="22"/>
          <w:szCs w:val="22"/>
          <w:lang w:val="sv-SE"/>
        </w:rPr>
      </w:pPr>
    </w:p>
    <w:p w14:paraId="51F861C9" w14:textId="77777777" w:rsidR="00B13606" w:rsidRPr="00024916" w:rsidRDefault="00B13606" w:rsidP="00A52061">
      <w:pPr>
        <w:pStyle w:val="Brdtext"/>
        <w:spacing w:before="91"/>
      </w:pPr>
    </w:p>
    <w:p w14:paraId="40CC3688" w14:textId="77777777" w:rsidR="003A0DB8" w:rsidRPr="00024916" w:rsidRDefault="00B13606" w:rsidP="00A52061">
      <w:pPr>
        <w:pStyle w:val="Brdtext"/>
        <w:rPr>
          <w:u w:val="single"/>
        </w:rPr>
      </w:pPr>
      <w:r w:rsidRPr="00024916">
        <w:rPr>
          <w:u w:val="single"/>
        </w:rPr>
        <w:t xml:space="preserve">Mitokondriell dysfunktion efter exponering </w:t>
      </w:r>
      <w:r w:rsidRPr="00024916">
        <w:rPr>
          <w:i/>
          <w:u w:val="single"/>
        </w:rPr>
        <w:t>in utero</w:t>
      </w:r>
      <w:r w:rsidRPr="00024916">
        <w:rPr>
          <w:u w:val="single"/>
        </w:rPr>
        <w:t>:</w:t>
      </w:r>
    </w:p>
    <w:p w14:paraId="7554E96D" w14:textId="77777777" w:rsidR="003A0DB8" w:rsidRPr="00024916" w:rsidRDefault="003A0DB8" w:rsidP="00A52061">
      <w:pPr>
        <w:pStyle w:val="Brdtext"/>
        <w:rPr>
          <w:u w:val="single"/>
        </w:rPr>
      </w:pPr>
    </w:p>
    <w:p w14:paraId="558BFBA0" w14:textId="77777777" w:rsidR="003A0DB8" w:rsidRPr="00024916" w:rsidRDefault="003A0DB8" w:rsidP="00A52061">
      <w:pPr>
        <w:pStyle w:val="Brdtext"/>
      </w:pPr>
      <w:r w:rsidRPr="00024916">
        <w:t xml:space="preserve">Nukleos(t)analoger kan i varierande grad påverka mitokondriell funktion, vilket är mest uttalat med stavudin, didanosin och zidovudin. Man har rapporterat mitokondriell dysfunktion hos hiv-negativa </w:t>
      </w:r>
      <w:r w:rsidRPr="00024916">
        <w:lastRenderedPageBreak/>
        <w:t xml:space="preserve">spädbarn som exponerats för nukleosidanaloger </w:t>
      </w:r>
      <w:r w:rsidRPr="00024916">
        <w:rPr>
          <w:i/>
        </w:rPr>
        <w:t>in</w:t>
      </w:r>
      <w:r w:rsidR="00FB0FAD" w:rsidRPr="00024916">
        <w:rPr>
          <w:i/>
        </w:rPr>
        <w:t> </w:t>
      </w:r>
      <w:r w:rsidRPr="00024916">
        <w:rPr>
          <w:i/>
        </w:rPr>
        <w:t xml:space="preserve">utero </w:t>
      </w:r>
      <w:r w:rsidRPr="00024916">
        <w:t xml:space="preserve">och/eller postnatalt; dessa har främst avsett behandling med regimer innehållande zidovudin. De väsentligaste biverkningarna som rapporterats är hematologiska rubbningar (anemi, neutropeni) och metabola rubbningar (hyperlaktatemi, hyperlipasemi). Dessa biverkningar har ofta varit övergående. Några sent uppträdande neurologiska rubbningar har rapporterats som sällsynta (ökad tonus, kramper, onormalt beteende). Om sådana neurologiska rubbningar är övergående eller permanenta är för närvarande okänt. Dessa fynd ska övervägas för alla barn som </w:t>
      </w:r>
      <w:r w:rsidRPr="00024916">
        <w:rPr>
          <w:i/>
        </w:rPr>
        <w:t>in</w:t>
      </w:r>
      <w:r w:rsidR="00FB0FAD" w:rsidRPr="00024916">
        <w:rPr>
          <w:i/>
        </w:rPr>
        <w:t> </w:t>
      </w:r>
      <w:r w:rsidRPr="00024916">
        <w:rPr>
          <w:i/>
        </w:rPr>
        <w:t xml:space="preserve">utero </w:t>
      </w:r>
      <w:r w:rsidRPr="00024916">
        <w:t>exponerats för nukleos(t)idanaloger och som uppvisar allvarliga kliniska fynd av okänd etiologi, i synnerhet neurologiska fynd. Dessa fynd påverkar inte aktuella nationella rekommendationer avseende antiretroviral terapi till gravida kvinnor för att förhindra vertikal överföring av hiv.</w:t>
      </w:r>
    </w:p>
    <w:p w14:paraId="7640FADE" w14:textId="77777777" w:rsidR="00B13606" w:rsidRPr="00024916" w:rsidRDefault="00B13606" w:rsidP="00A52061">
      <w:pPr>
        <w:pStyle w:val="Brdtext"/>
        <w:spacing w:before="1"/>
      </w:pPr>
    </w:p>
    <w:p w14:paraId="35E51D5F" w14:textId="77777777" w:rsidR="00FB0FAD" w:rsidRPr="00024916" w:rsidRDefault="00B13606" w:rsidP="00A52061">
      <w:pPr>
        <w:pStyle w:val="Brdtext"/>
        <w:rPr>
          <w:u w:val="single"/>
        </w:rPr>
      </w:pPr>
      <w:r w:rsidRPr="00024916">
        <w:rPr>
          <w:u w:val="single"/>
        </w:rPr>
        <w:t>Vikt och metabola parametrar:</w:t>
      </w:r>
    </w:p>
    <w:p w14:paraId="31A48FC4" w14:textId="77777777" w:rsidR="00FB0FAD" w:rsidRPr="00024916" w:rsidRDefault="00FB0FAD" w:rsidP="00A52061">
      <w:pPr>
        <w:pStyle w:val="Brdtext"/>
        <w:rPr>
          <w:u w:val="single"/>
        </w:rPr>
      </w:pPr>
    </w:p>
    <w:p w14:paraId="112C2C45" w14:textId="77777777" w:rsidR="00B13606" w:rsidRPr="00024916" w:rsidRDefault="00B13606" w:rsidP="00A52061">
      <w:pPr>
        <w:pStyle w:val="Brdtext"/>
      </w:pPr>
      <w:r w:rsidRPr="00024916">
        <w:t>Viktökning och ökade nivåer av lipider och glukos i blodet kan förekomma under antiretroviral behandling. Sådana förändringar kan delvis ha samband med sjukdomskontroll och livsstil. Vad gäller lipider finns det i vissa fall belägg för en behandlingseffekt medan det inte finns några starka belägg för ett samband mellan viktökning och någon viss behandling. Beträffande övervakning av lipider och glukos i blodet hänvisas till etablerade behandlingsriktlinjer för hiv. Lipidrubbningar ska hanteras på ett kliniskt lämpligt sätt.</w:t>
      </w:r>
    </w:p>
    <w:p w14:paraId="66AB1347" w14:textId="77777777" w:rsidR="00B13606" w:rsidRPr="00024916" w:rsidRDefault="00B13606" w:rsidP="00A52061">
      <w:pPr>
        <w:pStyle w:val="Brdtext"/>
        <w:spacing w:before="9"/>
      </w:pPr>
    </w:p>
    <w:p w14:paraId="4C0F7E2F" w14:textId="77777777" w:rsidR="00FB0FAD" w:rsidRPr="00024916" w:rsidRDefault="00B13606" w:rsidP="00A52061">
      <w:pPr>
        <w:pStyle w:val="Brdtext"/>
        <w:rPr>
          <w:u w:val="single"/>
        </w:rPr>
      </w:pPr>
      <w:r w:rsidRPr="00024916">
        <w:rPr>
          <w:u w:val="single"/>
        </w:rPr>
        <w:t>Pankreatit:</w:t>
      </w:r>
    </w:p>
    <w:p w14:paraId="0968A06D" w14:textId="77777777" w:rsidR="00FB0FAD" w:rsidRPr="00024916" w:rsidRDefault="00FB0FAD" w:rsidP="00A52061">
      <w:pPr>
        <w:pStyle w:val="Brdtext"/>
        <w:rPr>
          <w:u w:val="single"/>
        </w:rPr>
      </w:pPr>
    </w:p>
    <w:p w14:paraId="0DDF36CA" w14:textId="77777777" w:rsidR="00FB0FAD" w:rsidRPr="00024916" w:rsidRDefault="00B13606" w:rsidP="00A52061">
      <w:pPr>
        <w:pStyle w:val="Brdtext"/>
      </w:pPr>
      <w:r w:rsidRPr="00024916">
        <w:t>Pankreatit har rapporterats men orsakssambandet med abakavirbehandlingen är osäkert.</w:t>
      </w:r>
    </w:p>
    <w:p w14:paraId="474597E8" w14:textId="77777777" w:rsidR="00FB0FAD" w:rsidRPr="00024916" w:rsidRDefault="00FB0FAD" w:rsidP="00A52061">
      <w:pPr>
        <w:pStyle w:val="Brdtext"/>
      </w:pPr>
    </w:p>
    <w:p w14:paraId="53E185C8" w14:textId="77777777" w:rsidR="00B13606" w:rsidRPr="00024916" w:rsidRDefault="00B13606" w:rsidP="00A52061">
      <w:pPr>
        <w:pStyle w:val="Brdtext"/>
      </w:pPr>
      <w:r w:rsidRPr="00024916">
        <w:rPr>
          <w:u w:val="single"/>
        </w:rPr>
        <w:t>Trippel nukleosid terapi:</w:t>
      </w:r>
    </w:p>
    <w:p w14:paraId="0DD63615" w14:textId="77777777" w:rsidR="00FB0FAD" w:rsidRPr="00024916" w:rsidRDefault="00FB0FAD" w:rsidP="00A52061">
      <w:pPr>
        <w:pStyle w:val="Brdtext"/>
        <w:spacing w:before="1"/>
      </w:pPr>
    </w:p>
    <w:p w14:paraId="6DE570BC" w14:textId="77777777" w:rsidR="00B13606" w:rsidRPr="00024916" w:rsidRDefault="00B13606" w:rsidP="00A52061">
      <w:pPr>
        <w:pStyle w:val="Brdtext"/>
        <w:spacing w:before="1"/>
      </w:pPr>
      <w:r w:rsidRPr="00024916">
        <w:t>Hos patienter med höga virustal (&gt;100</w:t>
      </w:r>
      <w:r w:rsidR="00FB0FAD" w:rsidRPr="00024916">
        <w:t> </w:t>
      </w:r>
      <w:r w:rsidRPr="00024916">
        <w:t>000</w:t>
      </w:r>
      <w:r w:rsidR="00FB0FAD" w:rsidRPr="00024916">
        <w:t> </w:t>
      </w:r>
      <w:r w:rsidRPr="00024916">
        <w:t>kopior/ml) erfordrar valet av trippelkombinationen abakavir, lamivudin och zidovudin ett särskilt övervägande (se avsnitt</w:t>
      </w:r>
      <w:r w:rsidR="00FB0FAD" w:rsidRPr="00024916">
        <w:t> </w:t>
      </w:r>
      <w:r w:rsidRPr="00024916">
        <w:t>5.1).</w:t>
      </w:r>
    </w:p>
    <w:p w14:paraId="1622C37A" w14:textId="77777777" w:rsidR="00B13606" w:rsidRPr="00024916" w:rsidRDefault="00B13606" w:rsidP="00A52061">
      <w:pPr>
        <w:pStyle w:val="Brdtext"/>
        <w:spacing w:before="10"/>
      </w:pPr>
    </w:p>
    <w:p w14:paraId="4EB1D771" w14:textId="77777777" w:rsidR="00B13606" w:rsidRPr="00024916" w:rsidRDefault="00B13606" w:rsidP="00A52061">
      <w:pPr>
        <w:pStyle w:val="Brdtext"/>
      </w:pPr>
      <w:r w:rsidRPr="00024916">
        <w:t>Virologisk svikt och resistensutveckling har rapporterats i stor omfattning tidigt i behandlingen när abakavir kombinerats med tenofovirdisoproxilfumarat och lamivudin vid behandling en gång dagligen.</w:t>
      </w:r>
    </w:p>
    <w:p w14:paraId="17A2E5C4" w14:textId="77777777" w:rsidR="00B13606" w:rsidRPr="00024916" w:rsidRDefault="00B13606" w:rsidP="00A52061">
      <w:pPr>
        <w:pStyle w:val="Brdtext"/>
        <w:spacing w:before="1"/>
      </w:pPr>
    </w:p>
    <w:p w14:paraId="5F555044" w14:textId="77777777" w:rsidR="00FB0FAD" w:rsidRPr="00024916" w:rsidRDefault="00B13606" w:rsidP="00A52061">
      <w:pPr>
        <w:pStyle w:val="Brdtext"/>
        <w:rPr>
          <w:u w:val="single"/>
        </w:rPr>
      </w:pPr>
      <w:r w:rsidRPr="00024916">
        <w:rPr>
          <w:u w:val="single"/>
        </w:rPr>
        <w:t>Leversjukdom:</w:t>
      </w:r>
    </w:p>
    <w:p w14:paraId="66F52627" w14:textId="77777777" w:rsidR="00FB0FAD" w:rsidRPr="00024916" w:rsidRDefault="00FB0FAD" w:rsidP="00A52061">
      <w:pPr>
        <w:pStyle w:val="Brdtext"/>
        <w:rPr>
          <w:u w:val="single"/>
        </w:rPr>
      </w:pPr>
    </w:p>
    <w:p w14:paraId="65C5A41F" w14:textId="77777777" w:rsidR="00B13606" w:rsidRPr="00024916" w:rsidRDefault="00B13606" w:rsidP="00A52061">
      <w:pPr>
        <w:pStyle w:val="Brdtext"/>
      </w:pPr>
      <w:r w:rsidRPr="00024916">
        <w:t xml:space="preserve">Säkerhet och effekt av </w:t>
      </w:r>
      <w:r w:rsidR="00526675" w:rsidRPr="00024916">
        <w:t>a</w:t>
      </w:r>
      <w:r w:rsidRPr="00024916">
        <w:t>ba</w:t>
      </w:r>
      <w:r w:rsidR="00526675" w:rsidRPr="00024916">
        <w:t>k</w:t>
      </w:r>
      <w:r w:rsidRPr="00024916">
        <w:t>avir</w:t>
      </w:r>
      <w:r w:rsidR="00526675" w:rsidRPr="00024916">
        <w:t xml:space="preserve"> </w:t>
      </w:r>
      <w:r w:rsidRPr="00024916">
        <w:t xml:space="preserve">har inte fastställts på patienter med leversjukdom av signifikant omfattning. </w:t>
      </w:r>
      <w:r w:rsidR="00526675" w:rsidRPr="00024916">
        <w:t>Abakavir</w:t>
      </w:r>
      <w:r w:rsidRPr="00024916">
        <w:t xml:space="preserve"> rekommenderas inte till patienter med måttlig eller kraftig leverfunktionsnedsättning (se avsnitt</w:t>
      </w:r>
      <w:r w:rsidR="00FB0FAD" w:rsidRPr="00024916">
        <w:t> </w:t>
      </w:r>
      <w:r w:rsidRPr="00024916">
        <w:t>4.2 och 5.2).</w:t>
      </w:r>
    </w:p>
    <w:p w14:paraId="6A362010" w14:textId="77777777" w:rsidR="00FB0FAD" w:rsidRPr="00024916" w:rsidRDefault="00FB0FAD" w:rsidP="00A52061">
      <w:pPr>
        <w:pStyle w:val="Brdtext"/>
      </w:pPr>
    </w:p>
    <w:p w14:paraId="3978E7BF" w14:textId="77777777" w:rsidR="00B13606" w:rsidRPr="00024916" w:rsidRDefault="00B13606" w:rsidP="00A52061">
      <w:pPr>
        <w:pStyle w:val="Brdtext"/>
      </w:pPr>
      <w:r w:rsidRPr="00024916">
        <w:t>Patienter med nedsatt leverfunktion före behandling, inklusive kronisk aktiv hepatit, har en ökad frekvens av leverfunktionsavvikelser under antiretroviral kombinationsterapi och ska kontrolleras enligt klinisk praxis. Om det hos dessa patienter finns tecken på försämring av leversjukdomen, ska uppehåll eller avbrytande av behandlingen övervägas.</w:t>
      </w:r>
    </w:p>
    <w:p w14:paraId="6E5F4D5F" w14:textId="77777777" w:rsidR="00B13606" w:rsidRPr="00024916" w:rsidRDefault="00B13606" w:rsidP="00A52061">
      <w:pPr>
        <w:pStyle w:val="Brdtext"/>
        <w:spacing w:before="10"/>
      </w:pPr>
    </w:p>
    <w:p w14:paraId="59281E2F" w14:textId="77777777" w:rsidR="00FB0FAD" w:rsidRPr="00024916" w:rsidRDefault="00B13606" w:rsidP="00A52061">
      <w:pPr>
        <w:pStyle w:val="Brdtext"/>
        <w:rPr>
          <w:u w:val="single"/>
        </w:rPr>
      </w:pPr>
      <w:r w:rsidRPr="00024916">
        <w:rPr>
          <w:u w:val="single"/>
        </w:rPr>
        <w:t>Patienter med samtidig infektion med kronisk hepatit</w:t>
      </w:r>
      <w:r w:rsidR="00FB0FAD" w:rsidRPr="00024916">
        <w:rPr>
          <w:u w:val="single"/>
        </w:rPr>
        <w:t> </w:t>
      </w:r>
      <w:r w:rsidRPr="00024916">
        <w:rPr>
          <w:u w:val="single"/>
        </w:rPr>
        <w:t>B eller C:</w:t>
      </w:r>
    </w:p>
    <w:p w14:paraId="731AE7D5" w14:textId="77777777" w:rsidR="00FB0FAD" w:rsidRPr="00024916" w:rsidRDefault="00FB0FAD" w:rsidP="00A52061">
      <w:pPr>
        <w:pStyle w:val="Brdtext"/>
        <w:rPr>
          <w:u w:val="single"/>
        </w:rPr>
      </w:pPr>
    </w:p>
    <w:p w14:paraId="6A3CD2C2" w14:textId="77777777" w:rsidR="00B13606" w:rsidRPr="00024916" w:rsidRDefault="00B13606" w:rsidP="00A52061">
      <w:pPr>
        <w:pStyle w:val="Brdtext"/>
      </w:pPr>
      <w:r w:rsidRPr="00024916">
        <w:t>Patienter med kronisk hepatit</w:t>
      </w:r>
      <w:r w:rsidR="00FB0FAD" w:rsidRPr="00024916">
        <w:t> </w:t>
      </w:r>
      <w:r w:rsidRPr="00024916">
        <w:t xml:space="preserve">B eller C som behandlas med antiretroviral kombinationsterapi löper en ökad risk för allvarliga leverbiverkningar inklusive sådana med dödlig utgång. Vid samtidig </w:t>
      </w:r>
      <w:r w:rsidR="00FB0FAD" w:rsidRPr="00024916">
        <w:t>antiviral behandling av hepatit </w:t>
      </w:r>
      <w:r w:rsidRPr="00024916">
        <w:t>B eller C, hänvisas också till aktuell produktinformation för dessa läkemedel.</w:t>
      </w:r>
    </w:p>
    <w:p w14:paraId="3A6E4A66" w14:textId="77777777" w:rsidR="00B13606" w:rsidRPr="00024916" w:rsidRDefault="00B13606" w:rsidP="00A52061">
      <w:pPr>
        <w:pStyle w:val="Brdtext"/>
        <w:spacing w:before="10"/>
      </w:pPr>
    </w:p>
    <w:p w14:paraId="3428F070" w14:textId="77777777" w:rsidR="00FB0FAD" w:rsidRPr="00024916" w:rsidRDefault="00B13606" w:rsidP="00A52061">
      <w:pPr>
        <w:pStyle w:val="Brdtext"/>
        <w:jc w:val="both"/>
        <w:rPr>
          <w:u w:val="single"/>
        </w:rPr>
      </w:pPr>
      <w:r w:rsidRPr="00024916">
        <w:rPr>
          <w:u w:val="single"/>
        </w:rPr>
        <w:t>Nedsatt njurfunktion:</w:t>
      </w:r>
    </w:p>
    <w:p w14:paraId="219CDA2C" w14:textId="77777777" w:rsidR="00FB0FAD" w:rsidRPr="00024916" w:rsidRDefault="00FB0FAD" w:rsidP="00A52061">
      <w:pPr>
        <w:pStyle w:val="Brdtext"/>
        <w:jc w:val="both"/>
        <w:rPr>
          <w:u w:val="single"/>
        </w:rPr>
      </w:pPr>
    </w:p>
    <w:p w14:paraId="196A8987" w14:textId="77777777" w:rsidR="00FB0FAD" w:rsidRPr="00024916" w:rsidRDefault="00B13606" w:rsidP="00A52061">
      <w:pPr>
        <w:pStyle w:val="Brdtext"/>
      </w:pPr>
      <w:r w:rsidRPr="00024916">
        <w:t>Aba</w:t>
      </w:r>
      <w:r w:rsidR="00526675" w:rsidRPr="00024916">
        <w:t>k</w:t>
      </w:r>
      <w:r w:rsidRPr="00024916">
        <w:t>avir ska inte ges till patienter med gravt nedsatt njurfunktion (se avsnitt</w:t>
      </w:r>
      <w:r w:rsidR="00FB0FAD" w:rsidRPr="00024916">
        <w:t> </w:t>
      </w:r>
      <w:r w:rsidRPr="00024916">
        <w:t xml:space="preserve">5.2). </w:t>
      </w:r>
    </w:p>
    <w:p w14:paraId="272AB4B8" w14:textId="77777777" w:rsidR="00FB0FAD" w:rsidRPr="00024916" w:rsidRDefault="00FB0FAD" w:rsidP="00A52061">
      <w:pPr>
        <w:pStyle w:val="Brdtext"/>
      </w:pPr>
    </w:p>
    <w:p w14:paraId="2C63C4EC" w14:textId="77777777" w:rsidR="00B13606" w:rsidRPr="00024916" w:rsidRDefault="00B13606" w:rsidP="00A52061">
      <w:pPr>
        <w:pStyle w:val="Brdtext"/>
      </w:pPr>
      <w:r w:rsidRPr="00024916">
        <w:rPr>
          <w:u w:val="single"/>
        </w:rPr>
        <w:t>Immunreaktiveringssyndrom:</w:t>
      </w:r>
    </w:p>
    <w:p w14:paraId="0A864F8E" w14:textId="77777777" w:rsidR="00FB0FAD" w:rsidRPr="00024916" w:rsidRDefault="00FB0FAD" w:rsidP="00A52061">
      <w:pPr>
        <w:pStyle w:val="Brdtext"/>
        <w:spacing w:before="1"/>
      </w:pPr>
    </w:p>
    <w:p w14:paraId="5DA6A871" w14:textId="77777777" w:rsidR="00B13606" w:rsidRPr="00024916" w:rsidRDefault="00B13606" w:rsidP="00A52061">
      <w:pPr>
        <w:pStyle w:val="Brdtext"/>
        <w:spacing w:before="1"/>
      </w:pPr>
      <w:r w:rsidRPr="00024916">
        <w:t>Hos hivinfekterade patienter med svår immunbrist vid tidpunkten för insättande av antiretroviral kombinationsterapi, kan en inflammatorisk reaktion på asymtomatiska eller kvarvarande opportunistiska patogener uppstå och orsaka allvarliga kliniska tillstånd eller förvärrande av symptom. Vanligtvis har sådana reaktioner observerats inom de första veckorna eller månaderna efter insättande</w:t>
      </w:r>
      <w:r w:rsidR="00FB0FAD" w:rsidRPr="00024916">
        <w:t xml:space="preserve"> </w:t>
      </w:r>
      <w:r w:rsidRPr="00024916">
        <w:t xml:space="preserve">av antiretroviral </w:t>
      </w:r>
      <w:r w:rsidRPr="00024916">
        <w:lastRenderedPageBreak/>
        <w:t xml:space="preserve">kombinationsterapi. Relevanta exempel är cytomegalovirusretinit, generella och/eller fokala mykobakteriella infektioner och </w:t>
      </w:r>
      <w:r w:rsidRPr="00024916">
        <w:rPr>
          <w:i/>
        </w:rPr>
        <w:t xml:space="preserve">Pneumocystis carinii </w:t>
      </w:r>
      <w:r w:rsidRPr="00024916">
        <w:t>pneumoni. Varje symptom på inflammation ska utredas och behandling påbörjas vid behov. Autoimmuna sjukdomar (såsom Graves sjukdom och autoimmun hepatit) har också rapporterats i samband med immunreaktivering; emellertid är den rapporterade tidpunkten för debut mer varierad och dessa händelser kan inträffa flera månader efter att behandlingen påbörjats.</w:t>
      </w:r>
    </w:p>
    <w:p w14:paraId="5D98D72F" w14:textId="77777777" w:rsidR="00B13606" w:rsidRPr="00024916" w:rsidRDefault="00B13606" w:rsidP="00A52061">
      <w:pPr>
        <w:pStyle w:val="Brdtext"/>
      </w:pPr>
    </w:p>
    <w:p w14:paraId="4B8401A3" w14:textId="77777777" w:rsidR="00FB0FAD" w:rsidRPr="00024916" w:rsidRDefault="00B13606" w:rsidP="00A52061">
      <w:pPr>
        <w:pStyle w:val="Brdtext"/>
        <w:rPr>
          <w:u w:val="single"/>
        </w:rPr>
      </w:pPr>
      <w:r w:rsidRPr="00024916">
        <w:rPr>
          <w:u w:val="single"/>
        </w:rPr>
        <w:t>Osteonekros:</w:t>
      </w:r>
    </w:p>
    <w:p w14:paraId="223FA2B5" w14:textId="77777777" w:rsidR="00FB0FAD" w:rsidRPr="00024916" w:rsidRDefault="00FB0FAD" w:rsidP="00A52061">
      <w:pPr>
        <w:pStyle w:val="Brdtext"/>
        <w:rPr>
          <w:u w:val="single"/>
        </w:rPr>
      </w:pPr>
    </w:p>
    <w:p w14:paraId="7E51C115" w14:textId="77777777" w:rsidR="00B13606" w:rsidRPr="00024916" w:rsidRDefault="00B13606" w:rsidP="00A52061">
      <w:pPr>
        <w:pStyle w:val="Brdtext"/>
      </w:pPr>
      <w:r w:rsidRPr="00024916">
        <w:t>Även om etiologin anses vara beroende av flera faktorer (inklusive kortikosteroid-användning, alkoholkonsumtion, svår immunsuppression, högre kroppsmasseindex), så har fall av osteonekros rapporteras, främst hos patienter med framskriden hivsjukdom och/eller långvarig exponering för CART. Patienter ska rådas att söka läkare ifall de får ledvärk, stelhet i lederna eller svårighet att röra sig.</w:t>
      </w:r>
    </w:p>
    <w:p w14:paraId="21693FD6" w14:textId="77777777" w:rsidR="00B13606" w:rsidRPr="00024916" w:rsidRDefault="00B13606" w:rsidP="00A52061">
      <w:pPr>
        <w:pStyle w:val="Brdtext"/>
        <w:spacing w:before="1"/>
      </w:pPr>
    </w:p>
    <w:p w14:paraId="5DC2BC4C" w14:textId="77777777" w:rsidR="00FB0FAD" w:rsidRPr="00024916" w:rsidRDefault="00B13606" w:rsidP="00A52061">
      <w:pPr>
        <w:pStyle w:val="Brdtext"/>
        <w:rPr>
          <w:u w:val="single"/>
        </w:rPr>
      </w:pPr>
      <w:r w:rsidRPr="00024916">
        <w:rPr>
          <w:u w:val="single"/>
        </w:rPr>
        <w:t>Opportunistiska infektioner:</w:t>
      </w:r>
    </w:p>
    <w:p w14:paraId="12BE9B5C" w14:textId="77777777" w:rsidR="00526675" w:rsidRPr="00024916" w:rsidRDefault="00526675" w:rsidP="00A52061">
      <w:pPr>
        <w:pStyle w:val="Brdtext"/>
      </w:pPr>
    </w:p>
    <w:p w14:paraId="355AD38B" w14:textId="77777777" w:rsidR="00B13606" w:rsidRPr="00024916" w:rsidRDefault="00B13606" w:rsidP="00A52061">
      <w:pPr>
        <w:pStyle w:val="Brdtext"/>
      </w:pPr>
      <w:r w:rsidRPr="00024916">
        <w:t xml:space="preserve">Patienter som erhåller </w:t>
      </w:r>
      <w:r w:rsidR="00526675" w:rsidRPr="00024916">
        <w:t>abak</w:t>
      </w:r>
      <w:r w:rsidRPr="00024916">
        <w:t>avir eller annan antiretroviral behandling kan trots behandlingen fortsätta att utveckla opportunistiska infektioner eller andra komplikationer till hivinfektionen. Det kliniska förloppet ska därför noggrant kontrolleras av läkare med erfarenhet av att behandla dessa infektioner och komplikationer.</w:t>
      </w:r>
    </w:p>
    <w:p w14:paraId="78723B08" w14:textId="77777777" w:rsidR="00B13606" w:rsidRPr="00024916" w:rsidRDefault="00B13606" w:rsidP="00A52061">
      <w:pPr>
        <w:pStyle w:val="Brdtext"/>
      </w:pPr>
    </w:p>
    <w:p w14:paraId="514FA34F" w14:textId="77777777" w:rsidR="00FB0FAD" w:rsidRPr="00024916" w:rsidRDefault="00B13606" w:rsidP="00A52061">
      <w:pPr>
        <w:pStyle w:val="Brdtext"/>
        <w:rPr>
          <w:u w:val="single"/>
        </w:rPr>
      </w:pPr>
      <w:r w:rsidRPr="00024916">
        <w:rPr>
          <w:u w:val="single"/>
        </w:rPr>
        <w:t>Överföring av hiv:</w:t>
      </w:r>
    </w:p>
    <w:p w14:paraId="7738DBD9" w14:textId="77777777" w:rsidR="00FB0FAD" w:rsidRPr="00024916" w:rsidRDefault="00FB0FAD" w:rsidP="00A52061">
      <w:pPr>
        <w:pStyle w:val="Brdtext"/>
      </w:pPr>
    </w:p>
    <w:p w14:paraId="5B56FEFA" w14:textId="77777777" w:rsidR="00B13606" w:rsidRPr="00024916" w:rsidRDefault="00B13606" w:rsidP="00A52061">
      <w:pPr>
        <w:pStyle w:val="Brdtext"/>
      </w:pPr>
      <w:r w:rsidRPr="00024916">
        <w:t>En effektiv viral suppression med antiretroviral behandling har visat sig minska risken för sexuellt överförd smitta betydligt, men en kvarstående risk kan inte uteslutas. Försiktighetsåtgärder för att förhindra överföring ska vidtas i enlighet med nationella riktlinjer.</w:t>
      </w:r>
    </w:p>
    <w:p w14:paraId="3380B36F" w14:textId="77777777" w:rsidR="00B13606" w:rsidRPr="00024916" w:rsidRDefault="00B13606" w:rsidP="00A52061">
      <w:pPr>
        <w:pStyle w:val="Brdtext"/>
      </w:pPr>
    </w:p>
    <w:p w14:paraId="6B707167" w14:textId="77777777" w:rsidR="00FB0FAD" w:rsidRPr="00024916" w:rsidRDefault="00B13606" w:rsidP="00A52061">
      <w:pPr>
        <w:pStyle w:val="Brdtext"/>
        <w:rPr>
          <w:u w:val="single"/>
        </w:rPr>
      </w:pPr>
      <w:r w:rsidRPr="00024916">
        <w:rPr>
          <w:u w:val="single"/>
        </w:rPr>
        <w:t>Hjärtinfarkt:</w:t>
      </w:r>
    </w:p>
    <w:p w14:paraId="53BB7294" w14:textId="77777777" w:rsidR="00FB0FAD" w:rsidRPr="00024916" w:rsidRDefault="00FB0FAD" w:rsidP="00A52061">
      <w:pPr>
        <w:pStyle w:val="Brdtext"/>
        <w:rPr>
          <w:u w:val="single"/>
        </w:rPr>
      </w:pPr>
    </w:p>
    <w:p w14:paraId="592782D6" w14:textId="77777777" w:rsidR="00B13606" w:rsidRPr="00024916" w:rsidRDefault="00B13606" w:rsidP="00A52061">
      <w:pPr>
        <w:pStyle w:val="Brdtext"/>
      </w:pPr>
      <w:r w:rsidRPr="00024916">
        <w:t xml:space="preserve">Observationsstudier har visat på ett samband mellan hjärtinfarkt och användningen av abakavir. Det var övervägande patienter som tidigare erhållit antiretroviral behandling som studerades. Data från kliniska studier visade ett begränsat antal fall av hjärtinfarkt och kunde inte utesluta en liten riskökning. Sammantaget visar tillgängliga data från observationskohorter och randomiserade studier bristande överensstämmelse, så ett kausalt samband mellan abakavirbehandling och risken för hjärtinfarkt kan varken bekräftas eller motbevisas. I dagsläget finns det inte någon vedertagen biologisk mekanism som kan förklara en potentiell riskökning. Vid förskrivning av </w:t>
      </w:r>
      <w:r w:rsidR="00526675" w:rsidRPr="00024916">
        <w:t>abak</w:t>
      </w:r>
      <w:r w:rsidRPr="00024916">
        <w:t>avir ska åtgärder vidtas för att försöka minimera alla påverkbara riskfaktorer (t</w:t>
      </w:r>
      <w:r w:rsidR="00FB0FAD" w:rsidRPr="00024916">
        <w:t>.</w:t>
      </w:r>
      <w:r w:rsidRPr="00024916">
        <w:t>ex</w:t>
      </w:r>
      <w:r w:rsidR="00FB0FAD" w:rsidRPr="00024916">
        <w:t>.</w:t>
      </w:r>
      <w:r w:rsidRPr="00024916">
        <w:t xml:space="preserve"> rökning, hypertension och hyperlipidemi).</w:t>
      </w:r>
    </w:p>
    <w:p w14:paraId="5BD33B3C" w14:textId="77777777" w:rsidR="00B13606" w:rsidRPr="00024916" w:rsidRDefault="00B13606" w:rsidP="00A52061">
      <w:pPr>
        <w:pStyle w:val="Brdtext"/>
        <w:spacing w:before="11"/>
      </w:pPr>
    </w:p>
    <w:p w14:paraId="5194516D" w14:textId="77777777" w:rsidR="00B13606" w:rsidRPr="00024916" w:rsidRDefault="00B13606" w:rsidP="00A52061">
      <w:pPr>
        <w:pStyle w:val="Rubrik1"/>
        <w:keepNext w:val="0"/>
        <w:keepLines w:val="0"/>
        <w:numPr>
          <w:ilvl w:val="1"/>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Interaktioner med andra läkemedel och övriga</w:t>
      </w:r>
      <w:r w:rsidRPr="00024916">
        <w:rPr>
          <w:rFonts w:ascii="Times New Roman" w:hAnsi="Times New Roman" w:cs="Times New Roman"/>
          <w:color w:val="auto"/>
          <w:spacing w:val="-14"/>
          <w:sz w:val="22"/>
          <w:szCs w:val="22"/>
        </w:rPr>
        <w:t xml:space="preserve"> </w:t>
      </w:r>
      <w:r w:rsidRPr="00024916">
        <w:rPr>
          <w:rFonts w:ascii="Times New Roman" w:hAnsi="Times New Roman" w:cs="Times New Roman"/>
          <w:color w:val="auto"/>
          <w:sz w:val="22"/>
          <w:szCs w:val="22"/>
        </w:rPr>
        <w:t>interaktioner</w:t>
      </w:r>
    </w:p>
    <w:p w14:paraId="42049A44" w14:textId="77777777" w:rsidR="00B13606" w:rsidRPr="00024916" w:rsidRDefault="00B13606" w:rsidP="00A52061">
      <w:pPr>
        <w:pStyle w:val="Brdtext"/>
        <w:rPr>
          <w:b/>
        </w:rPr>
      </w:pPr>
    </w:p>
    <w:p w14:paraId="459EEA1C" w14:textId="77777777" w:rsidR="00B13606" w:rsidRPr="00024916" w:rsidRDefault="00B13606" w:rsidP="00A52061">
      <w:pPr>
        <w:pStyle w:val="Brdtext"/>
      </w:pPr>
      <w:r w:rsidRPr="00024916">
        <w:t xml:space="preserve">Baserat på resultat från </w:t>
      </w:r>
      <w:r w:rsidRPr="00024916">
        <w:rPr>
          <w:i/>
        </w:rPr>
        <w:t>in</w:t>
      </w:r>
      <w:r w:rsidR="00FB0FAD" w:rsidRPr="00024916">
        <w:rPr>
          <w:i/>
        </w:rPr>
        <w:t> </w:t>
      </w:r>
      <w:r w:rsidRPr="00024916">
        <w:rPr>
          <w:i/>
        </w:rPr>
        <w:t>vitro</w:t>
      </w:r>
      <w:r w:rsidR="00FB0FAD" w:rsidRPr="00024916">
        <w:rPr>
          <w:i/>
        </w:rPr>
        <w:noBreakHyphen/>
      </w:r>
      <w:r w:rsidRPr="00024916">
        <w:t>försök och med kännedom om abakavirs huvudsakliga metabolismvägar, är risken låg för cytokrom P450</w:t>
      </w:r>
      <w:r w:rsidR="00FB0FAD" w:rsidRPr="00024916">
        <w:noBreakHyphen/>
      </w:r>
      <w:r w:rsidRPr="00024916">
        <w:t xml:space="preserve">medierade interaktioner med andra läkemedel. P450 utgör inte någon viktig väg för metabolismen av abakavir och abakavir hämmar inte metabolismen via CYP3A4. Dessutom har det visats att abakavir </w:t>
      </w:r>
      <w:r w:rsidRPr="00024916">
        <w:rPr>
          <w:i/>
        </w:rPr>
        <w:t xml:space="preserve">in vitro </w:t>
      </w:r>
      <w:r w:rsidRPr="00024916">
        <w:t>inte hämmar CYP3A4, CYP2C9 eller CYP2D6 enzymer vid kliniskt relevanta koncentrationer. Induktion av levermetabolism har inte observerats i kliniska studier. Det är därför liten risk för interaktioner med antiretrovirala PIs och med andra läkemedel som metaboliseras via de mera betydelsefulla P450 enzymerna. Kliniska studier har visat att det inte finns några kliniskt betydelsefulla interaktioner mellan abakavir, zidovudin och</w:t>
      </w:r>
      <w:r w:rsidRPr="00024916">
        <w:rPr>
          <w:spacing w:val="-1"/>
        </w:rPr>
        <w:t xml:space="preserve"> </w:t>
      </w:r>
      <w:r w:rsidRPr="00024916">
        <w:t>lamivudin.</w:t>
      </w:r>
    </w:p>
    <w:p w14:paraId="7C8811FB" w14:textId="77777777" w:rsidR="00B13606" w:rsidRPr="00024916" w:rsidRDefault="00B13606" w:rsidP="00A52061">
      <w:pPr>
        <w:pStyle w:val="Brdtext"/>
        <w:spacing w:before="11"/>
      </w:pPr>
    </w:p>
    <w:p w14:paraId="0B26B3E9" w14:textId="77777777" w:rsidR="00B13606" w:rsidRPr="00024916" w:rsidRDefault="00B13606" w:rsidP="00A52061">
      <w:pPr>
        <w:pStyle w:val="Brdtext"/>
      </w:pPr>
      <w:r w:rsidRPr="00024916">
        <w:t>Potenta enzyminducerare som rifampicin, fenobarbital och fenytoin kan via effekt på UDP- glucuronyltransferas minska plasmakoncentrationerna av abakavir något.</w:t>
      </w:r>
    </w:p>
    <w:p w14:paraId="66D0B082" w14:textId="77777777" w:rsidR="00B13606" w:rsidRPr="00024916" w:rsidRDefault="00B13606" w:rsidP="00A52061">
      <w:pPr>
        <w:sectPr w:rsidR="00B13606" w:rsidRPr="00024916">
          <w:footerReference w:type="default" r:id="rId7"/>
          <w:pgSz w:w="11910" w:h="16840"/>
          <w:pgMar w:top="1040" w:right="1200" w:bottom="1160" w:left="1200" w:header="0" w:footer="970" w:gutter="0"/>
          <w:cols w:space="720"/>
        </w:sectPr>
      </w:pPr>
    </w:p>
    <w:p w14:paraId="6F105446" w14:textId="77777777" w:rsidR="00B13606" w:rsidRPr="00024916" w:rsidRDefault="00B13606" w:rsidP="00A52061">
      <w:pPr>
        <w:pStyle w:val="Brdtext"/>
        <w:spacing w:before="73"/>
        <w:jc w:val="both"/>
      </w:pPr>
      <w:r w:rsidRPr="00024916">
        <w:rPr>
          <w:i/>
        </w:rPr>
        <w:lastRenderedPageBreak/>
        <w:t xml:space="preserve">Etanol: </w:t>
      </w:r>
      <w:r w:rsidRPr="00024916">
        <w:t>Abakavirs metabolism påverkas av samtidigt intaget etanol med en ökning av AUC på ca 41</w:t>
      </w:r>
      <w:r w:rsidR="00FB0FAD" w:rsidRPr="00024916">
        <w:t> </w:t>
      </w:r>
      <w:r w:rsidRPr="00024916">
        <w:t>%. Dessa fynd bedöms ej kliniskt betydelsefulla vid en totalbedömning. Abakavir påverkar inte metabolismen av etanol.</w:t>
      </w:r>
    </w:p>
    <w:p w14:paraId="607DF498" w14:textId="77777777" w:rsidR="00B13606" w:rsidRPr="00024916" w:rsidRDefault="00B13606" w:rsidP="00A52061">
      <w:pPr>
        <w:pStyle w:val="Brdtext"/>
      </w:pPr>
    </w:p>
    <w:p w14:paraId="5B1D4C1A" w14:textId="77777777" w:rsidR="00B13606" w:rsidRPr="00024916" w:rsidRDefault="00B13606" w:rsidP="00A52061">
      <w:pPr>
        <w:pStyle w:val="Brdtext"/>
      </w:pPr>
      <w:r w:rsidRPr="00024916">
        <w:rPr>
          <w:i/>
        </w:rPr>
        <w:t xml:space="preserve">Metadon: </w:t>
      </w:r>
      <w:r w:rsidRPr="00024916">
        <w:t>I en farmakokinetikstudie där metadon gavs tillsammans med abakavir i dosen 600</w:t>
      </w:r>
      <w:r w:rsidR="00FB0FAD" w:rsidRPr="00024916">
        <w:t> </w:t>
      </w:r>
      <w:r w:rsidRPr="00024916">
        <w:t xml:space="preserve">mg två </w:t>
      </w:r>
      <w:r w:rsidRPr="00024916">
        <w:rPr>
          <w:position w:val="2"/>
        </w:rPr>
        <w:t>gånger dagligen, visades en 35</w:t>
      </w:r>
      <w:r w:rsidR="00FB0FAD" w:rsidRPr="00024916">
        <w:rPr>
          <w:position w:val="2"/>
        </w:rPr>
        <w:t> </w:t>
      </w:r>
      <w:r w:rsidRPr="00024916">
        <w:rPr>
          <w:position w:val="2"/>
        </w:rPr>
        <w:t>%</w:t>
      </w:r>
      <w:r w:rsidR="00FB0FAD" w:rsidRPr="00024916">
        <w:rPr>
          <w:position w:val="2"/>
        </w:rPr>
        <w:noBreakHyphen/>
      </w:r>
      <w:r w:rsidRPr="00024916">
        <w:rPr>
          <w:position w:val="2"/>
        </w:rPr>
        <w:t>ig minskning av abakavir C</w:t>
      </w:r>
      <w:r w:rsidRPr="00024916">
        <w:t xml:space="preserve">max </w:t>
      </w:r>
      <w:r w:rsidRPr="00024916">
        <w:rPr>
          <w:position w:val="2"/>
        </w:rPr>
        <w:t>samt en timmes fördröjning av t</w:t>
      </w:r>
      <w:r w:rsidRPr="00024916">
        <w:t>max men AUC var oförändrat. De farmakokinetiska förändringarna som noterades för abakavir bedömdes inte kliniskt betydelsefulla. I denna studie ökade abakavir metadons systemiska clearance med 22</w:t>
      </w:r>
      <w:r w:rsidR="00FB0FAD" w:rsidRPr="00024916">
        <w:t> </w:t>
      </w:r>
      <w:r w:rsidRPr="00024916">
        <w:t>%. Induktion av enzymer som metaboliserar läkemedel kan därför inte uteslutas. Patienter som samtidigt behandlas med metadon och abakavir bör därför följas med avseende på tecken som tyder på abstinenssymtom vilka indikerar en underbehandling och i enstaka fall kan kräva en dosjustering av metadon.</w:t>
      </w:r>
    </w:p>
    <w:p w14:paraId="0DFD55F8" w14:textId="77777777" w:rsidR="00B13606" w:rsidRPr="00024916" w:rsidRDefault="00B13606" w:rsidP="00A52061">
      <w:pPr>
        <w:pStyle w:val="Brdtext"/>
        <w:spacing w:before="10"/>
      </w:pPr>
    </w:p>
    <w:p w14:paraId="4AD7BA60" w14:textId="77777777" w:rsidR="00B13606" w:rsidRPr="00024916" w:rsidRDefault="00B13606" w:rsidP="00A52061">
      <w:pPr>
        <w:pStyle w:val="Brdtext"/>
      </w:pPr>
      <w:r w:rsidRPr="00024916">
        <w:rPr>
          <w:i/>
        </w:rPr>
        <w:t xml:space="preserve">Retinoider: </w:t>
      </w:r>
      <w:r w:rsidRPr="00024916">
        <w:t>Retinoidderivat elimineras via alkoholdehydrogenas. Interaktion med abakavir är möjlig men har ännu inte studerats.</w:t>
      </w:r>
    </w:p>
    <w:p w14:paraId="5115BFF4" w14:textId="77777777" w:rsidR="00B13606" w:rsidRPr="00024916" w:rsidRDefault="00B13606" w:rsidP="00A52061">
      <w:pPr>
        <w:pStyle w:val="Brdtext"/>
        <w:spacing w:before="10"/>
      </w:pPr>
    </w:p>
    <w:p w14:paraId="4A71CDA1" w14:textId="77777777" w:rsidR="00B13606" w:rsidRPr="00024916" w:rsidRDefault="00B13606" w:rsidP="00A52061">
      <w:pPr>
        <w:pStyle w:val="Rubrik1"/>
        <w:keepNext w:val="0"/>
        <w:keepLines w:val="0"/>
        <w:numPr>
          <w:ilvl w:val="1"/>
          <w:numId w:val="5"/>
        </w:numPr>
        <w:tabs>
          <w:tab w:val="left" w:pos="567"/>
        </w:tabs>
        <w:spacing w:before="1"/>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Fertilitet, graviditet och</w:t>
      </w:r>
      <w:r w:rsidRPr="00024916">
        <w:rPr>
          <w:rFonts w:ascii="Times New Roman" w:hAnsi="Times New Roman" w:cs="Times New Roman"/>
          <w:color w:val="auto"/>
          <w:spacing w:val="-1"/>
          <w:sz w:val="22"/>
          <w:szCs w:val="22"/>
        </w:rPr>
        <w:t xml:space="preserve"> </w:t>
      </w:r>
      <w:r w:rsidRPr="00024916">
        <w:rPr>
          <w:rFonts w:ascii="Times New Roman" w:hAnsi="Times New Roman" w:cs="Times New Roman"/>
          <w:color w:val="auto"/>
          <w:sz w:val="22"/>
          <w:szCs w:val="22"/>
        </w:rPr>
        <w:t>amning</w:t>
      </w:r>
    </w:p>
    <w:p w14:paraId="0AEA791A" w14:textId="77777777" w:rsidR="00B13606" w:rsidRPr="00024916" w:rsidRDefault="00B13606" w:rsidP="00A52061">
      <w:pPr>
        <w:pStyle w:val="Brdtext"/>
        <w:rPr>
          <w:b/>
        </w:rPr>
      </w:pPr>
    </w:p>
    <w:p w14:paraId="6034853A" w14:textId="77777777" w:rsidR="00B13606" w:rsidRPr="00024916" w:rsidRDefault="00B13606" w:rsidP="00A52061">
      <w:pPr>
        <w:pStyle w:val="Brdtext"/>
        <w:rPr>
          <w:u w:val="single"/>
        </w:rPr>
      </w:pPr>
      <w:r w:rsidRPr="00024916">
        <w:rPr>
          <w:u w:val="single"/>
        </w:rPr>
        <w:t>Graviditet</w:t>
      </w:r>
    </w:p>
    <w:p w14:paraId="59E7F768" w14:textId="77777777" w:rsidR="00FB0FAD" w:rsidRPr="00024916" w:rsidRDefault="00FB0FAD" w:rsidP="00A52061">
      <w:pPr>
        <w:pStyle w:val="Brdtext"/>
      </w:pPr>
    </w:p>
    <w:p w14:paraId="330B3BDB" w14:textId="77777777" w:rsidR="00B13606" w:rsidRPr="00024916" w:rsidRDefault="00B13606" w:rsidP="00A52061">
      <w:pPr>
        <w:pStyle w:val="Brdtext"/>
      </w:pPr>
      <w:r w:rsidRPr="00024916">
        <w:t>Som en generell regel, vid beslut att använda antiretrovirala läkemedel för att behandla hivinfektion hos gravida kvinnor och följaktligen för att minska risken för vertikal överföring av hiv till det nyfödda barnet, ska både djurdata såväl som klinisk erfarenhet hos gravida kvinnor tas i beaktning.</w:t>
      </w:r>
    </w:p>
    <w:p w14:paraId="510409B0" w14:textId="77777777" w:rsidR="00B13606" w:rsidRPr="00024916" w:rsidRDefault="00B13606" w:rsidP="00A52061">
      <w:pPr>
        <w:pStyle w:val="Brdtext"/>
      </w:pPr>
    </w:p>
    <w:p w14:paraId="22F48991" w14:textId="77777777" w:rsidR="00B13606" w:rsidRPr="00024916" w:rsidRDefault="00B13606" w:rsidP="00A52061">
      <w:pPr>
        <w:pStyle w:val="Brdtext"/>
      </w:pPr>
      <w:r w:rsidRPr="00024916">
        <w:t>Djurstudier har visat toxicitet för växande embryo och foster hos råtta men inte hos kanin (se avsnitt</w:t>
      </w:r>
      <w:r w:rsidR="00FB0FAD" w:rsidRPr="00024916">
        <w:t> </w:t>
      </w:r>
      <w:r w:rsidRPr="00024916">
        <w:t>5.3). Abakavir har visats vara karcinogen i djurmodeller (se avsnitt</w:t>
      </w:r>
      <w:r w:rsidR="00FB0FAD" w:rsidRPr="00024916">
        <w:t> </w:t>
      </w:r>
      <w:r w:rsidRPr="00024916">
        <w:t>5.3). Den kliniska relevansen av dessa data för människor är okänd.</w:t>
      </w:r>
    </w:p>
    <w:p w14:paraId="1A4E5758" w14:textId="77777777" w:rsidR="00B13606" w:rsidRPr="00024916" w:rsidRDefault="00B13606" w:rsidP="00A52061">
      <w:pPr>
        <w:pStyle w:val="Brdtext"/>
        <w:spacing w:before="1"/>
      </w:pPr>
    </w:p>
    <w:p w14:paraId="4A799260" w14:textId="77777777" w:rsidR="00B13606" w:rsidRPr="00024916" w:rsidRDefault="00B13606" w:rsidP="00A52061">
      <w:pPr>
        <w:pStyle w:val="Brdtext"/>
      </w:pPr>
      <w:r w:rsidRPr="00024916">
        <w:t>Hos gravida kvinnor tyder mer än 800</w:t>
      </w:r>
      <w:r w:rsidR="00FB0FAD" w:rsidRPr="00024916">
        <w:t> </w:t>
      </w:r>
      <w:r w:rsidRPr="00024916">
        <w:t>fall av exponering efter första trimestern och mer än 1</w:t>
      </w:r>
      <w:r w:rsidR="00FB0FAD" w:rsidRPr="00024916">
        <w:t> </w:t>
      </w:r>
      <w:r w:rsidRPr="00024916">
        <w:t>000</w:t>
      </w:r>
      <w:r w:rsidR="00FB0FAD" w:rsidRPr="00024916">
        <w:t> </w:t>
      </w:r>
      <w:r w:rsidRPr="00024916">
        <w:t>fall av exponering efter andra och tredje trimestern inte på missbildningar eller fetal/neonatal påverkan av abakavir. Risken för missbildning är osannolik hos människa baserat på dessa data.</w:t>
      </w:r>
    </w:p>
    <w:p w14:paraId="34F14AB0" w14:textId="77777777" w:rsidR="00B13606" w:rsidRPr="00024916" w:rsidRDefault="00B13606" w:rsidP="00A52061">
      <w:pPr>
        <w:pStyle w:val="Brdtext"/>
        <w:spacing w:before="10"/>
      </w:pPr>
    </w:p>
    <w:p w14:paraId="27CB054D" w14:textId="77777777" w:rsidR="00B13606" w:rsidRPr="00024916" w:rsidRDefault="00B13606" w:rsidP="00A52061">
      <w:pPr>
        <w:rPr>
          <w:i/>
        </w:rPr>
      </w:pPr>
      <w:r w:rsidRPr="00024916">
        <w:rPr>
          <w:i/>
        </w:rPr>
        <w:t>Mitokondriell dysfunktion</w:t>
      </w:r>
    </w:p>
    <w:p w14:paraId="329719C4" w14:textId="77777777" w:rsidR="00B13606" w:rsidRPr="00024916" w:rsidRDefault="00B13606" w:rsidP="00A52061">
      <w:pPr>
        <w:pStyle w:val="Brdtext"/>
        <w:spacing w:before="1"/>
      </w:pPr>
      <w:r w:rsidRPr="00024916">
        <w:t>Nukleosid och nukleotidanaloger har visat sig orsaka varierande grad av mitokondriell skada in vitro och in vivo. Det har rapporterats om mitokondriell dysfunktion hos hivnegativa spädbarn vilka exponerats för nukleosidanaloger in utero o</w:t>
      </w:r>
      <w:r w:rsidR="00FB0FAD" w:rsidRPr="00024916">
        <w:t>ch/eller postnatalt (se avsnitt </w:t>
      </w:r>
      <w:r w:rsidRPr="00024916">
        <w:t>4.4).</w:t>
      </w:r>
    </w:p>
    <w:p w14:paraId="69C42FEB" w14:textId="77777777" w:rsidR="00B13606" w:rsidRPr="00024916" w:rsidRDefault="00B13606" w:rsidP="00A52061">
      <w:pPr>
        <w:pStyle w:val="Brdtext"/>
        <w:spacing w:before="10"/>
      </w:pPr>
    </w:p>
    <w:p w14:paraId="266F41A9" w14:textId="77777777" w:rsidR="00B13606" w:rsidRPr="00024916" w:rsidRDefault="00B13606" w:rsidP="00A52061">
      <w:pPr>
        <w:pStyle w:val="Brdtext"/>
        <w:rPr>
          <w:u w:val="single"/>
        </w:rPr>
      </w:pPr>
      <w:r w:rsidRPr="00024916">
        <w:rPr>
          <w:u w:val="single"/>
        </w:rPr>
        <w:t>Amning</w:t>
      </w:r>
    </w:p>
    <w:p w14:paraId="1536AA78" w14:textId="77777777" w:rsidR="00FB0FAD" w:rsidRPr="00024916" w:rsidRDefault="00FB0FAD" w:rsidP="00A52061">
      <w:pPr>
        <w:pStyle w:val="Brdtext"/>
      </w:pPr>
    </w:p>
    <w:p w14:paraId="6D36684D" w14:textId="77777777" w:rsidR="00B13606" w:rsidRPr="00024916" w:rsidRDefault="00B13606" w:rsidP="00A52061">
      <w:pPr>
        <w:pStyle w:val="Brdtext"/>
        <w:spacing w:before="2"/>
      </w:pPr>
      <w:r w:rsidRPr="00024916">
        <w:t>Abakavir och dess metaboliter utsöndras i mjölken hos lakterande råttor. Abakavir utsöndras även i bröstmjölk hos människor. Uppgifter saknas vad beträffar abakavirs säkerhet när det ges till spädbarn yngre än 3 månader. Det rekommenderas att hivinfekterade mödrar inte under några omständigheter ammar sina spädbarn, detta för att undvika överföring av hivsmitta.</w:t>
      </w:r>
    </w:p>
    <w:p w14:paraId="5B4C4057" w14:textId="77777777" w:rsidR="00B13606" w:rsidRPr="00024916" w:rsidRDefault="00B13606" w:rsidP="00A52061">
      <w:pPr>
        <w:pStyle w:val="Brdtext"/>
      </w:pPr>
    </w:p>
    <w:p w14:paraId="174D38E0" w14:textId="77777777" w:rsidR="00B13606" w:rsidRPr="00024916" w:rsidRDefault="00B13606" w:rsidP="00A52061">
      <w:pPr>
        <w:pStyle w:val="Brdtext"/>
      </w:pPr>
      <w:r w:rsidRPr="00024916">
        <w:rPr>
          <w:u w:val="single"/>
        </w:rPr>
        <w:t>Fertilitet</w:t>
      </w:r>
    </w:p>
    <w:p w14:paraId="088BB91A" w14:textId="77777777" w:rsidR="00B13606" w:rsidRPr="00024916" w:rsidRDefault="00B13606" w:rsidP="00A52061">
      <w:pPr>
        <w:pStyle w:val="Brdtext"/>
      </w:pPr>
      <w:r w:rsidRPr="00024916">
        <w:t>Djurstudier visade att abakavir inte hade någon påverkan på fertilitet (se avsnitt</w:t>
      </w:r>
      <w:r w:rsidR="00FB0FAD" w:rsidRPr="00024916">
        <w:rPr>
          <w:spacing w:val="-29"/>
        </w:rPr>
        <w:t> </w:t>
      </w:r>
      <w:r w:rsidRPr="00024916">
        <w:t>5.3).</w:t>
      </w:r>
    </w:p>
    <w:p w14:paraId="7348D81C" w14:textId="77777777" w:rsidR="00B13606" w:rsidRPr="00024916" w:rsidRDefault="00B13606" w:rsidP="00A52061">
      <w:pPr>
        <w:pStyle w:val="Brdtext"/>
      </w:pPr>
    </w:p>
    <w:p w14:paraId="4C9796D1" w14:textId="77777777" w:rsidR="00B13606" w:rsidRPr="00024916" w:rsidRDefault="00B13606" w:rsidP="00A52061">
      <w:pPr>
        <w:pStyle w:val="Rubrik1"/>
        <w:keepNext w:val="0"/>
        <w:keepLines w:val="0"/>
        <w:numPr>
          <w:ilvl w:val="1"/>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Effekter på förmågan att framföra fordon och använda</w:t>
      </w:r>
      <w:r w:rsidRPr="00024916">
        <w:rPr>
          <w:rFonts w:ascii="Times New Roman" w:hAnsi="Times New Roman" w:cs="Times New Roman"/>
          <w:color w:val="auto"/>
          <w:spacing w:val="-23"/>
          <w:sz w:val="22"/>
          <w:szCs w:val="22"/>
        </w:rPr>
        <w:t xml:space="preserve"> </w:t>
      </w:r>
      <w:r w:rsidRPr="00024916">
        <w:rPr>
          <w:rFonts w:ascii="Times New Roman" w:hAnsi="Times New Roman" w:cs="Times New Roman"/>
          <w:color w:val="auto"/>
          <w:sz w:val="22"/>
          <w:szCs w:val="22"/>
        </w:rPr>
        <w:t>maskiner</w:t>
      </w:r>
    </w:p>
    <w:p w14:paraId="6E81B873" w14:textId="77777777" w:rsidR="00B13606" w:rsidRPr="00024916" w:rsidRDefault="00B13606" w:rsidP="00A52061">
      <w:pPr>
        <w:pStyle w:val="Brdtext"/>
        <w:rPr>
          <w:b/>
        </w:rPr>
      </w:pPr>
    </w:p>
    <w:p w14:paraId="018DFC88" w14:textId="77777777" w:rsidR="00B13606" w:rsidRPr="00024916" w:rsidRDefault="00B13606" w:rsidP="00A52061">
      <w:pPr>
        <w:pStyle w:val="Brdtext"/>
        <w:spacing w:before="1"/>
        <w:jc w:val="both"/>
      </w:pPr>
      <w:r w:rsidRPr="00024916">
        <w:t>Inga studier har utförts.</w:t>
      </w:r>
    </w:p>
    <w:p w14:paraId="3F1D9E7C" w14:textId="77777777" w:rsidR="00B13606" w:rsidRPr="00024916" w:rsidRDefault="00B13606" w:rsidP="00A52061">
      <w:pPr>
        <w:pStyle w:val="Brdtext"/>
        <w:spacing w:before="9"/>
      </w:pPr>
    </w:p>
    <w:p w14:paraId="6E55D3E9" w14:textId="77777777" w:rsidR="00B13606" w:rsidRPr="00024916" w:rsidRDefault="00B13606" w:rsidP="00A52061">
      <w:pPr>
        <w:pStyle w:val="Rubrik1"/>
        <w:keepNext w:val="0"/>
        <w:keepLines w:val="0"/>
        <w:numPr>
          <w:ilvl w:val="1"/>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Biverkningar</w:t>
      </w:r>
    </w:p>
    <w:p w14:paraId="6DAF8748" w14:textId="77777777" w:rsidR="00B13606" w:rsidRPr="00024916" w:rsidRDefault="00B13606" w:rsidP="00A52061">
      <w:pPr>
        <w:pStyle w:val="Brdtext"/>
        <w:rPr>
          <w:b/>
        </w:rPr>
      </w:pPr>
    </w:p>
    <w:p w14:paraId="01E5B5E5" w14:textId="77777777" w:rsidR="00B13606" w:rsidRPr="00024916" w:rsidRDefault="00B13606" w:rsidP="00A52061">
      <w:pPr>
        <w:pStyle w:val="Brdtext"/>
      </w:pPr>
      <w:r w:rsidRPr="00024916">
        <w:t xml:space="preserve">För många rapporterade biverkningar kan det vara svårt att avgöra om de är relaterade till </w:t>
      </w:r>
      <w:r w:rsidR="00526675" w:rsidRPr="00024916">
        <w:t>abakavir</w:t>
      </w:r>
      <w:r w:rsidRPr="00024916">
        <w:t>, till det stora antalet läkemedel som används vid hivinfektion eller till själva sjukdomen.</w:t>
      </w:r>
    </w:p>
    <w:p w14:paraId="647FB27C" w14:textId="77777777" w:rsidR="00B13606" w:rsidRPr="00024916" w:rsidRDefault="00B13606" w:rsidP="00A52061">
      <w:pPr>
        <w:pStyle w:val="Brdtext"/>
        <w:spacing w:before="2"/>
      </w:pPr>
    </w:p>
    <w:p w14:paraId="11EF23E8" w14:textId="77777777" w:rsidR="00B13606" w:rsidRPr="00024916" w:rsidRDefault="00B13606" w:rsidP="00A52061">
      <w:pPr>
        <w:pStyle w:val="Brdtext"/>
      </w:pPr>
      <w:r w:rsidRPr="00024916">
        <w:t>Många av biverkningarna som redovisas nedan är vanligt förekommande (illamående, kräkningar, diarré, feber, letargi, utslag) hos patienter som är överkänsliga mot abakavir. Patienter med något av</w:t>
      </w:r>
    </w:p>
    <w:p w14:paraId="1E413222" w14:textId="77777777" w:rsidR="00B13606" w:rsidRPr="00024916" w:rsidRDefault="00B13606" w:rsidP="00A52061">
      <w:pPr>
        <w:jc w:val="both"/>
        <w:sectPr w:rsidR="00B13606" w:rsidRPr="00024916">
          <w:pgSz w:w="11910" w:h="16840"/>
          <w:pgMar w:top="1040" w:right="1200" w:bottom="1160" w:left="1200" w:header="0" w:footer="970" w:gutter="0"/>
          <w:cols w:space="720"/>
        </w:sectPr>
      </w:pPr>
    </w:p>
    <w:p w14:paraId="462CF454" w14:textId="77777777" w:rsidR="00B13606" w:rsidRPr="00024916" w:rsidRDefault="00B13606" w:rsidP="00A52061">
      <w:pPr>
        <w:pStyle w:val="Brdtext"/>
        <w:spacing w:before="73"/>
      </w:pPr>
      <w:r w:rsidRPr="00024916">
        <w:lastRenderedPageBreak/>
        <w:t>dessa symtom ska därför noggrant utvärderas rörande förekomst av sådan överkänslighet (se avsnitt</w:t>
      </w:r>
      <w:r w:rsidR="00FB0FAD" w:rsidRPr="00024916">
        <w:t> </w:t>
      </w:r>
      <w:r w:rsidRPr="00024916">
        <w:t>4.4). Mycket sällsynta fall av erythema multiforme, Stevens Johnsons syndrom eller toxisk</w:t>
      </w:r>
      <w:r w:rsidR="00FB0FAD" w:rsidRPr="00024916">
        <w:t xml:space="preserve"> </w:t>
      </w:r>
      <w:r w:rsidRPr="00024916">
        <w:t>epidermal nekrolys har rapporterats där överkänslighet mot abakavir inte kunnat uteslutas. I dessa fall ska behandling med abakavir avbrytas för all framtid.</w:t>
      </w:r>
    </w:p>
    <w:p w14:paraId="45A61A46" w14:textId="77777777" w:rsidR="00B13606" w:rsidRPr="00024916" w:rsidRDefault="00B13606" w:rsidP="00A52061">
      <w:pPr>
        <w:pStyle w:val="Brdtext"/>
        <w:spacing w:before="2"/>
      </w:pPr>
    </w:p>
    <w:p w14:paraId="104ACE84" w14:textId="77777777" w:rsidR="00B13606" w:rsidRPr="00024916" w:rsidRDefault="00B13606" w:rsidP="00A52061">
      <w:pPr>
        <w:pStyle w:val="Brdtext"/>
      </w:pPr>
      <w:r w:rsidRPr="00024916">
        <w:t>Många av de medicinska incidenterna har inte lett till att behandlingen behövt avbrytas. Följande indelning har använts för klassificering mycket vanlig (&gt;1/10), vanlig (&gt;1/100, &lt;1/10), mindre vanlig (&gt;1/1 000, &lt;1/100), sällsynt (&gt;1/10 000, &lt;1/1 000), mycket sällsynt (&lt;1/10 000).</w:t>
      </w:r>
    </w:p>
    <w:p w14:paraId="20E164B0" w14:textId="77777777" w:rsidR="00B13606" w:rsidRPr="00024916" w:rsidRDefault="00B13606" w:rsidP="00A52061">
      <w:pPr>
        <w:pStyle w:val="Brdtext"/>
        <w:spacing w:before="9"/>
      </w:pPr>
    </w:p>
    <w:p w14:paraId="01E07966" w14:textId="77777777" w:rsidR="00B13606" w:rsidRPr="00024916" w:rsidRDefault="00B13606" w:rsidP="00A52061">
      <w:pPr>
        <w:pStyle w:val="Brdtext"/>
        <w:spacing w:before="1"/>
      </w:pPr>
      <w:r w:rsidRPr="00024916">
        <w:rPr>
          <w:u w:val="single"/>
        </w:rPr>
        <w:t>Metabolism och nutrition</w:t>
      </w:r>
    </w:p>
    <w:p w14:paraId="1B9E0025" w14:textId="77777777" w:rsidR="00B13606" w:rsidRPr="00024916" w:rsidRDefault="00B13606" w:rsidP="00A52061">
      <w:pPr>
        <w:spacing w:before="1"/>
      </w:pPr>
      <w:r w:rsidRPr="00024916">
        <w:rPr>
          <w:i/>
        </w:rPr>
        <w:t xml:space="preserve">Vanlig: </w:t>
      </w:r>
      <w:r w:rsidRPr="00024916">
        <w:t>anorexia</w:t>
      </w:r>
    </w:p>
    <w:p w14:paraId="177846DD" w14:textId="77777777" w:rsidR="00B13606" w:rsidRPr="00024916" w:rsidRDefault="00B13606" w:rsidP="00A52061">
      <w:r w:rsidRPr="00024916">
        <w:rPr>
          <w:i/>
        </w:rPr>
        <w:t xml:space="preserve">Mycket sällsynt: </w:t>
      </w:r>
      <w:r w:rsidRPr="00024916">
        <w:t>laktacidos</w:t>
      </w:r>
    </w:p>
    <w:p w14:paraId="7C435856" w14:textId="77777777" w:rsidR="00B13606" w:rsidRPr="00024916" w:rsidRDefault="00B13606" w:rsidP="00A52061">
      <w:pPr>
        <w:pStyle w:val="Brdtext"/>
        <w:spacing w:before="1"/>
      </w:pPr>
    </w:p>
    <w:p w14:paraId="3EA0C318" w14:textId="77777777" w:rsidR="00B13606" w:rsidRPr="00024916" w:rsidRDefault="00B13606" w:rsidP="00A52061">
      <w:pPr>
        <w:pStyle w:val="Brdtext"/>
      </w:pPr>
      <w:r w:rsidRPr="00024916">
        <w:rPr>
          <w:u w:val="single"/>
        </w:rPr>
        <w:t>Centrala och perifera nervsystemet</w:t>
      </w:r>
    </w:p>
    <w:p w14:paraId="38694044" w14:textId="77777777" w:rsidR="00B13606" w:rsidRPr="00024916" w:rsidRDefault="00B13606" w:rsidP="00A52061">
      <w:r w:rsidRPr="00024916">
        <w:rPr>
          <w:i/>
        </w:rPr>
        <w:t xml:space="preserve">Vanlig: </w:t>
      </w:r>
      <w:r w:rsidRPr="00024916">
        <w:t>huvudvärk</w:t>
      </w:r>
    </w:p>
    <w:p w14:paraId="38D354A9" w14:textId="77777777" w:rsidR="00B13606" w:rsidRPr="00024916" w:rsidRDefault="00B13606" w:rsidP="00A52061">
      <w:pPr>
        <w:pStyle w:val="Brdtext"/>
      </w:pPr>
    </w:p>
    <w:p w14:paraId="1E6396B6" w14:textId="77777777" w:rsidR="00B13606" w:rsidRPr="00024916" w:rsidRDefault="00B13606" w:rsidP="00A52061">
      <w:pPr>
        <w:pStyle w:val="Brdtext"/>
      </w:pPr>
      <w:r w:rsidRPr="00024916">
        <w:rPr>
          <w:u w:val="single"/>
        </w:rPr>
        <w:t>Magtarmkanalen</w:t>
      </w:r>
      <w:r w:rsidRPr="00024916">
        <w:t xml:space="preserve"> </w:t>
      </w:r>
      <w:r w:rsidRPr="00024916">
        <w:rPr>
          <w:i/>
        </w:rPr>
        <w:t xml:space="preserve">Vanlig: </w:t>
      </w:r>
      <w:r w:rsidRPr="00024916">
        <w:t>illamående, kräkningar, diarré</w:t>
      </w:r>
    </w:p>
    <w:p w14:paraId="6D998A3F" w14:textId="77777777" w:rsidR="00B13606" w:rsidRPr="00024916" w:rsidRDefault="00B13606" w:rsidP="00A52061">
      <w:r w:rsidRPr="00024916">
        <w:rPr>
          <w:i/>
        </w:rPr>
        <w:t xml:space="preserve">Sällsynt: </w:t>
      </w:r>
      <w:r w:rsidRPr="00024916">
        <w:t>pankreatit</w:t>
      </w:r>
    </w:p>
    <w:p w14:paraId="365993B0" w14:textId="77777777" w:rsidR="00B13606" w:rsidRPr="00024916" w:rsidRDefault="00B13606" w:rsidP="00A52061">
      <w:pPr>
        <w:pStyle w:val="Brdtext"/>
      </w:pPr>
    </w:p>
    <w:p w14:paraId="2583AA12" w14:textId="77777777" w:rsidR="00B13606" w:rsidRPr="00024916" w:rsidRDefault="00B13606" w:rsidP="00A52061">
      <w:pPr>
        <w:pStyle w:val="Brdtext"/>
      </w:pPr>
      <w:r w:rsidRPr="00024916">
        <w:rPr>
          <w:u w:val="single"/>
        </w:rPr>
        <w:t>Hud och subkutan vävnad</w:t>
      </w:r>
    </w:p>
    <w:p w14:paraId="472033EE" w14:textId="77777777" w:rsidR="00B13606" w:rsidRPr="00024916" w:rsidRDefault="00B13606" w:rsidP="00A52061">
      <w:pPr>
        <w:spacing w:before="2"/>
      </w:pPr>
      <w:r w:rsidRPr="00024916">
        <w:rPr>
          <w:i/>
        </w:rPr>
        <w:t xml:space="preserve">Vanlig: </w:t>
      </w:r>
      <w:r w:rsidRPr="00024916">
        <w:t>utslag (utan systemiska symtom)</w:t>
      </w:r>
    </w:p>
    <w:p w14:paraId="3974FE90" w14:textId="77777777" w:rsidR="00B13606" w:rsidRPr="00024916" w:rsidRDefault="00B13606" w:rsidP="00A52061">
      <w:pPr>
        <w:pStyle w:val="Brdtext"/>
      </w:pPr>
      <w:r w:rsidRPr="00024916">
        <w:rPr>
          <w:i/>
        </w:rPr>
        <w:t xml:space="preserve">Mycket sällsynt: </w:t>
      </w:r>
      <w:r w:rsidRPr="00024916">
        <w:t>erythema multiforme, Steven</w:t>
      </w:r>
      <w:r w:rsidR="00FB0FAD" w:rsidRPr="00024916">
        <w:noBreakHyphen/>
      </w:r>
      <w:r w:rsidRPr="00024916">
        <w:t>Johnsons syndrom och toxisk epidermal nekrolys</w:t>
      </w:r>
    </w:p>
    <w:p w14:paraId="5856B0A1" w14:textId="77777777" w:rsidR="00B13606" w:rsidRPr="00024916" w:rsidRDefault="00B13606" w:rsidP="00A52061">
      <w:pPr>
        <w:pStyle w:val="Brdtext"/>
      </w:pPr>
    </w:p>
    <w:p w14:paraId="10C2F3EC" w14:textId="77777777" w:rsidR="00B13606" w:rsidRPr="00024916" w:rsidRDefault="00B13606" w:rsidP="00A52061">
      <w:pPr>
        <w:pStyle w:val="Brdtext"/>
      </w:pPr>
      <w:r w:rsidRPr="00024916">
        <w:rPr>
          <w:u w:val="single"/>
        </w:rPr>
        <w:t>Allmänna symtom och/eller symtom vid administreringsstället</w:t>
      </w:r>
    </w:p>
    <w:p w14:paraId="221459A3" w14:textId="77777777" w:rsidR="00FB0FAD" w:rsidRPr="00024916" w:rsidRDefault="00B13606" w:rsidP="00A52061">
      <w:pPr>
        <w:pStyle w:val="Brdtext"/>
      </w:pPr>
      <w:r w:rsidRPr="00024916">
        <w:rPr>
          <w:i/>
        </w:rPr>
        <w:t xml:space="preserve">Vanlig: </w:t>
      </w:r>
      <w:r w:rsidRPr="00024916">
        <w:t xml:space="preserve">feber, letargi, trötthet </w:t>
      </w:r>
    </w:p>
    <w:p w14:paraId="01BF7ED6" w14:textId="77777777" w:rsidR="00FB0FAD" w:rsidRPr="00024916" w:rsidRDefault="00FB0FAD" w:rsidP="00A52061">
      <w:pPr>
        <w:pStyle w:val="Brdtext"/>
      </w:pPr>
    </w:p>
    <w:p w14:paraId="2A718932" w14:textId="77777777" w:rsidR="00B13606" w:rsidRPr="00024916" w:rsidRDefault="00B13606" w:rsidP="00A52061">
      <w:pPr>
        <w:pStyle w:val="Brdtext"/>
      </w:pPr>
      <w:r w:rsidRPr="00024916">
        <w:rPr>
          <w:u w:val="single"/>
        </w:rPr>
        <w:t>Beskrivning av ett urval biverkningar</w:t>
      </w:r>
    </w:p>
    <w:p w14:paraId="60A91882" w14:textId="77777777" w:rsidR="00FB0FAD" w:rsidRPr="00024916" w:rsidRDefault="00FB0FAD" w:rsidP="00A52061">
      <w:pPr>
        <w:spacing w:before="1"/>
        <w:jc w:val="both"/>
        <w:rPr>
          <w:i/>
          <w:u w:val="single"/>
        </w:rPr>
      </w:pPr>
    </w:p>
    <w:p w14:paraId="521E1FCC" w14:textId="77777777" w:rsidR="00B13606" w:rsidRPr="00024916" w:rsidRDefault="00B13606" w:rsidP="00A52061">
      <w:pPr>
        <w:spacing w:before="1"/>
        <w:jc w:val="both"/>
        <w:rPr>
          <w:i/>
        </w:rPr>
      </w:pPr>
      <w:r w:rsidRPr="00024916">
        <w:rPr>
          <w:i/>
          <w:u w:val="single"/>
        </w:rPr>
        <w:t>Överkänslighetsreaktion mot abakavir</w:t>
      </w:r>
    </w:p>
    <w:p w14:paraId="68B6B684" w14:textId="77777777" w:rsidR="00B13606" w:rsidRPr="00024916" w:rsidRDefault="00B13606" w:rsidP="00A52061">
      <w:pPr>
        <w:pStyle w:val="Brdtext"/>
        <w:jc w:val="both"/>
      </w:pPr>
      <w:r w:rsidRPr="00024916">
        <w:t xml:space="preserve">Tecken och symtom på denna överkänslighetsreaktion redovisas nedan. De har identifierats antingen i kliniska studier eller i säkerhetsövervakningen vid normal klinisk användning. De som markerats med ’fetstil ’ har rapporterats </w:t>
      </w:r>
      <w:r w:rsidRPr="00024916">
        <w:rPr>
          <w:b/>
        </w:rPr>
        <w:t>hos minst 10</w:t>
      </w:r>
      <w:r w:rsidR="00FB0FAD" w:rsidRPr="00024916">
        <w:rPr>
          <w:b/>
        </w:rPr>
        <w:t> </w:t>
      </w:r>
      <w:r w:rsidRPr="00024916">
        <w:rPr>
          <w:b/>
        </w:rPr>
        <w:t xml:space="preserve">% </w:t>
      </w:r>
      <w:r w:rsidRPr="00024916">
        <w:t>av patienterna med överkänslighetsreaktion.</w:t>
      </w:r>
    </w:p>
    <w:p w14:paraId="4484C4E3" w14:textId="77777777" w:rsidR="00B13606" w:rsidRPr="00024916" w:rsidRDefault="00B13606" w:rsidP="00A52061">
      <w:pPr>
        <w:pStyle w:val="Brdtext"/>
      </w:pPr>
    </w:p>
    <w:p w14:paraId="348217A0" w14:textId="77777777" w:rsidR="00B13606" w:rsidRPr="00024916" w:rsidRDefault="00B13606" w:rsidP="00A52061">
      <w:pPr>
        <w:pStyle w:val="Brdtext"/>
      </w:pPr>
      <w:r w:rsidRPr="00024916">
        <w:t>Nästan alla patienter som utvecklar överkänslighetsreaktioner får feber och/eller hudutslag (vanligen makulopapulära eller urtikariella) som delsymtom men fall av överkänslighet utan hudutslag eller feber har inträffat. Andra huvudsymtom är symtom från magtarmkanalen och andningsvägarna samt allmänna symtom som letargi och allmän sjukdomskänsla.</w:t>
      </w:r>
    </w:p>
    <w:p w14:paraId="7DD122D2" w14:textId="77777777" w:rsidR="00FB0FAD" w:rsidRPr="00024916" w:rsidRDefault="00B13606" w:rsidP="00A52061">
      <w:pPr>
        <w:tabs>
          <w:tab w:val="left" w:pos="3127"/>
        </w:tabs>
        <w:ind w:left="3119" w:hanging="3119"/>
      </w:pPr>
      <w:r w:rsidRPr="00024916">
        <w:rPr>
          <w:i/>
        </w:rPr>
        <w:t>Hud</w:t>
      </w:r>
      <w:r w:rsidRPr="00024916">
        <w:rPr>
          <w:i/>
        </w:rPr>
        <w:tab/>
      </w:r>
      <w:r w:rsidRPr="00024916">
        <w:rPr>
          <w:b/>
        </w:rPr>
        <w:t xml:space="preserve">Hudutslag </w:t>
      </w:r>
      <w:r w:rsidRPr="00024916">
        <w:t>(vanligen mak</w:t>
      </w:r>
      <w:r w:rsidR="00FB0FAD" w:rsidRPr="00024916">
        <w:t>ulopapulära eller urtikariella)</w:t>
      </w:r>
    </w:p>
    <w:p w14:paraId="5B31E05A" w14:textId="77777777" w:rsidR="00FB0FAD" w:rsidRPr="00024916" w:rsidRDefault="00FB0FAD" w:rsidP="00A52061">
      <w:pPr>
        <w:tabs>
          <w:tab w:val="left" w:pos="3127"/>
        </w:tabs>
        <w:ind w:left="3119" w:hanging="3119"/>
      </w:pPr>
    </w:p>
    <w:p w14:paraId="2378C586" w14:textId="77777777" w:rsidR="00FB0FAD" w:rsidRPr="00024916" w:rsidRDefault="00B13606" w:rsidP="00A52061">
      <w:pPr>
        <w:tabs>
          <w:tab w:val="left" w:pos="3127"/>
        </w:tabs>
        <w:ind w:left="3119" w:hanging="3119"/>
      </w:pPr>
      <w:r w:rsidRPr="00024916">
        <w:rPr>
          <w:i/>
        </w:rPr>
        <w:t>Magtarmkanalen</w:t>
      </w:r>
      <w:r w:rsidRPr="00024916">
        <w:rPr>
          <w:i/>
        </w:rPr>
        <w:tab/>
      </w:r>
      <w:r w:rsidRPr="00024916">
        <w:rPr>
          <w:b/>
        </w:rPr>
        <w:t>Illamående, kräkningar, diarré, buksmärta</w:t>
      </w:r>
      <w:r w:rsidR="00FB0FAD" w:rsidRPr="00024916">
        <w:t>, munsår</w:t>
      </w:r>
    </w:p>
    <w:p w14:paraId="6B3E5D93" w14:textId="77777777" w:rsidR="00FB0FAD" w:rsidRPr="00024916" w:rsidRDefault="00FB0FAD" w:rsidP="00A52061">
      <w:pPr>
        <w:tabs>
          <w:tab w:val="left" w:pos="3127"/>
        </w:tabs>
        <w:ind w:left="3119" w:hanging="3119"/>
      </w:pPr>
    </w:p>
    <w:p w14:paraId="5298BD92" w14:textId="77777777" w:rsidR="00B13606" w:rsidRPr="00024916" w:rsidRDefault="00B13606" w:rsidP="00A52061">
      <w:pPr>
        <w:tabs>
          <w:tab w:val="left" w:pos="3127"/>
        </w:tabs>
        <w:ind w:left="3119" w:hanging="3119"/>
      </w:pPr>
      <w:r w:rsidRPr="00024916">
        <w:rPr>
          <w:i/>
        </w:rPr>
        <w:t>Andningsvägar</w:t>
      </w:r>
      <w:r w:rsidRPr="00024916">
        <w:rPr>
          <w:i/>
        </w:rPr>
        <w:tab/>
      </w:r>
      <w:r w:rsidRPr="00024916">
        <w:rPr>
          <w:b/>
        </w:rPr>
        <w:t xml:space="preserve">Dyspné, hosta, </w:t>
      </w:r>
      <w:r w:rsidRPr="00024916">
        <w:t>ont i halsen, ’adult respiratory distress</w:t>
      </w:r>
      <w:r w:rsidRPr="00024916">
        <w:rPr>
          <w:spacing w:val="-21"/>
        </w:rPr>
        <w:t xml:space="preserve"> </w:t>
      </w:r>
      <w:r w:rsidRPr="00024916">
        <w:t>syndrome’,</w:t>
      </w:r>
      <w:r w:rsidR="00FB0FAD" w:rsidRPr="00024916">
        <w:t xml:space="preserve"> </w:t>
      </w:r>
      <w:r w:rsidRPr="00024916">
        <w:t>lungsvikt</w:t>
      </w:r>
    </w:p>
    <w:p w14:paraId="48AD7CE7" w14:textId="77777777" w:rsidR="00B13606" w:rsidRPr="00024916" w:rsidRDefault="00B13606" w:rsidP="00A52061">
      <w:pPr>
        <w:pStyle w:val="Brdtext"/>
        <w:spacing w:before="7"/>
        <w:ind w:left="3119" w:hanging="3119"/>
      </w:pPr>
    </w:p>
    <w:p w14:paraId="429D9537" w14:textId="77777777" w:rsidR="00B13606" w:rsidRPr="00024916" w:rsidRDefault="00B13606" w:rsidP="00A52061">
      <w:pPr>
        <w:tabs>
          <w:tab w:val="left" w:pos="3127"/>
        </w:tabs>
        <w:ind w:left="3119" w:hanging="3119"/>
      </w:pPr>
      <w:r w:rsidRPr="00024916">
        <w:rPr>
          <w:i/>
        </w:rPr>
        <w:t>Övrigt</w:t>
      </w:r>
      <w:r w:rsidRPr="00024916">
        <w:rPr>
          <w:i/>
        </w:rPr>
        <w:tab/>
      </w:r>
      <w:r w:rsidRPr="00024916">
        <w:rPr>
          <w:b/>
        </w:rPr>
        <w:t>Feber, letargi, allmän sjukdomskänsla</w:t>
      </w:r>
      <w:r w:rsidRPr="00024916">
        <w:t>, ödem, lymfadenopati, hypotension, konjunktivit,</w:t>
      </w:r>
      <w:r w:rsidRPr="00024916">
        <w:rPr>
          <w:spacing w:val="-4"/>
        </w:rPr>
        <w:t xml:space="preserve"> </w:t>
      </w:r>
      <w:r w:rsidRPr="00024916">
        <w:t>anafylaxi</w:t>
      </w:r>
    </w:p>
    <w:p w14:paraId="32723D04" w14:textId="77777777" w:rsidR="00B13606" w:rsidRPr="00024916" w:rsidRDefault="00B13606" w:rsidP="00A52061">
      <w:pPr>
        <w:pStyle w:val="Brdtext"/>
        <w:ind w:left="3119" w:hanging="3119"/>
      </w:pPr>
    </w:p>
    <w:p w14:paraId="639B9AB8" w14:textId="77777777" w:rsidR="00B13606" w:rsidRPr="00024916" w:rsidRDefault="00B13606" w:rsidP="00A52061">
      <w:pPr>
        <w:tabs>
          <w:tab w:val="left" w:pos="3127"/>
        </w:tabs>
        <w:ind w:left="3119" w:hanging="3119"/>
      </w:pPr>
      <w:r w:rsidRPr="00024916">
        <w:rPr>
          <w:i/>
        </w:rPr>
        <w:t>Neurologi/psykiatri</w:t>
      </w:r>
      <w:r w:rsidRPr="00024916">
        <w:rPr>
          <w:i/>
        </w:rPr>
        <w:tab/>
      </w:r>
      <w:r w:rsidRPr="00024916">
        <w:rPr>
          <w:b/>
        </w:rPr>
        <w:t>Huvudvärk</w:t>
      </w:r>
      <w:r w:rsidRPr="00024916">
        <w:t>,</w:t>
      </w:r>
      <w:r w:rsidRPr="00024916">
        <w:rPr>
          <w:spacing w:val="-1"/>
        </w:rPr>
        <w:t xml:space="preserve"> </w:t>
      </w:r>
      <w:r w:rsidRPr="00024916">
        <w:t>parestesi</w:t>
      </w:r>
    </w:p>
    <w:p w14:paraId="638B5DA2" w14:textId="77777777" w:rsidR="00B13606" w:rsidRPr="00024916" w:rsidRDefault="00B13606" w:rsidP="00A52061">
      <w:pPr>
        <w:pStyle w:val="Brdtext"/>
        <w:ind w:left="3119" w:hanging="3119"/>
      </w:pPr>
    </w:p>
    <w:p w14:paraId="7493F30E" w14:textId="77777777" w:rsidR="00B13606" w:rsidRPr="00024916" w:rsidRDefault="00B13606" w:rsidP="00A52061">
      <w:pPr>
        <w:tabs>
          <w:tab w:val="left" w:pos="3127"/>
        </w:tabs>
        <w:ind w:left="3119" w:hanging="3119"/>
      </w:pPr>
      <w:r w:rsidRPr="00024916">
        <w:rPr>
          <w:i/>
        </w:rPr>
        <w:t>Blod</w:t>
      </w:r>
      <w:r w:rsidRPr="00024916">
        <w:rPr>
          <w:i/>
        </w:rPr>
        <w:tab/>
      </w:r>
      <w:r w:rsidRPr="00024916">
        <w:t>Lymfopeni</w:t>
      </w:r>
    </w:p>
    <w:p w14:paraId="6AE04CCE" w14:textId="77777777" w:rsidR="00B13606" w:rsidRPr="00024916" w:rsidRDefault="00B13606" w:rsidP="00A52061">
      <w:pPr>
        <w:pStyle w:val="Brdtext"/>
        <w:ind w:left="3119" w:hanging="3119"/>
      </w:pPr>
    </w:p>
    <w:p w14:paraId="39EF6A41" w14:textId="77777777" w:rsidR="00B13606" w:rsidRPr="00024916" w:rsidRDefault="00B13606" w:rsidP="00A52061">
      <w:pPr>
        <w:tabs>
          <w:tab w:val="left" w:pos="3127"/>
        </w:tabs>
        <w:spacing w:before="1"/>
        <w:ind w:left="3119" w:hanging="3119"/>
      </w:pPr>
      <w:r w:rsidRPr="00024916">
        <w:rPr>
          <w:i/>
        </w:rPr>
        <w:t>Lever/pankreas</w:t>
      </w:r>
      <w:r w:rsidRPr="00024916">
        <w:rPr>
          <w:i/>
        </w:rPr>
        <w:tab/>
      </w:r>
      <w:r w:rsidRPr="00024916">
        <w:rPr>
          <w:b/>
        </w:rPr>
        <w:t xml:space="preserve">Förhöjda levervärden, </w:t>
      </w:r>
      <w:r w:rsidRPr="00024916">
        <w:t>hepatit</w:t>
      </w:r>
      <w:r w:rsidRPr="00024916">
        <w:rPr>
          <w:b/>
        </w:rPr>
        <w:t>,</w:t>
      </w:r>
      <w:r w:rsidRPr="00024916">
        <w:rPr>
          <w:b/>
          <w:spacing w:val="-8"/>
        </w:rPr>
        <w:t xml:space="preserve"> </w:t>
      </w:r>
      <w:r w:rsidRPr="00024916">
        <w:t>leversvikt</w:t>
      </w:r>
    </w:p>
    <w:p w14:paraId="30CC1D5A" w14:textId="77777777" w:rsidR="00B13606" w:rsidRPr="00024916" w:rsidRDefault="00B13606" w:rsidP="00A52061">
      <w:pPr>
        <w:pStyle w:val="Brdtext"/>
        <w:spacing w:before="9"/>
        <w:ind w:left="3119" w:hanging="3119"/>
      </w:pPr>
    </w:p>
    <w:p w14:paraId="218EC217" w14:textId="77777777" w:rsidR="00FB0FAD" w:rsidRPr="00024916" w:rsidRDefault="00B13606" w:rsidP="00A52061">
      <w:pPr>
        <w:tabs>
          <w:tab w:val="left" w:pos="3127"/>
        </w:tabs>
        <w:ind w:left="3119" w:hanging="3119"/>
      </w:pPr>
      <w:r w:rsidRPr="00024916">
        <w:rPr>
          <w:i/>
        </w:rPr>
        <w:t>Muskel/skelett</w:t>
      </w:r>
      <w:r w:rsidRPr="00024916">
        <w:rPr>
          <w:i/>
        </w:rPr>
        <w:tab/>
      </w:r>
      <w:r w:rsidRPr="00024916">
        <w:rPr>
          <w:b/>
        </w:rPr>
        <w:t>Myalgi</w:t>
      </w:r>
      <w:r w:rsidRPr="00024916">
        <w:t>, myolys (sällsynt), artralgi, förhöjt</w:t>
      </w:r>
      <w:r w:rsidRPr="00024916">
        <w:rPr>
          <w:spacing w:val="-6"/>
        </w:rPr>
        <w:t xml:space="preserve"> </w:t>
      </w:r>
      <w:r w:rsidRPr="00024916">
        <w:t>kreatinfosfokinas</w:t>
      </w:r>
    </w:p>
    <w:p w14:paraId="7CB8AF43" w14:textId="77777777" w:rsidR="00FB0FAD" w:rsidRPr="00024916" w:rsidRDefault="00FB0FAD" w:rsidP="00A52061">
      <w:pPr>
        <w:tabs>
          <w:tab w:val="left" w:pos="3127"/>
        </w:tabs>
        <w:ind w:left="3119" w:hanging="3119"/>
      </w:pPr>
    </w:p>
    <w:p w14:paraId="5428A569" w14:textId="77777777" w:rsidR="00B13606" w:rsidRPr="00024916" w:rsidRDefault="00B13606" w:rsidP="00A52061">
      <w:pPr>
        <w:tabs>
          <w:tab w:val="left" w:pos="3127"/>
        </w:tabs>
        <w:ind w:left="3119" w:hanging="3119"/>
      </w:pPr>
      <w:r w:rsidRPr="00024916">
        <w:rPr>
          <w:i/>
        </w:rPr>
        <w:t>Urologi</w:t>
      </w:r>
      <w:r w:rsidRPr="00024916">
        <w:rPr>
          <w:i/>
        </w:rPr>
        <w:tab/>
      </w:r>
      <w:r w:rsidRPr="00024916">
        <w:t>Förhöjt kreatinin,</w:t>
      </w:r>
      <w:r w:rsidRPr="00024916">
        <w:rPr>
          <w:spacing w:val="-3"/>
        </w:rPr>
        <w:t xml:space="preserve"> </w:t>
      </w:r>
      <w:r w:rsidRPr="00024916">
        <w:t>njursvikt</w:t>
      </w:r>
    </w:p>
    <w:p w14:paraId="629E4C87" w14:textId="77777777" w:rsidR="00B13606" w:rsidRPr="00024916" w:rsidRDefault="00B13606" w:rsidP="00024916">
      <w:pPr>
        <w:pStyle w:val="Brdtext"/>
        <w:spacing w:before="1"/>
      </w:pPr>
    </w:p>
    <w:p w14:paraId="6DEACC9A" w14:textId="77777777" w:rsidR="00B13606" w:rsidRPr="00024916" w:rsidRDefault="00B13606" w:rsidP="00A52061">
      <w:pPr>
        <w:pStyle w:val="Brdtext"/>
        <w:spacing w:before="1"/>
      </w:pPr>
      <w:r w:rsidRPr="00024916">
        <w:t>Symtomen relaterade till denna överkänslighetsreaktion förvärras vid fortsatt behandling och kan vara livshotande, och har i sällsynta fall varit dödlig.</w:t>
      </w:r>
    </w:p>
    <w:p w14:paraId="63B82FEC" w14:textId="77777777" w:rsidR="00B13606" w:rsidRPr="00024916" w:rsidRDefault="00B13606" w:rsidP="00A52061">
      <w:pPr>
        <w:pStyle w:val="Brdtext"/>
        <w:spacing w:before="10"/>
      </w:pPr>
    </w:p>
    <w:p w14:paraId="2C1353DE" w14:textId="77777777" w:rsidR="00B13606" w:rsidRPr="00024916" w:rsidRDefault="00B13606" w:rsidP="00A52061">
      <w:pPr>
        <w:pStyle w:val="Brdtext"/>
      </w:pPr>
      <w:r w:rsidRPr="00024916">
        <w:t>Återinsättning av abakavir efter en överkänslighetsreaktion kan leda till att symtomen återkommer, inom några få timmar. Denna återkommande reaktion är vanligtvis svårare än den initiala och kan inkludera livshotande hypotension och leda till att patienten avlider. Liknande reaktioner har också inträffat i sällsynta fall efter att abakavir återinsatts hos patienter som innan behandlingen avbröts endast haft ett av huvudsymtomen på överkänslighet (se ovan), och har i mycket sällsynta fall även setts hos patienter som har återupptagit behandlingen utan föregående symtom på en överkänslighetsreaktion (dvs. patienter som tidigare ansetts tolerera abakavir).</w:t>
      </w:r>
    </w:p>
    <w:p w14:paraId="7C852B09" w14:textId="77777777" w:rsidR="00B13606" w:rsidRPr="00024916" w:rsidRDefault="00B13606" w:rsidP="00A52061">
      <w:pPr>
        <w:pStyle w:val="Brdtext"/>
      </w:pPr>
    </w:p>
    <w:p w14:paraId="1BD0EBBD" w14:textId="77777777" w:rsidR="00B13606" w:rsidRPr="00024916" w:rsidRDefault="00B13606" w:rsidP="00A52061">
      <w:pPr>
        <w:spacing w:before="1"/>
        <w:rPr>
          <w:i/>
        </w:rPr>
      </w:pPr>
      <w:r w:rsidRPr="00024916">
        <w:rPr>
          <w:i/>
        </w:rPr>
        <w:t>Metabola parametrar</w:t>
      </w:r>
    </w:p>
    <w:p w14:paraId="38F061B1" w14:textId="77777777" w:rsidR="00B13606" w:rsidRPr="00024916" w:rsidRDefault="00B13606" w:rsidP="00A52061">
      <w:pPr>
        <w:pStyle w:val="Brdtext"/>
      </w:pPr>
      <w:r w:rsidRPr="00024916">
        <w:t>Viktökning och ökade nivåer av lipider och glukos i blodet kan förekomma under antiretroviral behandling (se avsnitt</w:t>
      </w:r>
      <w:r w:rsidR="00FB0FAD" w:rsidRPr="00024916">
        <w:t> </w:t>
      </w:r>
      <w:r w:rsidRPr="00024916">
        <w:t>4.4).</w:t>
      </w:r>
    </w:p>
    <w:p w14:paraId="78E08755" w14:textId="77777777" w:rsidR="00B13606" w:rsidRPr="00024916" w:rsidRDefault="00B13606" w:rsidP="00A52061">
      <w:pPr>
        <w:pStyle w:val="Brdtext"/>
        <w:spacing w:before="10"/>
      </w:pPr>
    </w:p>
    <w:p w14:paraId="58B4C562" w14:textId="77777777" w:rsidR="00B13606" w:rsidRPr="00024916" w:rsidRDefault="00B13606" w:rsidP="00A52061">
      <w:pPr>
        <w:rPr>
          <w:i/>
        </w:rPr>
      </w:pPr>
      <w:r w:rsidRPr="00024916">
        <w:rPr>
          <w:i/>
        </w:rPr>
        <w:t>Immunreaktiveringssyndrom</w:t>
      </w:r>
    </w:p>
    <w:p w14:paraId="2A052408" w14:textId="77777777" w:rsidR="00B13606" w:rsidRPr="00024916" w:rsidRDefault="00B13606" w:rsidP="00A52061">
      <w:pPr>
        <w:pStyle w:val="Brdtext"/>
        <w:spacing w:before="1"/>
      </w:pPr>
      <w:r w:rsidRPr="00024916">
        <w:t>Hos hivinfekterade patienter med svår immunbrist vid tidpunkten för insättande av antiretroviral kombinationsterapi, kan en inflammatorisk reaktion mot asymtomatiska eller kvarvarande opportunistiska infektioner uppstå. Autoimmuna sjukdomar (såsom Graves sjukdom och autoimmun hepatit) har också rapporterats i samband med immunreaktivering; emellertid är den rapporterade tidpunkten för debut mer varierad och dessa händelser kan inträffa flera månader efter att behandlingen påbörjats</w:t>
      </w:r>
      <w:r w:rsidR="00FB0FAD" w:rsidRPr="00024916">
        <w:t xml:space="preserve"> </w:t>
      </w:r>
      <w:r w:rsidRPr="00024916">
        <w:t>(se avsnitt</w:t>
      </w:r>
      <w:r w:rsidR="00FB0FAD" w:rsidRPr="00024916">
        <w:t> </w:t>
      </w:r>
      <w:r w:rsidRPr="00024916">
        <w:t>4.4).</w:t>
      </w:r>
    </w:p>
    <w:p w14:paraId="2244222C" w14:textId="77777777" w:rsidR="00B13606" w:rsidRPr="00024916" w:rsidRDefault="00B13606" w:rsidP="00A52061">
      <w:pPr>
        <w:pStyle w:val="Brdtext"/>
      </w:pPr>
    </w:p>
    <w:p w14:paraId="2ADFAE9A" w14:textId="77777777" w:rsidR="00B13606" w:rsidRPr="00024916" w:rsidRDefault="00B13606" w:rsidP="00A52061">
      <w:pPr>
        <w:spacing w:before="1"/>
        <w:rPr>
          <w:i/>
        </w:rPr>
      </w:pPr>
      <w:r w:rsidRPr="00024916">
        <w:rPr>
          <w:i/>
        </w:rPr>
        <w:t>Osteonekros</w:t>
      </w:r>
    </w:p>
    <w:p w14:paraId="623A21C2" w14:textId="77777777" w:rsidR="00B13606" w:rsidRPr="00024916" w:rsidRDefault="00B13606" w:rsidP="00A52061">
      <w:pPr>
        <w:pStyle w:val="Brdtext"/>
      </w:pPr>
      <w:r w:rsidRPr="00024916">
        <w:t>Fall av osteonekros har rapporterats, speciellt hos patienter med kända riskfaktorer, framskriden hivsjukdom eller långvarig exponering för CART. Frekvensen av detta är okänd (se avsnitt 4.4).</w:t>
      </w:r>
    </w:p>
    <w:p w14:paraId="6B2E0B2E" w14:textId="77777777" w:rsidR="00B13606" w:rsidRPr="00024916" w:rsidRDefault="00B13606" w:rsidP="00A52061">
      <w:pPr>
        <w:pStyle w:val="Brdtext"/>
        <w:spacing w:before="1"/>
      </w:pPr>
    </w:p>
    <w:p w14:paraId="606FDFA4" w14:textId="77777777" w:rsidR="00B13606" w:rsidRPr="00024916" w:rsidRDefault="00B13606" w:rsidP="00A52061">
      <w:pPr>
        <w:pStyle w:val="Brdtext"/>
      </w:pPr>
      <w:r w:rsidRPr="00024916">
        <w:rPr>
          <w:u w:val="single"/>
        </w:rPr>
        <w:t>Förändringar i labortoriekemiska parametrar</w:t>
      </w:r>
    </w:p>
    <w:p w14:paraId="3EE38134" w14:textId="77777777" w:rsidR="00B13606" w:rsidRPr="00024916" w:rsidRDefault="00B13606" w:rsidP="00A52061">
      <w:pPr>
        <w:pStyle w:val="Brdtext"/>
      </w:pPr>
      <w:r w:rsidRPr="00024916">
        <w:t xml:space="preserve">I kontrollerade kliniska studier var laboratorieavvikelser relaterade till </w:t>
      </w:r>
      <w:r w:rsidR="00526675" w:rsidRPr="00024916">
        <w:t>a</w:t>
      </w:r>
      <w:r w:rsidRPr="00024916">
        <w:t>ba</w:t>
      </w:r>
      <w:r w:rsidR="00526675" w:rsidRPr="00024916">
        <w:t>k</w:t>
      </w:r>
      <w:r w:rsidRPr="00024916">
        <w:t xml:space="preserve">avirbehandling ovanliga och inga skillnader i incidens noterades mellan patienterna i </w:t>
      </w:r>
      <w:r w:rsidR="00526675" w:rsidRPr="00024916">
        <w:t>a</w:t>
      </w:r>
      <w:r w:rsidRPr="00024916">
        <w:t>ba</w:t>
      </w:r>
      <w:r w:rsidR="00526675" w:rsidRPr="00024916">
        <w:t>k</w:t>
      </w:r>
      <w:r w:rsidRPr="00024916">
        <w:t>avir</w:t>
      </w:r>
      <w:r w:rsidR="00526675" w:rsidRPr="00024916">
        <w:t>-</w:t>
      </w:r>
      <w:r w:rsidRPr="00024916">
        <w:t xml:space="preserve"> och kontrollgrupperna.</w:t>
      </w:r>
    </w:p>
    <w:p w14:paraId="38E06D93" w14:textId="77777777" w:rsidR="00B13606" w:rsidRPr="00024916" w:rsidRDefault="00B13606" w:rsidP="00A52061">
      <w:pPr>
        <w:pStyle w:val="Brdtext"/>
      </w:pPr>
    </w:p>
    <w:p w14:paraId="14D87766" w14:textId="77777777" w:rsidR="00B13606" w:rsidRPr="00024916" w:rsidRDefault="00B13606" w:rsidP="00A52061">
      <w:pPr>
        <w:pStyle w:val="Brdtext"/>
      </w:pPr>
      <w:r w:rsidRPr="00024916">
        <w:rPr>
          <w:u w:val="single"/>
        </w:rPr>
        <w:t>Pediatrisk population</w:t>
      </w:r>
    </w:p>
    <w:p w14:paraId="4F69331C" w14:textId="77777777" w:rsidR="00B13606" w:rsidRPr="00024916" w:rsidRDefault="00B13606" w:rsidP="00A52061">
      <w:pPr>
        <w:pStyle w:val="Brdtext"/>
        <w:spacing w:before="1"/>
      </w:pPr>
      <w:r w:rsidRPr="00024916">
        <w:t>1</w:t>
      </w:r>
      <w:r w:rsidR="00FB0FAD" w:rsidRPr="00024916">
        <w:t> </w:t>
      </w:r>
      <w:r w:rsidRPr="00024916">
        <w:t>206</w:t>
      </w:r>
      <w:r w:rsidR="00FB0FAD" w:rsidRPr="00024916">
        <w:t> </w:t>
      </w:r>
      <w:r w:rsidRPr="00024916">
        <w:t>hivinfekterade pediatriska patienter i åldern 3</w:t>
      </w:r>
      <w:r w:rsidR="00FB0FAD" w:rsidRPr="00024916">
        <w:t> </w:t>
      </w:r>
      <w:r w:rsidRPr="00024916">
        <w:t>månader till 17</w:t>
      </w:r>
      <w:r w:rsidR="00FB0FAD" w:rsidRPr="00024916">
        <w:t> </w:t>
      </w:r>
      <w:r w:rsidRPr="00024916">
        <w:t>år inkluderades i studien ARROW (COL105677), 669</w:t>
      </w:r>
      <w:r w:rsidR="00FB0FAD" w:rsidRPr="00024916">
        <w:t> </w:t>
      </w:r>
      <w:r w:rsidRPr="00024916">
        <w:t>av dessa fick abakavir och lamivudin antingen en eller två gånger dagligen (se avsnitt</w:t>
      </w:r>
      <w:r w:rsidR="00FB0FAD" w:rsidRPr="00024916">
        <w:t> </w:t>
      </w:r>
      <w:r w:rsidRPr="00024916">
        <w:t>5.1). Inga ytterligare säkerhetsproblem jämfört med vuxna har identifierats bland de pediatriska patienter som fått läkemedlet antingen en eller två gånger dagligen</w:t>
      </w:r>
    </w:p>
    <w:p w14:paraId="11DA95B6" w14:textId="77777777" w:rsidR="00B13606" w:rsidRPr="00024916" w:rsidRDefault="00B13606" w:rsidP="00A52061">
      <w:pPr>
        <w:pStyle w:val="Brdtext"/>
      </w:pPr>
    </w:p>
    <w:p w14:paraId="09AE271C" w14:textId="77777777" w:rsidR="00B13606" w:rsidRPr="00024916" w:rsidRDefault="00B13606" w:rsidP="00A52061">
      <w:pPr>
        <w:pStyle w:val="Brdtext"/>
        <w:jc w:val="both"/>
      </w:pPr>
      <w:r w:rsidRPr="00024916">
        <w:rPr>
          <w:u w:val="single"/>
        </w:rPr>
        <w:t>Rapportering av misstänkta biverkningar</w:t>
      </w:r>
    </w:p>
    <w:p w14:paraId="791F154A" w14:textId="77777777" w:rsidR="001D68E4" w:rsidRPr="00024916" w:rsidRDefault="00B13606" w:rsidP="00A52061">
      <w:pPr>
        <w:pStyle w:val="Brdtext"/>
      </w:pPr>
      <w:r w:rsidRPr="00024916">
        <w:t>Det är viktigt att rapportera misstänkta biverkningar efter att läkemedlet godkänts. Det gör det möjligt att kontinuerligt övervaka läkemedlets nytta-riskförhållande. Hälso- och sjukvårdspersonal uppmanas att rapportera varje misstänkt biverkning via</w:t>
      </w:r>
      <w:r w:rsidR="001D68E4" w:rsidRPr="00024916">
        <w:t>:</w:t>
      </w:r>
    </w:p>
    <w:p w14:paraId="3880B9F6" w14:textId="77777777" w:rsidR="001D68E4" w:rsidRPr="00024916" w:rsidRDefault="001D68E4" w:rsidP="001D68E4">
      <w:pPr>
        <w:pStyle w:val="Brdtext"/>
      </w:pPr>
    </w:p>
    <w:p w14:paraId="3D6AD26E" w14:textId="77777777" w:rsidR="001D68E4" w:rsidRPr="00024916" w:rsidRDefault="001D68E4" w:rsidP="001D68E4">
      <w:pPr>
        <w:pStyle w:val="Brdtext"/>
      </w:pPr>
      <w:r w:rsidRPr="00024916">
        <w:t>Läkemedelsverket</w:t>
      </w:r>
    </w:p>
    <w:p w14:paraId="4617AB6A" w14:textId="77777777" w:rsidR="001D68E4" w:rsidRPr="00024916" w:rsidRDefault="001D68E4" w:rsidP="001D68E4">
      <w:pPr>
        <w:pStyle w:val="Brdtext"/>
      </w:pPr>
      <w:r w:rsidRPr="00024916">
        <w:t>Box 26</w:t>
      </w:r>
    </w:p>
    <w:p w14:paraId="1517D91A" w14:textId="77777777" w:rsidR="001D68E4" w:rsidRPr="00024916" w:rsidRDefault="001D68E4" w:rsidP="001D68E4">
      <w:pPr>
        <w:pStyle w:val="Brdtext"/>
      </w:pPr>
      <w:r w:rsidRPr="00024916">
        <w:t>751 03 Uppsala</w:t>
      </w:r>
    </w:p>
    <w:p w14:paraId="4EF07AE2" w14:textId="77777777" w:rsidR="00B13606" w:rsidRPr="00024916" w:rsidRDefault="00B823BA" w:rsidP="00A52061">
      <w:pPr>
        <w:pStyle w:val="Brdtext"/>
      </w:pPr>
      <w:hyperlink r:id="rId8" w:history="1">
        <w:r w:rsidR="001D68E4" w:rsidRPr="00024916">
          <w:rPr>
            <w:rStyle w:val="Hyperlnk"/>
          </w:rPr>
          <w:t>www.lakemedelsverket.se</w:t>
        </w:r>
      </w:hyperlink>
      <w:r w:rsidR="001D68E4" w:rsidRPr="00024916">
        <w:t xml:space="preserve"> </w:t>
      </w:r>
    </w:p>
    <w:p w14:paraId="7AA71208" w14:textId="77777777" w:rsidR="00B13606" w:rsidRPr="00024916" w:rsidRDefault="00B13606" w:rsidP="00A52061">
      <w:pPr>
        <w:pStyle w:val="Brdtext"/>
        <w:spacing w:before="1"/>
      </w:pPr>
    </w:p>
    <w:p w14:paraId="766BA641" w14:textId="77777777" w:rsidR="00B13606" w:rsidRPr="00024916" w:rsidRDefault="00B13606" w:rsidP="00A52061">
      <w:pPr>
        <w:pStyle w:val="Rubrik1"/>
        <w:keepNext w:val="0"/>
        <w:keepLines w:val="0"/>
        <w:numPr>
          <w:ilvl w:val="1"/>
          <w:numId w:val="5"/>
        </w:numPr>
        <w:tabs>
          <w:tab w:val="left" w:pos="567"/>
        </w:tabs>
        <w:spacing w:before="91"/>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Överdosering</w:t>
      </w:r>
    </w:p>
    <w:p w14:paraId="1AD5F471" w14:textId="77777777" w:rsidR="00B13606" w:rsidRPr="00024916" w:rsidRDefault="00B13606" w:rsidP="00A52061">
      <w:pPr>
        <w:pStyle w:val="Brdtext"/>
        <w:spacing w:before="10"/>
        <w:rPr>
          <w:b/>
        </w:rPr>
      </w:pPr>
    </w:p>
    <w:p w14:paraId="1D0F4B06" w14:textId="77777777" w:rsidR="00B13606" w:rsidRPr="00024916" w:rsidRDefault="00B13606" w:rsidP="00A52061">
      <w:pPr>
        <w:pStyle w:val="Brdtext"/>
      </w:pPr>
      <w:r w:rsidRPr="00024916">
        <w:t>Enstaka doser på upp till 1</w:t>
      </w:r>
      <w:r w:rsidR="00FB0FAD" w:rsidRPr="00024916">
        <w:t> </w:t>
      </w:r>
      <w:r w:rsidRPr="00024916">
        <w:t>200</w:t>
      </w:r>
      <w:r w:rsidR="00FB0FAD" w:rsidRPr="00024916">
        <w:t> </w:t>
      </w:r>
      <w:r w:rsidRPr="00024916">
        <w:t>mg och dygnsdoser på 1</w:t>
      </w:r>
      <w:r w:rsidR="00FB0FAD" w:rsidRPr="00024916">
        <w:t> </w:t>
      </w:r>
      <w:r w:rsidRPr="00024916">
        <w:t>800</w:t>
      </w:r>
      <w:r w:rsidR="00FB0FAD" w:rsidRPr="00024916">
        <w:t> </w:t>
      </w:r>
      <w:r w:rsidRPr="00024916">
        <w:t xml:space="preserve">mg abakavir har administrerats till patienter i kliniska studier. Inga andra biverkningar rapporterades utöver dem som rapporterades vid </w:t>
      </w:r>
      <w:r w:rsidRPr="00024916">
        <w:lastRenderedPageBreak/>
        <w:t>normala doser. Effekten av högre doser är inte känd. Om överdosering inträffar ska patienten övervakas noggrant avseende tecken på toxicitet (se avsnitt 4.8) och symtomatisk terapi ska ges vid behov. Det är inte känt om abakavir kan elimineras via peritoneal- eller hemodialys.</w:t>
      </w:r>
    </w:p>
    <w:p w14:paraId="6EBDF2F4" w14:textId="77777777" w:rsidR="00FB0FAD" w:rsidRPr="00024916" w:rsidRDefault="00FB0FAD" w:rsidP="00A52061">
      <w:pPr>
        <w:pStyle w:val="Brdtext"/>
      </w:pPr>
    </w:p>
    <w:p w14:paraId="081E6950" w14:textId="77777777" w:rsidR="00FB0FAD" w:rsidRPr="00024916" w:rsidRDefault="00FB0FAD" w:rsidP="00A52061">
      <w:pPr>
        <w:pStyle w:val="Brdtext"/>
      </w:pPr>
    </w:p>
    <w:p w14:paraId="11BAE07B" w14:textId="77777777" w:rsidR="00B13606" w:rsidRPr="00024916" w:rsidRDefault="00B13606" w:rsidP="00A52061">
      <w:pPr>
        <w:pStyle w:val="Rubrik1"/>
        <w:keepNext w:val="0"/>
        <w:keepLines w:val="0"/>
        <w:numPr>
          <w:ilvl w:val="0"/>
          <w:numId w:val="5"/>
        </w:numPr>
        <w:tabs>
          <w:tab w:val="left" w:pos="567"/>
        </w:tabs>
        <w:spacing w:before="73"/>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FARMAKOLOGISKA</w:t>
      </w:r>
      <w:r w:rsidRPr="00024916">
        <w:rPr>
          <w:rFonts w:ascii="Times New Roman" w:hAnsi="Times New Roman" w:cs="Times New Roman"/>
          <w:color w:val="auto"/>
          <w:spacing w:val="-2"/>
          <w:sz w:val="22"/>
          <w:szCs w:val="22"/>
        </w:rPr>
        <w:t xml:space="preserve"> </w:t>
      </w:r>
      <w:r w:rsidRPr="00024916">
        <w:rPr>
          <w:rFonts w:ascii="Times New Roman" w:hAnsi="Times New Roman" w:cs="Times New Roman"/>
          <w:color w:val="auto"/>
          <w:sz w:val="22"/>
          <w:szCs w:val="22"/>
        </w:rPr>
        <w:t>EGENSKAPER</w:t>
      </w:r>
    </w:p>
    <w:p w14:paraId="49428DEC" w14:textId="77777777" w:rsidR="00B13606" w:rsidRPr="00024916" w:rsidRDefault="00B13606" w:rsidP="00A52061">
      <w:pPr>
        <w:pStyle w:val="Brdtext"/>
        <w:rPr>
          <w:b/>
        </w:rPr>
      </w:pPr>
    </w:p>
    <w:p w14:paraId="194B7C44" w14:textId="77777777" w:rsidR="00B13606" w:rsidRPr="00024916" w:rsidRDefault="00B13606" w:rsidP="00A52061">
      <w:pPr>
        <w:pStyle w:val="Liststycke"/>
        <w:numPr>
          <w:ilvl w:val="1"/>
          <w:numId w:val="5"/>
        </w:numPr>
        <w:tabs>
          <w:tab w:val="left" w:pos="567"/>
        </w:tabs>
        <w:ind w:left="0" w:firstLine="0"/>
        <w:contextualSpacing w:val="0"/>
        <w:rPr>
          <w:b/>
        </w:rPr>
      </w:pPr>
      <w:r w:rsidRPr="00024916">
        <w:rPr>
          <w:b/>
        </w:rPr>
        <w:t>Farmakodynamiska</w:t>
      </w:r>
      <w:r w:rsidRPr="00024916">
        <w:rPr>
          <w:b/>
          <w:spacing w:val="-4"/>
        </w:rPr>
        <w:t xml:space="preserve"> </w:t>
      </w:r>
      <w:r w:rsidRPr="00024916">
        <w:rPr>
          <w:b/>
        </w:rPr>
        <w:t>egenskaper</w:t>
      </w:r>
    </w:p>
    <w:p w14:paraId="7FEAF4E5" w14:textId="77777777" w:rsidR="00B13606" w:rsidRPr="00024916" w:rsidRDefault="00B13606" w:rsidP="00A52061">
      <w:pPr>
        <w:pStyle w:val="Brdtext"/>
        <w:rPr>
          <w:b/>
        </w:rPr>
      </w:pPr>
    </w:p>
    <w:p w14:paraId="73C1FE3B" w14:textId="77777777" w:rsidR="00B13606" w:rsidRPr="00024916" w:rsidRDefault="00B13606" w:rsidP="00A52061">
      <w:pPr>
        <w:pStyle w:val="Brdtext"/>
      </w:pPr>
      <w:r w:rsidRPr="00024916">
        <w:t xml:space="preserve">Farmakoterapeutisk grupp: nukleosidanalog omvänt transkriptashämmare, ATC kod: J05AF06. </w:t>
      </w:r>
      <w:r w:rsidRPr="00024916">
        <w:rPr>
          <w:u w:val="single"/>
        </w:rPr>
        <w:t>Verkningsmekanism</w:t>
      </w:r>
    </w:p>
    <w:p w14:paraId="7443262D" w14:textId="77777777" w:rsidR="00B13606" w:rsidRPr="00024916" w:rsidRDefault="00B13606" w:rsidP="00A52061">
      <w:pPr>
        <w:pStyle w:val="Brdtext"/>
        <w:spacing w:before="1"/>
      </w:pPr>
      <w:r w:rsidRPr="00024916">
        <w:t>Abakavir är en NRTI och är en potent selektiv hämmare av hiv</w:t>
      </w:r>
      <w:r w:rsidR="00526675" w:rsidRPr="00024916">
        <w:noBreakHyphen/>
      </w:r>
      <w:r w:rsidRPr="00024916">
        <w:t>1 och hiv</w:t>
      </w:r>
      <w:r w:rsidR="00526675" w:rsidRPr="00024916">
        <w:noBreakHyphen/>
      </w:r>
      <w:r w:rsidRPr="00024916">
        <w:t>2. Abakavir metaboliseras intracellulärt till den</w:t>
      </w:r>
      <w:r w:rsidR="00526675" w:rsidRPr="00024916">
        <w:t xml:space="preserve"> aktiva metaboliten carbovir 5’</w:t>
      </w:r>
      <w:r w:rsidR="00526675" w:rsidRPr="00024916">
        <w:noBreakHyphen/>
      </w:r>
      <w:r w:rsidRPr="00024916">
        <w:t xml:space="preserve">trifosfat (TP). </w:t>
      </w:r>
      <w:r w:rsidRPr="00024916">
        <w:rPr>
          <w:i/>
        </w:rPr>
        <w:t>In</w:t>
      </w:r>
      <w:r w:rsidR="00526675" w:rsidRPr="00024916">
        <w:rPr>
          <w:i/>
        </w:rPr>
        <w:t> </w:t>
      </w:r>
      <w:r w:rsidRPr="00024916">
        <w:rPr>
          <w:i/>
        </w:rPr>
        <w:t>vitro</w:t>
      </w:r>
      <w:r w:rsidR="00526675" w:rsidRPr="00024916">
        <w:rPr>
          <w:i/>
        </w:rPr>
        <w:noBreakHyphen/>
      </w:r>
      <w:r w:rsidRPr="00024916">
        <w:t>studier har visat att dess verkningsmekanism gentemot hiv är dess hämning av hivs omvänt transkriptasenzym, vilket resulterar i ett kedjeavbrott och avbrytande av den virala replikationscykeln. Ingen antagonism mot abakavirs antivirala effekt i cellodling observerades vid kombination med nukleosidanalogerna (NRTI) didanosin, emtricitabin, lamivudin, stavudin, tenofovir eller zidovudin, icke-nukleosidanalogen (NNRTI) nevirapin, eller proteashämmaren (PI) amprenavir.</w:t>
      </w:r>
    </w:p>
    <w:p w14:paraId="4F1C7938" w14:textId="77777777" w:rsidR="00B13606" w:rsidRPr="00024916" w:rsidRDefault="00B13606" w:rsidP="00A52061">
      <w:pPr>
        <w:pStyle w:val="Brdtext"/>
        <w:spacing w:before="11"/>
      </w:pPr>
    </w:p>
    <w:p w14:paraId="12633057" w14:textId="77777777" w:rsidR="00B13606" w:rsidRPr="00024916" w:rsidRDefault="00B13606" w:rsidP="00A52061">
      <w:pPr>
        <w:pStyle w:val="Brdtext"/>
      </w:pPr>
      <w:r w:rsidRPr="00024916">
        <w:rPr>
          <w:u w:val="single"/>
        </w:rPr>
        <w:t>Resistens</w:t>
      </w:r>
    </w:p>
    <w:p w14:paraId="024228AA" w14:textId="77777777" w:rsidR="00B13606" w:rsidRPr="00024916" w:rsidRDefault="00B13606" w:rsidP="00A52061">
      <w:pPr>
        <w:pStyle w:val="Brdtext"/>
        <w:spacing w:before="1"/>
      </w:pPr>
    </w:p>
    <w:p w14:paraId="3F1EB7EE" w14:textId="77777777" w:rsidR="00B13606" w:rsidRPr="00024916" w:rsidRDefault="00B13606" w:rsidP="00A52061">
      <w:pPr>
        <w:pStyle w:val="Brdtext"/>
        <w:spacing w:before="92"/>
      </w:pPr>
      <w:r w:rsidRPr="00024916">
        <w:rPr>
          <w:i/>
        </w:rPr>
        <w:t xml:space="preserve">Resistens in vitro: </w:t>
      </w:r>
      <w:r w:rsidRPr="00024916">
        <w:t xml:space="preserve">Abakavirresistenta isolat av hiv-1 har selekterats fram </w:t>
      </w:r>
      <w:r w:rsidRPr="00024916">
        <w:rPr>
          <w:i/>
        </w:rPr>
        <w:t xml:space="preserve">in vitro </w:t>
      </w:r>
      <w:r w:rsidRPr="00024916">
        <w:t xml:space="preserve">och är associerade med specifika genotypförändringar i regionen kodande för omvänt transkriptas (M184V, K65R, L74V, och Y115F). Viral resistens mot abakavir utvecklas relativt långsamt </w:t>
      </w:r>
      <w:r w:rsidRPr="00024916">
        <w:rPr>
          <w:i/>
        </w:rPr>
        <w:t xml:space="preserve">in vitro </w:t>
      </w:r>
      <w:r w:rsidRPr="00024916">
        <w:t xml:space="preserve">och kräver multipla </w:t>
      </w:r>
      <w:r w:rsidRPr="00024916">
        <w:rPr>
          <w:position w:val="2"/>
        </w:rPr>
        <w:t>mutationer för en kliniskt relevant ökning i EC</w:t>
      </w:r>
      <w:r w:rsidR="00526675" w:rsidRPr="00024916">
        <w:rPr>
          <w:position w:val="2"/>
          <w:vertAlign w:val="subscript"/>
        </w:rPr>
        <w:t>50</w:t>
      </w:r>
      <w:r w:rsidRPr="00024916">
        <w:t xml:space="preserve"> </w:t>
      </w:r>
      <w:r w:rsidRPr="00024916">
        <w:rPr>
          <w:position w:val="2"/>
        </w:rPr>
        <w:t>av ”wild-type” virus.</w:t>
      </w:r>
    </w:p>
    <w:p w14:paraId="18830BD1" w14:textId="77777777" w:rsidR="00B13606" w:rsidRPr="00024916" w:rsidRDefault="00B13606" w:rsidP="00A52061">
      <w:pPr>
        <w:pStyle w:val="Brdtext"/>
        <w:spacing w:before="8"/>
      </w:pPr>
    </w:p>
    <w:p w14:paraId="7669200C" w14:textId="3BAA2EA9" w:rsidR="00B13606" w:rsidRPr="00024916" w:rsidRDefault="00B13606" w:rsidP="00A52061">
      <w:pPr>
        <w:pStyle w:val="Brdtext"/>
      </w:pPr>
      <w:r w:rsidRPr="00024916">
        <w:rPr>
          <w:i/>
        </w:rPr>
        <w:t>Resistens in vivo (behandlingsnaiva patienter)</w:t>
      </w:r>
      <w:r w:rsidRPr="00024916">
        <w:t>. I pivotala kliniska studier visade isolat från flertalet patienter med virologisk svikt vid behandling med aba</w:t>
      </w:r>
      <w:r w:rsidR="00084A5A" w:rsidRPr="00024916">
        <w:t>k</w:t>
      </w:r>
      <w:r w:rsidRPr="00024916">
        <w:t>avir antingen inga NRTI</w:t>
      </w:r>
      <w:r w:rsidR="00526675" w:rsidRPr="00024916">
        <w:noBreakHyphen/>
      </w:r>
      <w:r w:rsidRPr="00024916">
        <w:t>relaterade förändringar jämfört med baseline (45</w:t>
      </w:r>
      <w:r w:rsidR="00526675" w:rsidRPr="00024916">
        <w:t> </w:t>
      </w:r>
      <w:r w:rsidRPr="00024916">
        <w:t>%) eller endast M184V eller M184I-selektion (45</w:t>
      </w:r>
      <w:r w:rsidR="00526675" w:rsidRPr="00024916">
        <w:t> </w:t>
      </w:r>
      <w:r w:rsidRPr="00024916">
        <w:t>%). Den totala selektionsfrekvensen för M184V eller M184I var hög (54</w:t>
      </w:r>
      <w:r w:rsidR="00526675" w:rsidRPr="00024916">
        <w:t> </w:t>
      </w:r>
      <w:r w:rsidRPr="00024916">
        <w:t>%). Mindre vanlig var selektionen av L74V (5</w:t>
      </w:r>
      <w:r w:rsidR="00526675" w:rsidRPr="00024916">
        <w:t> </w:t>
      </w:r>
      <w:r w:rsidRPr="00024916">
        <w:t>%), K65R (1</w:t>
      </w:r>
      <w:r w:rsidR="00526675" w:rsidRPr="00024916">
        <w:t> </w:t>
      </w:r>
      <w:r w:rsidRPr="00024916">
        <w:t>%) och Y115F (1</w:t>
      </w:r>
      <w:r w:rsidR="00526675" w:rsidRPr="00024916">
        <w:t> </w:t>
      </w:r>
      <w:r w:rsidRPr="00024916">
        <w:t>%). När zidovudin inkluderas i behandlingen har frekvensen av L74V och K65R visat sig minska i närvaro av aba</w:t>
      </w:r>
      <w:r w:rsidR="00084A5A" w:rsidRPr="00024916">
        <w:t>k</w:t>
      </w:r>
      <w:r w:rsidRPr="00024916">
        <w:t>avir (med zidovudin: 0/40, utan zidovudin: 15/192, 8</w:t>
      </w:r>
      <w:r w:rsidR="00526675" w:rsidRPr="00024916">
        <w:t> </w:t>
      </w:r>
      <w:r w:rsidRPr="00024916">
        <w:t>%).</w:t>
      </w:r>
    </w:p>
    <w:p w14:paraId="39FF655F" w14:textId="77777777" w:rsidR="00B13606" w:rsidRPr="00024916" w:rsidRDefault="00B13606" w:rsidP="00A52061">
      <w:pPr>
        <w:pStyle w:val="Brdtext"/>
        <w:spacing w:before="2"/>
      </w:pPr>
    </w:p>
    <w:tbl>
      <w:tblPr>
        <w:tblStyle w:val="TableNormal1"/>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4"/>
        <w:gridCol w:w="1594"/>
        <w:gridCol w:w="1599"/>
        <w:gridCol w:w="1597"/>
        <w:gridCol w:w="1597"/>
      </w:tblGrid>
      <w:tr w:rsidR="00B13606" w:rsidRPr="00024916" w14:paraId="746C0F25" w14:textId="77777777" w:rsidTr="00D22313">
        <w:trPr>
          <w:trHeight w:val="1012"/>
        </w:trPr>
        <w:tc>
          <w:tcPr>
            <w:tcW w:w="1584" w:type="dxa"/>
          </w:tcPr>
          <w:p w14:paraId="15E0AE7A" w14:textId="77777777" w:rsidR="00B13606" w:rsidRPr="00024916" w:rsidRDefault="00B13606" w:rsidP="00A52061">
            <w:pPr>
              <w:pStyle w:val="TableParagraph"/>
              <w:spacing w:before="9"/>
              <w:jc w:val="left"/>
              <w:rPr>
                <w:lang w:val="sv-SE"/>
              </w:rPr>
            </w:pPr>
          </w:p>
          <w:p w14:paraId="6792444D" w14:textId="77777777" w:rsidR="00B13606" w:rsidRPr="00024916" w:rsidRDefault="00B13606" w:rsidP="00A52061">
            <w:pPr>
              <w:pStyle w:val="TableParagraph"/>
              <w:rPr>
                <w:b/>
                <w:lang w:val="sv-SE"/>
              </w:rPr>
            </w:pPr>
            <w:r w:rsidRPr="00024916">
              <w:rPr>
                <w:b/>
                <w:lang w:val="sv-SE"/>
              </w:rPr>
              <w:t>Behandling</w:t>
            </w:r>
          </w:p>
        </w:tc>
        <w:tc>
          <w:tcPr>
            <w:tcW w:w="1594" w:type="dxa"/>
          </w:tcPr>
          <w:p w14:paraId="715330D6" w14:textId="77777777" w:rsidR="00B13606" w:rsidRPr="00024916" w:rsidRDefault="00B13606" w:rsidP="00A52061">
            <w:pPr>
              <w:pStyle w:val="TableParagraph"/>
              <w:spacing w:before="1"/>
              <w:jc w:val="left"/>
              <w:rPr>
                <w:lang w:val="sv-SE"/>
              </w:rPr>
            </w:pPr>
          </w:p>
          <w:p w14:paraId="1F856D0B" w14:textId="3DA19069" w:rsidR="00B13606" w:rsidRPr="00024916" w:rsidRDefault="00B13606" w:rsidP="00A52061">
            <w:pPr>
              <w:pStyle w:val="TableParagraph"/>
              <w:jc w:val="left"/>
              <w:rPr>
                <w:b/>
                <w:lang w:val="sv-SE"/>
              </w:rPr>
            </w:pPr>
            <w:r w:rsidRPr="00024916">
              <w:rPr>
                <w:b/>
                <w:lang w:val="sv-SE"/>
              </w:rPr>
              <w:t xml:space="preserve">Abakavir + </w:t>
            </w:r>
            <w:r w:rsidR="00526675" w:rsidRPr="00024916">
              <w:rPr>
                <w:b/>
                <w:lang w:val="sv-SE"/>
              </w:rPr>
              <w:t>lam</w:t>
            </w:r>
            <w:r w:rsidR="00DA6084" w:rsidRPr="00024916">
              <w:rPr>
                <w:b/>
                <w:lang w:val="sv-SE"/>
              </w:rPr>
              <w:t>i</w:t>
            </w:r>
            <w:r w:rsidR="00526675" w:rsidRPr="00024916">
              <w:rPr>
                <w:b/>
                <w:lang w:val="sv-SE"/>
              </w:rPr>
              <w:t>vudin/ zidovudin</w:t>
            </w:r>
            <w:r w:rsidR="00526675" w:rsidRPr="00024916">
              <w:rPr>
                <w:b/>
                <w:vertAlign w:val="superscript"/>
                <w:lang w:val="sv-SE"/>
              </w:rPr>
              <w:t>1</w:t>
            </w:r>
          </w:p>
        </w:tc>
        <w:tc>
          <w:tcPr>
            <w:tcW w:w="1599" w:type="dxa"/>
          </w:tcPr>
          <w:p w14:paraId="5CB4F6AB" w14:textId="77777777" w:rsidR="00B13606" w:rsidRPr="00024916" w:rsidRDefault="00B13606" w:rsidP="00A52061">
            <w:pPr>
              <w:pStyle w:val="TableParagraph"/>
              <w:spacing w:before="125"/>
              <w:rPr>
                <w:b/>
                <w:lang w:val="sv-SE"/>
              </w:rPr>
            </w:pPr>
            <w:r w:rsidRPr="00024916">
              <w:rPr>
                <w:b/>
                <w:lang w:val="sv-SE"/>
              </w:rPr>
              <w:t>Abakavir + lamivudin + NNRTI</w:t>
            </w:r>
          </w:p>
        </w:tc>
        <w:tc>
          <w:tcPr>
            <w:tcW w:w="1597" w:type="dxa"/>
          </w:tcPr>
          <w:p w14:paraId="2567D663" w14:textId="77777777" w:rsidR="00B13606" w:rsidRPr="00024916" w:rsidRDefault="00B13606" w:rsidP="00A52061">
            <w:pPr>
              <w:pStyle w:val="TableParagraph"/>
              <w:rPr>
                <w:b/>
                <w:lang w:val="sv-SE"/>
              </w:rPr>
            </w:pPr>
            <w:r w:rsidRPr="00024916">
              <w:rPr>
                <w:b/>
                <w:lang w:val="sv-SE"/>
              </w:rPr>
              <w:t>Abakavir + lamivudin + PI (eller</w:t>
            </w:r>
            <w:r w:rsidR="00526675" w:rsidRPr="00024916">
              <w:rPr>
                <w:b/>
                <w:lang w:val="sv-SE"/>
              </w:rPr>
              <w:t xml:space="preserve"> </w:t>
            </w:r>
            <w:r w:rsidRPr="00024916">
              <w:rPr>
                <w:b/>
                <w:lang w:val="sv-SE"/>
              </w:rPr>
              <w:t>PI/ritonavir)</w:t>
            </w:r>
          </w:p>
        </w:tc>
        <w:tc>
          <w:tcPr>
            <w:tcW w:w="1597" w:type="dxa"/>
          </w:tcPr>
          <w:p w14:paraId="1B986CC2" w14:textId="77777777" w:rsidR="00B13606" w:rsidRPr="00024916" w:rsidRDefault="00B13606" w:rsidP="00A52061">
            <w:pPr>
              <w:pStyle w:val="TableParagraph"/>
              <w:spacing w:before="9"/>
              <w:jc w:val="left"/>
              <w:rPr>
                <w:lang w:val="sv-SE"/>
              </w:rPr>
            </w:pPr>
          </w:p>
          <w:p w14:paraId="41910B52" w14:textId="77777777" w:rsidR="00B13606" w:rsidRPr="00024916" w:rsidRDefault="00B13606" w:rsidP="00A52061">
            <w:pPr>
              <w:pStyle w:val="TableParagraph"/>
              <w:rPr>
                <w:b/>
                <w:lang w:val="sv-SE"/>
              </w:rPr>
            </w:pPr>
            <w:r w:rsidRPr="00024916">
              <w:rPr>
                <w:b/>
                <w:lang w:val="sv-SE"/>
              </w:rPr>
              <w:t>Totalt</w:t>
            </w:r>
          </w:p>
        </w:tc>
      </w:tr>
      <w:tr w:rsidR="00B13606" w:rsidRPr="00024916" w14:paraId="3FA510C0" w14:textId="77777777" w:rsidTr="00D22313">
        <w:trPr>
          <w:trHeight w:val="506"/>
        </w:trPr>
        <w:tc>
          <w:tcPr>
            <w:tcW w:w="1584" w:type="dxa"/>
          </w:tcPr>
          <w:p w14:paraId="708DEDC8" w14:textId="77777777" w:rsidR="00B13606" w:rsidRPr="00024916" w:rsidRDefault="00B13606" w:rsidP="00A52061">
            <w:pPr>
              <w:pStyle w:val="TableParagraph"/>
              <w:spacing w:before="2"/>
              <w:jc w:val="left"/>
              <w:rPr>
                <w:b/>
                <w:lang w:val="sv-SE"/>
              </w:rPr>
            </w:pPr>
            <w:r w:rsidRPr="00024916">
              <w:rPr>
                <w:b/>
                <w:lang w:val="sv-SE"/>
              </w:rPr>
              <w:t>Antal patienter</w:t>
            </w:r>
          </w:p>
        </w:tc>
        <w:tc>
          <w:tcPr>
            <w:tcW w:w="1594" w:type="dxa"/>
          </w:tcPr>
          <w:p w14:paraId="0FE80EDD" w14:textId="77777777" w:rsidR="00B13606" w:rsidRPr="00024916" w:rsidRDefault="00B13606" w:rsidP="00A52061">
            <w:pPr>
              <w:pStyle w:val="TableParagraph"/>
              <w:spacing w:before="123"/>
              <w:rPr>
                <w:lang w:val="sv-SE"/>
              </w:rPr>
            </w:pPr>
            <w:r w:rsidRPr="00024916">
              <w:rPr>
                <w:lang w:val="sv-SE"/>
              </w:rPr>
              <w:t>282</w:t>
            </w:r>
          </w:p>
        </w:tc>
        <w:tc>
          <w:tcPr>
            <w:tcW w:w="1599" w:type="dxa"/>
          </w:tcPr>
          <w:p w14:paraId="548EFBD7" w14:textId="77777777" w:rsidR="00B13606" w:rsidRPr="00024916" w:rsidRDefault="00B13606" w:rsidP="00A52061">
            <w:pPr>
              <w:pStyle w:val="TableParagraph"/>
              <w:spacing w:before="123"/>
              <w:rPr>
                <w:lang w:val="sv-SE"/>
              </w:rPr>
            </w:pPr>
            <w:r w:rsidRPr="00024916">
              <w:rPr>
                <w:lang w:val="sv-SE"/>
              </w:rPr>
              <w:t>1094</w:t>
            </w:r>
          </w:p>
        </w:tc>
        <w:tc>
          <w:tcPr>
            <w:tcW w:w="1597" w:type="dxa"/>
          </w:tcPr>
          <w:p w14:paraId="0C6052DB" w14:textId="77777777" w:rsidR="00B13606" w:rsidRPr="00024916" w:rsidRDefault="00B13606" w:rsidP="00A52061">
            <w:pPr>
              <w:pStyle w:val="TableParagraph"/>
              <w:spacing w:before="123"/>
              <w:rPr>
                <w:lang w:val="sv-SE"/>
              </w:rPr>
            </w:pPr>
            <w:r w:rsidRPr="00024916">
              <w:rPr>
                <w:lang w:val="sv-SE"/>
              </w:rPr>
              <w:t>909</w:t>
            </w:r>
          </w:p>
        </w:tc>
        <w:tc>
          <w:tcPr>
            <w:tcW w:w="1597" w:type="dxa"/>
          </w:tcPr>
          <w:p w14:paraId="665756AD" w14:textId="77777777" w:rsidR="00B13606" w:rsidRPr="00024916" w:rsidRDefault="00B13606" w:rsidP="00A52061">
            <w:pPr>
              <w:pStyle w:val="TableParagraph"/>
              <w:spacing w:before="123"/>
              <w:rPr>
                <w:lang w:val="sv-SE"/>
              </w:rPr>
            </w:pPr>
            <w:r w:rsidRPr="00024916">
              <w:rPr>
                <w:lang w:val="sv-SE"/>
              </w:rPr>
              <w:t>2285</w:t>
            </w:r>
          </w:p>
        </w:tc>
      </w:tr>
      <w:tr w:rsidR="00B13606" w:rsidRPr="00024916" w14:paraId="3231D51A" w14:textId="77777777" w:rsidTr="00D22313">
        <w:trPr>
          <w:trHeight w:val="757"/>
        </w:trPr>
        <w:tc>
          <w:tcPr>
            <w:tcW w:w="1584" w:type="dxa"/>
          </w:tcPr>
          <w:p w14:paraId="3A8070CA" w14:textId="77777777" w:rsidR="00B13606" w:rsidRPr="00024916" w:rsidRDefault="00B13606" w:rsidP="00A52061">
            <w:pPr>
              <w:pStyle w:val="TableParagraph"/>
              <w:spacing w:before="2"/>
              <w:rPr>
                <w:b/>
                <w:lang w:val="sv-SE"/>
              </w:rPr>
            </w:pPr>
            <w:r w:rsidRPr="00024916">
              <w:rPr>
                <w:b/>
                <w:lang w:val="sv-SE"/>
              </w:rPr>
              <w:t>Antal med virologisk svikt</w:t>
            </w:r>
          </w:p>
        </w:tc>
        <w:tc>
          <w:tcPr>
            <w:tcW w:w="1594" w:type="dxa"/>
          </w:tcPr>
          <w:p w14:paraId="6C73C375" w14:textId="77777777" w:rsidR="00B13606" w:rsidRPr="00024916" w:rsidRDefault="00B13606" w:rsidP="00A52061">
            <w:pPr>
              <w:pStyle w:val="TableParagraph"/>
              <w:spacing w:before="8"/>
              <w:rPr>
                <w:lang w:val="sv-SE"/>
              </w:rPr>
            </w:pPr>
          </w:p>
          <w:p w14:paraId="301E43AF" w14:textId="77777777" w:rsidR="00B13606" w:rsidRPr="00024916" w:rsidRDefault="00B13606" w:rsidP="00A52061">
            <w:pPr>
              <w:pStyle w:val="TableParagraph"/>
              <w:spacing w:before="1"/>
              <w:rPr>
                <w:lang w:val="sv-SE"/>
              </w:rPr>
            </w:pPr>
            <w:r w:rsidRPr="00024916">
              <w:rPr>
                <w:lang w:val="sv-SE"/>
              </w:rPr>
              <w:t>43</w:t>
            </w:r>
          </w:p>
        </w:tc>
        <w:tc>
          <w:tcPr>
            <w:tcW w:w="1599" w:type="dxa"/>
          </w:tcPr>
          <w:p w14:paraId="141764DF" w14:textId="77777777" w:rsidR="00B13606" w:rsidRPr="00024916" w:rsidRDefault="00B13606" w:rsidP="00A52061">
            <w:pPr>
              <w:pStyle w:val="TableParagraph"/>
              <w:spacing w:before="8"/>
              <w:rPr>
                <w:lang w:val="sv-SE"/>
              </w:rPr>
            </w:pPr>
          </w:p>
          <w:p w14:paraId="60857FC0" w14:textId="77777777" w:rsidR="00B13606" w:rsidRPr="00024916" w:rsidRDefault="00B13606" w:rsidP="00A52061">
            <w:pPr>
              <w:pStyle w:val="TableParagraph"/>
              <w:spacing w:before="1"/>
              <w:rPr>
                <w:lang w:val="sv-SE"/>
              </w:rPr>
            </w:pPr>
            <w:r w:rsidRPr="00024916">
              <w:rPr>
                <w:lang w:val="sv-SE"/>
              </w:rPr>
              <w:t>90</w:t>
            </w:r>
          </w:p>
        </w:tc>
        <w:tc>
          <w:tcPr>
            <w:tcW w:w="1597" w:type="dxa"/>
          </w:tcPr>
          <w:p w14:paraId="7C82C030" w14:textId="77777777" w:rsidR="00B13606" w:rsidRPr="00024916" w:rsidRDefault="00B13606" w:rsidP="00A52061">
            <w:pPr>
              <w:pStyle w:val="TableParagraph"/>
              <w:spacing w:before="8"/>
              <w:rPr>
                <w:lang w:val="sv-SE"/>
              </w:rPr>
            </w:pPr>
          </w:p>
          <w:p w14:paraId="3F13F0AB" w14:textId="77777777" w:rsidR="00B13606" w:rsidRPr="00024916" w:rsidRDefault="00B13606" w:rsidP="00A52061">
            <w:pPr>
              <w:pStyle w:val="TableParagraph"/>
              <w:spacing w:before="1"/>
              <w:rPr>
                <w:lang w:val="sv-SE"/>
              </w:rPr>
            </w:pPr>
            <w:r w:rsidRPr="00024916">
              <w:rPr>
                <w:lang w:val="sv-SE"/>
              </w:rPr>
              <w:t>158</w:t>
            </w:r>
          </w:p>
        </w:tc>
        <w:tc>
          <w:tcPr>
            <w:tcW w:w="1597" w:type="dxa"/>
          </w:tcPr>
          <w:p w14:paraId="7B049414" w14:textId="77777777" w:rsidR="00B13606" w:rsidRPr="00024916" w:rsidRDefault="00B13606" w:rsidP="00A52061">
            <w:pPr>
              <w:pStyle w:val="TableParagraph"/>
              <w:spacing w:before="8"/>
              <w:rPr>
                <w:lang w:val="sv-SE"/>
              </w:rPr>
            </w:pPr>
          </w:p>
          <w:p w14:paraId="79B1B9CD" w14:textId="77777777" w:rsidR="00B13606" w:rsidRPr="00024916" w:rsidRDefault="00B13606" w:rsidP="00A52061">
            <w:pPr>
              <w:pStyle w:val="TableParagraph"/>
              <w:spacing w:before="1"/>
              <w:rPr>
                <w:lang w:val="sv-SE"/>
              </w:rPr>
            </w:pPr>
            <w:r w:rsidRPr="00024916">
              <w:rPr>
                <w:lang w:val="sv-SE"/>
              </w:rPr>
              <w:t>291</w:t>
            </w:r>
          </w:p>
        </w:tc>
      </w:tr>
      <w:tr w:rsidR="00B13606" w:rsidRPr="00024916" w14:paraId="7A7CA046" w14:textId="77777777" w:rsidTr="00D22313">
        <w:trPr>
          <w:trHeight w:val="1012"/>
        </w:trPr>
        <w:tc>
          <w:tcPr>
            <w:tcW w:w="1584" w:type="dxa"/>
          </w:tcPr>
          <w:p w14:paraId="3CC90204" w14:textId="77777777" w:rsidR="00B13606" w:rsidRPr="00024916" w:rsidRDefault="00B13606" w:rsidP="00A52061">
            <w:pPr>
              <w:pStyle w:val="TableParagraph"/>
              <w:rPr>
                <w:b/>
                <w:lang w:val="sv-SE"/>
              </w:rPr>
            </w:pPr>
            <w:r w:rsidRPr="00024916">
              <w:rPr>
                <w:b/>
                <w:lang w:val="sv-SE"/>
              </w:rPr>
              <w:t>Antal genotyper vid pågående</w:t>
            </w:r>
          </w:p>
          <w:p w14:paraId="065F1671" w14:textId="77777777" w:rsidR="00B13606" w:rsidRPr="00024916" w:rsidRDefault="00B13606" w:rsidP="00A52061">
            <w:pPr>
              <w:pStyle w:val="TableParagraph"/>
              <w:rPr>
                <w:b/>
                <w:lang w:val="sv-SE"/>
              </w:rPr>
            </w:pPr>
            <w:r w:rsidRPr="00024916">
              <w:rPr>
                <w:b/>
                <w:lang w:val="sv-SE"/>
              </w:rPr>
              <w:t>behandling</w:t>
            </w:r>
          </w:p>
        </w:tc>
        <w:tc>
          <w:tcPr>
            <w:tcW w:w="1594" w:type="dxa"/>
          </w:tcPr>
          <w:p w14:paraId="08ECAF5E" w14:textId="77777777" w:rsidR="00B13606" w:rsidRPr="00024916" w:rsidRDefault="00B13606" w:rsidP="00A52061">
            <w:pPr>
              <w:pStyle w:val="TableParagraph"/>
              <w:spacing w:before="9"/>
              <w:rPr>
                <w:lang w:val="sv-SE"/>
              </w:rPr>
            </w:pPr>
          </w:p>
          <w:p w14:paraId="7B10531B" w14:textId="77777777" w:rsidR="00B13606" w:rsidRPr="00024916" w:rsidRDefault="00B13606" w:rsidP="00A52061">
            <w:pPr>
              <w:pStyle w:val="TableParagraph"/>
              <w:rPr>
                <w:lang w:val="sv-SE"/>
              </w:rPr>
            </w:pPr>
            <w:r w:rsidRPr="00024916">
              <w:rPr>
                <w:lang w:val="sv-SE"/>
              </w:rPr>
              <w:t>40 (100</w:t>
            </w:r>
            <w:r w:rsidR="00526675" w:rsidRPr="00024916">
              <w:rPr>
                <w:lang w:val="sv-SE"/>
              </w:rPr>
              <w:t> </w:t>
            </w:r>
            <w:r w:rsidRPr="00024916">
              <w:rPr>
                <w:lang w:val="sv-SE"/>
              </w:rPr>
              <w:t>%)</w:t>
            </w:r>
          </w:p>
        </w:tc>
        <w:tc>
          <w:tcPr>
            <w:tcW w:w="1599" w:type="dxa"/>
          </w:tcPr>
          <w:p w14:paraId="3C512839" w14:textId="77777777" w:rsidR="00B13606" w:rsidRPr="00024916" w:rsidRDefault="00B13606" w:rsidP="00A52061">
            <w:pPr>
              <w:pStyle w:val="TableParagraph"/>
              <w:spacing w:before="4"/>
              <w:rPr>
                <w:lang w:val="sv-SE"/>
              </w:rPr>
            </w:pPr>
          </w:p>
          <w:p w14:paraId="1080DE76" w14:textId="77777777" w:rsidR="00B13606" w:rsidRPr="00024916" w:rsidRDefault="00B13606" w:rsidP="00A52061">
            <w:pPr>
              <w:pStyle w:val="TableParagraph"/>
              <w:rPr>
                <w:lang w:val="sv-SE"/>
              </w:rPr>
            </w:pPr>
            <w:r w:rsidRPr="00024916">
              <w:rPr>
                <w:lang w:val="sv-SE"/>
              </w:rPr>
              <w:t>51 (100</w:t>
            </w:r>
            <w:r w:rsidR="00526675" w:rsidRPr="00024916">
              <w:rPr>
                <w:lang w:val="sv-SE"/>
              </w:rPr>
              <w:t> </w:t>
            </w:r>
            <w:r w:rsidRPr="00024916">
              <w:rPr>
                <w:lang w:val="sv-SE"/>
              </w:rPr>
              <w:t>%)</w:t>
            </w:r>
            <w:r w:rsidR="00526675" w:rsidRPr="00024916">
              <w:rPr>
                <w:vertAlign w:val="superscript"/>
                <w:lang w:val="sv-SE"/>
              </w:rPr>
              <w:t>2</w:t>
            </w:r>
          </w:p>
        </w:tc>
        <w:tc>
          <w:tcPr>
            <w:tcW w:w="1597" w:type="dxa"/>
          </w:tcPr>
          <w:p w14:paraId="3AE320D8" w14:textId="77777777" w:rsidR="00B13606" w:rsidRPr="00024916" w:rsidRDefault="00B13606" w:rsidP="00A52061">
            <w:pPr>
              <w:pStyle w:val="TableParagraph"/>
              <w:spacing w:before="9"/>
              <w:rPr>
                <w:lang w:val="sv-SE"/>
              </w:rPr>
            </w:pPr>
          </w:p>
          <w:p w14:paraId="366FDF5A" w14:textId="77777777" w:rsidR="00B13606" w:rsidRPr="00024916" w:rsidRDefault="00B13606" w:rsidP="00A52061">
            <w:pPr>
              <w:pStyle w:val="TableParagraph"/>
              <w:rPr>
                <w:lang w:val="sv-SE"/>
              </w:rPr>
            </w:pPr>
            <w:r w:rsidRPr="00024916">
              <w:rPr>
                <w:lang w:val="sv-SE"/>
              </w:rPr>
              <w:t>141 (100</w:t>
            </w:r>
            <w:r w:rsidR="00526675" w:rsidRPr="00024916">
              <w:rPr>
                <w:lang w:val="sv-SE"/>
              </w:rPr>
              <w:t> </w:t>
            </w:r>
            <w:r w:rsidRPr="00024916">
              <w:rPr>
                <w:lang w:val="sv-SE"/>
              </w:rPr>
              <w:t>%)</w:t>
            </w:r>
          </w:p>
        </w:tc>
        <w:tc>
          <w:tcPr>
            <w:tcW w:w="1597" w:type="dxa"/>
          </w:tcPr>
          <w:p w14:paraId="7CD85436" w14:textId="77777777" w:rsidR="00B13606" w:rsidRPr="00024916" w:rsidRDefault="00B13606" w:rsidP="00A52061">
            <w:pPr>
              <w:pStyle w:val="TableParagraph"/>
              <w:spacing w:before="9"/>
              <w:rPr>
                <w:lang w:val="sv-SE"/>
              </w:rPr>
            </w:pPr>
          </w:p>
          <w:p w14:paraId="122397A0" w14:textId="77777777" w:rsidR="00B13606" w:rsidRPr="00024916" w:rsidRDefault="00B13606" w:rsidP="00A52061">
            <w:pPr>
              <w:pStyle w:val="TableParagraph"/>
              <w:rPr>
                <w:lang w:val="sv-SE"/>
              </w:rPr>
            </w:pPr>
            <w:r w:rsidRPr="00024916">
              <w:rPr>
                <w:lang w:val="sv-SE"/>
              </w:rPr>
              <w:t>232 (100</w:t>
            </w:r>
            <w:r w:rsidR="00526675" w:rsidRPr="00024916">
              <w:rPr>
                <w:lang w:val="sv-SE"/>
              </w:rPr>
              <w:t> </w:t>
            </w:r>
            <w:r w:rsidRPr="00024916">
              <w:rPr>
                <w:lang w:val="sv-SE"/>
              </w:rPr>
              <w:t>%)</w:t>
            </w:r>
          </w:p>
        </w:tc>
      </w:tr>
      <w:tr w:rsidR="00B13606" w:rsidRPr="00024916" w14:paraId="5867329C" w14:textId="77777777" w:rsidTr="00D22313">
        <w:trPr>
          <w:trHeight w:val="508"/>
        </w:trPr>
        <w:tc>
          <w:tcPr>
            <w:tcW w:w="1584" w:type="dxa"/>
          </w:tcPr>
          <w:p w14:paraId="1A1DA4C1" w14:textId="77777777" w:rsidR="00B13606" w:rsidRPr="00024916" w:rsidRDefault="00B13606" w:rsidP="00A52061">
            <w:pPr>
              <w:pStyle w:val="TableParagraph"/>
              <w:spacing w:before="125"/>
              <w:rPr>
                <w:b/>
                <w:lang w:val="sv-SE"/>
              </w:rPr>
            </w:pPr>
            <w:r w:rsidRPr="00024916">
              <w:rPr>
                <w:b/>
                <w:lang w:val="sv-SE"/>
              </w:rPr>
              <w:t>K65R</w:t>
            </w:r>
          </w:p>
        </w:tc>
        <w:tc>
          <w:tcPr>
            <w:tcW w:w="1594" w:type="dxa"/>
          </w:tcPr>
          <w:p w14:paraId="7E463562" w14:textId="77777777" w:rsidR="00B13606" w:rsidRPr="00024916" w:rsidRDefault="00B13606" w:rsidP="00A52061">
            <w:pPr>
              <w:pStyle w:val="TableParagraph"/>
              <w:spacing w:before="125"/>
              <w:rPr>
                <w:lang w:val="sv-SE"/>
              </w:rPr>
            </w:pPr>
            <w:r w:rsidRPr="00024916">
              <w:rPr>
                <w:lang w:val="sv-SE"/>
              </w:rPr>
              <w:t>0</w:t>
            </w:r>
          </w:p>
        </w:tc>
        <w:tc>
          <w:tcPr>
            <w:tcW w:w="1599" w:type="dxa"/>
          </w:tcPr>
          <w:p w14:paraId="667AF66C" w14:textId="77777777" w:rsidR="00B13606" w:rsidRPr="00024916" w:rsidRDefault="00B13606" w:rsidP="00A52061">
            <w:pPr>
              <w:pStyle w:val="TableParagraph"/>
              <w:spacing w:before="125"/>
              <w:rPr>
                <w:lang w:val="sv-SE"/>
              </w:rPr>
            </w:pPr>
            <w:r w:rsidRPr="00024916">
              <w:rPr>
                <w:lang w:val="sv-SE"/>
              </w:rPr>
              <w:t>1 (2</w:t>
            </w:r>
            <w:r w:rsidR="00526675" w:rsidRPr="00024916">
              <w:rPr>
                <w:lang w:val="sv-SE"/>
              </w:rPr>
              <w:t> </w:t>
            </w:r>
            <w:r w:rsidRPr="00024916">
              <w:rPr>
                <w:lang w:val="sv-SE"/>
              </w:rPr>
              <w:t>%)</w:t>
            </w:r>
          </w:p>
        </w:tc>
        <w:tc>
          <w:tcPr>
            <w:tcW w:w="1597" w:type="dxa"/>
          </w:tcPr>
          <w:p w14:paraId="164C76F6" w14:textId="77777777" w:rsidR="00B13606" w:rsidRPr="00024916" w:rsidRDefault="00B13606" w:rsidP="00A52061">
            <w:pPr>
              <w:pStyle w:val="TableParagraph"/>
              <w:spacing w:before="125"/>
              <w:rPr>
                <w:lang w:val="sv-SE"/>
              </w:rPr>
            </w:pPr>
            <w:r w:rsidRPr="00024916">
              <w:rPr>
                <w:lang w:val="sv-SE"/>
              </w:rPr>
              <w:t>2 (1</w:t>
            </w:r>
            <w:r w:rsidR="00526675" w:rsidRPr="00024916">
              <w:rPr>
                <w:lang w:val="sv-SE"/>
              </w:rPr>
              <w:t> </w:t>
            </w:r>
            <w:r w:rsidRPr="00024916">
              <w:rPr>
                <w:lang w:val="sv-SE"/>
              </w:rPr>
              <w:t>%)</w:t>
            </w:r>
          </w:p>
        </w:tc>
        <w:tc>
          <w:tcPr>
            <w:tcW w:w="1597" w:type="dxa"/>
          </w:tcPr>
          <w:p w14:paraId="0E7C7A29" w14:textId="77777777" w:rsidR="00B13606" w:rsidRPr="00024916" w:rsidRDefault="00B13606" w:rsidP="00A52061">
            <w:pPr>
              <w:pStyle w:val="TableParagraph"/>
              <w:spacing w:before="125"/>
              <w:rPr>
                <w:lang w:val="sv-SE"/>
              </w:rPr>
            </w:pPr>
            <w:r w:rsidRPr="00024916">
              <w:rPr>
                <w:lang w:val="sv-SE"/>
              </w:rPr>
              <w:t>3 (1</w:t>
            </w:r>
            <w:r w:rsidR="00526675" w:rsidRPr="00024916">
              <w:rPr>
                <w:lang w:val="sv-SE"/>
              </w:rPr>
              <w:t> </w:t>
            </w:r>
            <w:r w:rsidRPr="00024916">
              <w:rPr>
                <w:lang w:val="sv-SE"/>
              </w:rPr>
              <w:t>%)</w:t>
            </w:r>
          </w:p>
        </w:tc>
      </w:tr>
      <w:tr w:rsidR="00B13606" w:rsidRPr="00024916" w14:paraId="3A9BCC62" w14:textId="77777777" w:rsidTr="00D22313">
        <w:trPr>
          <w:trHeight w:val="256"/>
        </w:trPr>
        <w:tc>
          <w:tcPr>
            <w:tcW w:w="1584" w:type="dxa"/>
          </w:tcPr>
          <w:p w14:paraId="0A0D81F6" w14:textId="77777777" w:rsidR="00B13606" w:rsidRPr="00024916" w:rsidRDefault="00B13606" w:rsidP="00A52061">
            <w:pPr>
              <w:pStyle w:val="TableParagraph"/>
              <w:spacing w:before="1"/>
              <w:rPr>
                <w:b/>
                <w:lang w:val="sv-SE"/>
              </w:rPr>
            </w:pPr>
            <w:r w:rsidRPr="00024916">
              <w:rPr>
                <w:b/>
                <w:lang w:val="sv-SE"/>
              </w:rPr>
              <w:t>L74V</w:t>
            </w:r>
          </w:p>
        </w:tc>
        <w:tc>
          <w:tcPr>
            <w:tcW w:w="1594" w:type="dxa"/>
          </w:tcPr>
          <w:p w14:paraId="433F7470" w14:textId="77777777" w:rsidR="00B13606" w:rsidRPr="00024916" w:rsidRDefault="00B13606" w:rsidP="00A52061">
            <w:pPr>
              <w:pStyle w:val="TableParagraph"/>
              <w:spacing w:before="1"/>
              <w:rPr>
                <w:lang w:val="sv-SE"/>
              </w:rPr>
            </w:pPr>
            <w:r w:rsidRPr="00024916">
              <w:rPr>
                <w:lang w:val="sv-SE"/>
              </w:rPr>
              <w:t>0</w:t>
            </w:r>
          </w:p>
        </w:tc>
        <w:tc>
          <w:tcPr>
            <w:tcW w:w="1599" w:type="dxa"/>
          </w:tcPr>
          <w:p w14:paraId="7462BDC2" w14:textId="77777777" w:rsidR="00B13606" w:rsidRPr="00024916" w:rsidRDefault="00B13606" w:rsidP="00A52061">
            <w:pPr>
              <w:pStyle w:val="TableParagraph"/>
              <w:spacing w:before="1"/>
              <w:rPr>
                <w:lang w:val="sv-SE"/>
              </w:rPr>
            </w:pPr>
            <w:r w:rsidRPr="00024916">
              <w:rPr>
                <w:lang w:val="sv-SE"/>
              </w:rPr>
              <w:t>9 (18</w:t>
            </w:r>
            <w:r w:rsidR="00526675" w:rsidRPr="00024916">
              <w:rPr>
                <w:lang w:val="sv-SE"/>
              </w:rPr>
              <w:t> </w:t>
            </w:r>
            <w:r w:rsidRPr="00024916">
              <w:rPr>
                <w:lang w:val="sv-SE"/>
              </w:rPr>
              <w:t>%)</w:t>
            </w:r>
          </w:p>
        </w:tc>
        <w:tc>
          <w:tcPr>
            <w:tcW w:w="1597" w:type="dxa"/>
          </w:tcPr>
          <w:p w14:paraId="0B16A9D9" w14:textId="77777777" w:rsidR="00B13606" w:rsidRPr="00024916" w:rsidRDefault="00B13606" w:rsidP="00A52061">
            <w:pPr>
              <w:pStyle w:val="TableParagraph"/>
              <w:spacing w:before="1"/>
              <w:rPr>
                <w:lang w:val="sv-SE"/>
              </w:rPr>
            </w:pPr>
            <w:r w:rsidRPr="00024916">
              <w:rPr>
                <w:lang w:val="sv-SE"/>
              </w:rPr>
              <w:t>3 (2%)</w:t>
            </w:r>
          </w:p>
        </w:tc>
        <w:tc>
          <w:tcPr>
            <w:tcW w:w="1597" w:type="dxa"/>
          </w:tcPr>
          <w:p w14:paraId="7F7EB2BC" w14:textId="77777777" w:rsidR="00B13606" w:rsidRPr="00024916" w:rsidRDefault="00B13606" w:rsidP="00A52061">
            <w:pPr>
              <w:pStyle w:val="TableParagraph"/>
              <w:spacing w:before="1"/>
              <w:rPr>
                <w:lang w:val="sv-SE"/>
              </w:rPr>
            </w:pPr>
            <w:r w:rsidRPr="00024916">
              <w:rPr>
                <w:lang w:val="sv-SE"/>
              </w:rPr>
              <w:t>12 (5</w:t>
            </w:r>
            <w:r w:rsidR="00526675" w:rsidRPr="00024916">
              <w:rPr>
                <w:lang w:val="sv-SE"/>
              </w:rPr>
              <w:t> </w:t>
            </w:r>
            <w:r w:rsidRPr="00024916">
              <w:rPr>
                <w:lang w:val="sv-SE"/>
              </w:rPr>
              <w:t>%)</w:t>
            </w:r>
          </w:p>
        </w:tc>
      </w:tr>
      <w:tr w:rsidR="00B13606" w:rsidRPr="00024916" w14:paraId="0BE1A5E6" w14:textId="77777777" w:rsidTr="00D22313">
        <w:trPr>
          <w:trHeight w:val="254"/>
        </w:trPr>
        <w:tc>
          <w:tcPr>
            <w:tcW w:w="1584" w:type="dxa"/>
          </w:tcPr>
          <w:p w14:paraId="05FCAFA2" w14:textId="77777777" w:rsidR="00B13606" w:rsidRPr="00024916" w:rsidRDefault="00B13606" w:rsidP="00A52061">
            <w:pPr>
              <w:pStyle w:val="TableParagraph"/>
              <w:rPr>
                <w:b/>
                <w:lang w:val="sv-SE"/>
              </w:rPr>
            </w:pPr>
            <w:r w:rsidRPr="00024916">
              <w:rPr>
                <w:b/>
                <w:lang w:val="sv-SE"/>
              </w:rPr>
              <w:t>Y115F</w:t>
            </w:r>
          </w:p>
        </w:tc>
        <w:tc>
          <w:tcPr>
            <w:tcW w:w="1594" w:type="dxa"/>
          </w:tcPr>
          <w:p w14:paraId="49EAA022" w14:textId="77777777" w:rsidR="00B13606" w:rsidRPr="00024916" w:rsidRDefault="00B13606" w:rsidP="00A52061">
            <w:pPr>
              <w:pStyle w:val="TableParagraph"/>
              <w:rPr>
                <w:lang w:val="sv-SE"/>
              </w:rPr>
            </w:pPr>
            <w:r w:rsidRPr="00024916">
              <w:rPr>
                <w:lang w:val="sv-SE"/>
              </w:rPr>
              <w:t>0</w:t>
            </w:r>
          </w:p>
        </w:tc>
        <w:tc>
          <w:tcPr>
            <w:tcW w:w="1599" w:type="dxa"/>
          </w:tcPr>
          <w:p w14:paraId="490E20BA" w14:textId="77777777" w:rsidR="00B13606" w:rsidRPr="00024916" w:rsidRDefault="00B13606" w:rsidP="00A52061">
            <w:pPr>
              <w:pStyle w:val="TableParagraph"/>
              <w:rPr>
                <w:lang w:val="sv-SE"/>
              </w:rPr>
            </w:pPr>
            <w:r w:rsidRPr="00024916">
              <w:rPr>
                <w:lang w:val="sv-SE"/>
              </w:rPr>
              <w:t>2 (4</w:t>
            </w:r>
            <w:r w:rsidR="00526675" w:rsidRPr="00024916">
              <w:rPr>
                <w:lang w:val="sv-SE"/>
              </w:rPr>
              <w:t> </w:t>
            </w:r>
            <w:r w:rsidRPr="00024916">
              <w:rPr>
                <w:lang w:val="sv-SE"/>
              </w:rPr>
              <w:t>%)</w:t>
            </w:r>
          </w:p>
        </w:tc>
        <w:tc>
          <w:tcPr>
            <w:tcW w:w="1597" w:type="dxa"/>
          </w:tcPr>
          <w:p w14:paraId="3E0A5A62" w14:textId="77777777" w:rsidR="00B13606" w:rsidRPr="00024916" w:rsidRDefault="00B13606" w:rsidP="00A52061">
            <w:pPr>
              <w:pStyle w:val="TableParagraph"/>
              <w:rPr>
                <w:lang w:val="sv-SE"/>
              </w:rPr>
            </w:pPr>
            <w:r w:rsidRPr="00024916">
              <w:rPr>
                <w:lang w:val="sv-SE"/>
              </w:rPr>
              <w:t>0</w:t>
            </w:r>
          </w:p>
        </w:tc>
        <w:tc>
          <w:tcPr>
            <w:tcW w:w="1597" w:type="dxa"/>
          </w:tcPr>
          <w:p w14:paraId="2E3A4123" w14:textId="77777777" w:rsidR="00B13606" w:rsidRPr="00024916" w:rsidRDefault="00B13606" w:rsidP="00A52061">
            <w:pPr>
              <w:pStyle w:val="TableParagraph"/>
              <w:rPr>
                <w:lang w:val="sv-SE"/>
              </w:rPr>
            </w:pPr>
            <w:r w:rsidRPr="00024916">
              <w:rPr>
                <w:lang w:val="sv-SE"/>
              </w:rPr>
              <w:t>2 (1</w:t>
            </w:r>
            <w:r w:rsidR="00526675" w:rsidRPr="00024916">
              <w:rPr>
                <w:lang w:val="sv-SE"/>
              </w:rPr>
              <w:t> </w:t>
            </w:r>
            <w:r w:rsidRPr="00024916">
              <w:rPr>
                <w:lang w:val="sv-SE"/>
              </w:rPr>
              <w:t>%)</w:t>
            </w:r>
          </w:p>
        </w:tc>
      </w:tr>
      <w:tr w:rsidR="00B13606" w:rsidRPr="00024916" w14:paraId="38EF67FD" w14:textId="77777777" w:rsidTr="00D22313">
        <w:trPr>
          <w:trHeight w:val="256"/>
        </w:trPr>
        <w:tc>
          <w:tcPr>
            <w:tcW w:w="1584" w:type="dxa"/>
          </w:tcPr>
          <w:p w14:paraId="6AA61549" w14:textId="77777777" w:rsidR="00B13606" w:rsidRPr="00024916" w:rsidRDefault="00B13606" w:rsidP="00A52061">
            <w:pPr>
              <w:pStyle w:val="TableParagraph"/>
              <w:spacing w:before="1"/>
              <w:rPr>
                <w:b/>
                <w:lang w:val="sv-SE"/>
              </w:rPr>
            </w:pPr>
            <w:r w:rsidRPr="00024916">
              <w:rPr>
                <w:b/>
                <w:lang w:val="sv-SE"/>
              </w:rPr>
              <w:t>M184V/I</w:t>
            </w:r>
          </w:p>
        </w:tc>
        <w:tc>
          <w:tcPr>
            <w:tcW w:w="1594" w:type="dxa"/>
          </w:tcPr>
          <w:p w14:paraId="008B7C39" w14:textId="77777777" w:rsidR="00B13606" w:rsidRPr="00024916" w:rsidRDefault="00B13606" w:rsidP="00A52061">
            <w:pPr>
              <w:pStyle w:val="TableParagraph"/>
              <w:spacing w:before="1"/>
              <w:rPr>
                <w:lang w:val="sv-SE"/>
              </w:rPr>
            </w:pPr>
            <w:r w:rsidRPr="00024916">
              <w:rPr>
                <w:lang w:val="sv-SE"/>
              </w:rPr>
              <w:t>34 (85</w:t>
            </w:r>
            <w:r w:rsidR="00526675" w:rsidRPr="00024916">
              <w:rPr>
                <w:lang w:val="sv-SE"/>
              </w:rPr>
              <w:t> </w:t>
            </w:r>
            <w:r w:rsidRPr="00024916">
              <w:rPr>
                <w:lang w:val="sv-SE"/>
              </w:rPr>
              <w:t>%)</w:t>
            </w:r>
          </w:p>
        </w:tc>
        <w:tc>
          <w:tcPr>
            <w:tcW w:w="1599" w:type="dxa"/>
          </w:tcPr>
          <w:p w14:paraId="02293D00" w14:textId="77777777" w:rsidR="00B13606" w:rsidRPr="00024916" w:rsidRDefault="00B13606" w:rsidP="00A52061">
            <w:pPr>
              <w:pStyle w:val="TableParagraph"/>
              <w:spacing w:before="1"/>
              <w:rPr>
                <w:lang w:val="sv-SE"/>
              </w:rPr>
            </w:pPr>
            <w:r w:rsidRPr="00024916">
              <w:rPr>
                <w:lang w:val="sv-SE"/>
              </w:rPr>
              <w:t>22 (43</w:t>
            </w:r>
            <w:r w:rsidR="00526675" w:rsidRPr="00024916">
              <w:rPr>
                <w:lang w:val="sv-SE"/>
              </w:rPr>
              <w:t> </w:t>
            </w:r>
            <w:r w:rsidRPr="00024916">
              <w:rPr>
                <w:lang w:val="sv-SE"/>
              </w:rPr>
              <w:t>%)</w:t>
            </w:r>
          </w:p>
        </w:tc>
        <w:tc>
          <w:tcPr>
            <w:tcW w:w="1597" w:type="dxa"/>
          </w:tcPr>
          <w:p w14:paraId="0315D583" w14:textId="77777777" w:rsidR="00B13606" w:rsidRPr="00024916" w:rsidRDefault="00B13606" w:rsidP="00A52061">
            <w:pPr>
              <w:pStyle w:val="TableParagraph"/>
              <w:spacing w:before="1"/>
              <w:rPr>
                <w:lang w:val="sv-SE"/>
              </w:rPr>
            </w:pPr>
            <w:r w:rsidRPr="00024916">
              <w:rPr>
                <w:lang w:val="sv-SE"/>
              </w:rPr>
              <w:t>70 (50</w:t>
            </w:r>
            <w:r w:rsidR="00526675" w:rsidRPr="00024916">
              <w:rPr>
                <w:lang w:val="sv-SE"/>
              </w:rPr>
              <w:t> </w:t>
            </w:r>
            <w:r w:rsidRPr="00024916">
              <w:rPr>
                <w:lang w:val="sv-SE"/>
              </w:rPr>
              <w:t>%)</w:t>
            </w:r>
          </w:p>
        </w:tc>
        <w:tc>
          <w:tcPr>
            <w:tcW w:w="1597" w:type="dxa"/>
          </w:tcPr>
          <w:p w14:paraId="77ACBD84" w14:textId="77777777" w:rsidR="00B13606" w:rsidRPr="00024916" w:rsidRDefault="00B13606" w:rsidP="00A52061">
            <w:pPr>
              <w:pStyle w:val="TableParagraph"/>
              <w:spacing w:before="1"/>
              <w:rPr>
                <w:lang w:val="sv-SE"/>
              </w:rPr>
            </w:pPr>
            <w:r w:rsidRPr="00024916">
              <w:rPr>
                <w:lang w:val="sv-SE"/>
              </w:rPr>
              <w:t>126 (54</w:t>
            </w:r>
            <w:r w:rsidR="00526675" w:rsidRPr="00024916">
              <w:rPr>
                <w:lang w:val="sv-SE"/>
              </w:rPr>
              <w:t> </w:t>
            </w:r>
            <w:r w:rsidRPr="00024916">
              <w:rPr>
                <w:lang w:val="sv-SE"/>
              </w:rPr>
              <w:t>%)</w:t>
            </w:r>
          </w:p>
        </w:tc>
      </w:tr>
      <w:tr w:rsidR="00B13606" w:rsidRPr="00024916" w14:paraId="42A1F7B3" w14:textId="77777777" w:rsidTr="00D22313">
        <w:trPr>
          <w:trHeight w:val="253"/>
        </w:trPr>
        <w:tc>
          <w:tcPr>
            <w:tcW w:w="1584" w:type="dxa"/>
          </w:tcPr>
          <w:p w14:paraId="5375192B" w14:textId="77777777" w:rsidR="00B13606" w:rsidRPr="00024916" w:rsidRDefault="00B13606" w:rsidP="00A52061">
            <w:pPr>
              <w:pStyle w:val="TableParagraph"/>
              <w:rPr>
                <w:b/>
                <w:vertAlign w:val="superscript"/>
                <w:lang w:val="sv-SE"/>
              </w:rPr>
            </w:pPr>
            <w:r w:rsidRPr="00024916">
              <w:rPr>
                <w:b/>
                <w:lang w:val="sv-SE"/>
              </w:rPr>
              <w:t>TAMs</w:t>
            </w:r>
            <w:r w:rsidR="00526675" w:rsidRPr="00024916">
              <w:rPr>
                <w:b/>
                <w:position w:val="8"/>
                <w:vertAlign w:val="superscript"/>
                <w:lang w:val="sv-SE"/>
              </w:rPr>
              <w:t>3</w:t>
            </w:r>
          </w:p>
        </w:tc>
        <w:tc>
          <w:tcPr>
            <w:tcW w:w="1594" w:type="dxa"/>
          </w:tcPr>
          <w:p w14:paraId="4E5372AB" w14:textId="77777777" w:rsidR="00B13606" w:rsidRPr="00024916" w:rsidRDefault="00B13606" w:rsidP="00A52061">
            <w:pPr>
              <w:pStyle w:val="TableParagraph"/>
              <w:rPr>
                <w:lang w:val="sv-SE"/>
              </w:rPr>
            </w:pPr>
            <w:r w:rsidRPr="00024916">
              <w:rPr>
                <w:lang w:val="sv-SE"/>
              </w:rPr>
              <w:t>3 (8</w:t>
            </w:r>
            <w:r w:rsidR="00526675" w:rsidRPr="00024916">
              <w:rPr>
                <w:lang w:val="sv-SE"/>
              </w:rPr>
              <w:t> </w:t>
            </w:r>
            <w:r w:rsidRPr="00024916">
              <w:rPr>
                <w:lang w:val="sv-SE"/>
              </w:rPr>
              <w:t>%)</w:t>
            </w:r>
          </w:p>
        </w:tc>
        <w:tc>
          <w:tcPr>
            <w:tcW w:w="1599" w:type="dxa"/>
          </w:tcPr>
          <w:p w14:paraId="7262E11C" w14:textId="77777777" w:rsidR="00B13606" w:rsidRPr="00024916" w:rsidRDefault="00B13606" w:rsidP="00A52061">
            <w:pPr>
              <w:pStyle w:val="TableParagraph"/>
              <w:rPr>
                <w:lang w:val="sv-SE"/>
              </w:rPr>
            </w:pPr>
            <w:r w:rsidRPr="00024916">
              <w:rPr>
                <w:lang w:val="sv-SE"/>
              </w:rPr>
              <w:t>2 (4</w:t>
            </w:r>
            <w:r w:rsidR="00526675" w:rsidRPr="00024916">
              <w:rPr>
                <w:lang w:val="sv-SE"/>
              </w:rPr>
              <w:t> </w:t>
            </w:r>
            <w:r w:rsidRPr="00024916">
              <w:rPr>
                <w:lang w:val="sv-SE"/>
              </w:rPr>
              <w:t>%)</w:t>
            </w:r>
          </w:p>
        </w:tc>
        <w:tc>
          <w:tcPr>
            <w:tcW w:w="1597" w:type="dxa"/>
          </w:tcPr>
          <w:p w14:paraId="5662EAF4" w14:textId="77777777" w:rsidR="00B13606" w:rsidRPr="00024916" w:rsidRDefault="00B13606" w:rsidP="00A52061">
            <w:pPr>
              <w:pStyle w:val="TableParagraph"/>
              <w:rPr>
                <w:lang w:val="sv-SE"/>
              </w:rPr>
            </w:pPr>
            <w:r w:rsidRPr="00024916">
              <w:rPr>
                <w:lang w:val="sv-SE"/>
              </w:rPr>
              <w:t>4 (3</w:t>
            </w:r>
            <w:r w:rsidR="00526675" w:rsidRPr="00024916">
              <w:rPr>
                <w:lang w:val="sv-SE"/>
              </w:rPr>
              <w:t> </w:t>
            </w:r>
            <w:r w:rsidRPr="00024916">
              <w:rPr>
                <w:lang w:val="sv-SE"/>
              </w:rPr>
              <w:t>%)</w:t>
            </w:r>
          </w:p>
        </w:tc>
        <w:tc>
          <w:tcPr>
            <w:tcW w:w="1597" w:type="dxa"/>
          </w:tcPr>
          <w:p w14:paraId="2BDC6F2E" w14:textId="77777777" w:rsidR="00B13606" w:rsidRPr="00024916" w:rsidRDefault="00B13606" w:rsidP="00A52061">
            <w:pPr>
              <w:pStyle w:val="TableParagraph"/>
              <w:rPr>
                <w:lang w:val="sv-SE"/>
              </w:rPr>
            </w:pPr>
            <w:r w:rsidRPr="00024916">
              <w:rPr>
                <w:lang w:val="sv-SE"/>
              </w:rPr>
              <w:t>9 (4</w:t>
            </w:r>
            <w:r w:rsidR="00526675" w:rsidRPr="00024916">
              <w:rPr>
                <w:lang w:val="sv-SE"/>
              </w:rPr>
              <w:t> </w:t>
            </w:r>
            <w:r w:rsidRPr="00024916">
              <w:rPr>
                <w:lang w:val="sv-SE"/>
              </w:rPr>
              <w:t>%)</w:t>
            </w:r>
          </w:p>
        </w:tc>
      </w:tr>
    </w:tbl>
    <w:p w14:paraId="5AA86C83" w14:textId="0ACCEDA7" w:rsidR="00B13606" w:rsidRPr="00024916" w:rsidRDefault="00F763B2" w:rsidP="00A52061">
      <w:pPr>
        <w:pStyle w:val="Liststycke"/>
        <w:numPr>
          <w:ilvl w:val="0"/>
          <w:numId w:val="3"/>
        </w:numPr>
        <w:tabs>
          <w:tab w:val="left" w:pos="440"/>
        </w:tabs>
        <w:ind w:left="284" w:hanging="284"/>
        <w:contextualSpacing w:val="0"/>
      </w:pPr>
      <w:r w:rsidRPr="00024916">
        <w:lastRenderedPageBreak/>
        <w:t>Lamivudine/Zidovudine</w:t>
      </w:r>
      <w:r w:rsidR="00B13606" w:rsidRPr="00024916">
        <w:t xml:space="preserve"> är en fast kombination av lamivudin och</w:t>
      </w:r>
      <w:r w:rsidR="00B13606" w:rsidRPr="00024916">
        <w:rPr>
          <w:spacing w:val="-4"/>
        </w:rPr>
        <w:t xml:space="preserve"> </w:t>
      </w:r>
      <w:r w:rsidR="00B13606" w:rsidRPr="00024916">
        <w:t>zidovudin</w:t>
      </w:r>
    </w:p>
    <w:p w14:paraId="0A57B94E" w14:textId="77777777" w:rsidR="00B13606" w:rsidRPr="00024916" w:rsidRDefault="00B13606" w:rsidP="00A52061">
      <w:pPr>
        <w:pStyle w:val="Liststycke"/>
        <w:numPr>
          <w:ilvl w:val="0"/>
          <w:numId w:val="3"/>
        </w:numPr>
        <w:tabs>
          <w:tab w:val="left" w:pos="440"/>
        </w:tabs>
        <w:spacing w:before="1"/>
        <w:ind w:left="284" w:hanging="284"/>
        <w:contextualSpacing w:val="0"/>
      </w:pPr>
      <w:r w:rsidRPr="00024916">
        <w:t>Inkluderar tre fall av icke-virologisk svikt och fyra obekräftade fall av virologisk</w:t>
      </w:r>
      <w:r w:rsidRPr="00024916">
        <w:rPr>
          <w:spacing w:val="-20"/>
        </w:rPr>
        <w:t xml:space="preserve"> </w:t>
      </w:r>
      <w:r w:rsidRPr="00024916">
        <w:t>svikt.</w:t>
      </w:r>
    </w:p>
    <w:p w14:paraId="626CA566" w14:textId="77777777" w:rsidR="00B13606" w:rsidRPr="00024916" w:rsidRDefault="00B13606" w:rsidP="00A52061">
      <w:pPr>
        <w:pStyle w:val="Brdtext"/>
        <w:ind w:left="284" w:hanging="284"/>
      </w:pPr>
      <w:r w:rsidRPr="00024916">
        <w:t xml:space="preserve">3 </w:t>
      </w:r>
      <w:r w:rsidR="00526675" w:rsidRPr="00024916">
        <w:tab/>
      </w:r>
      <w:r w:rsidRPr="00024916">
        <w:t xml:space="preserve">Antal individer med </w:t>
      </w:r>
      <w:r w:rsidR="00526675" w:rsidRPr="00024916">
        <w:t>≥1 </w:t>
      </w:r>
      <w:r w:rsidRPr="00024916">
        <w:t>Tymidinanalog</w:t>
      </w:r>
      <w:r w:rsidR="00526675" w:rsidRPr="00024916">
        <w:noBreakHyphen/>
      </w:r>
      <w:r w:rsidRPr="00024916">
        <w:t>mutationer (TAMs, i e 41, 67, 70, 210, 215, 219).</w:t>
      </w:r>
    </w:p>
    <w:p w14:paraId="7D121F81" w14:textId="77777777" w:rsidR="00B13606" w:rsidRPr="00024916" w:rsidRDefault="00B13606" w:rsidP="00A52061">
      <w:pPr>
        <w:pStyle w:val="Brdtext"/>
        <w:spacing w:before="11"/>
      </w:pPr>
    </w:p>
    <w:p w14:paraId="3B4F95D1" w14:textId="77777777" w:rsidR="00B13606" w:rsidRPr="00024916" w:rsidRDefault="00B13606" w:rsidP="00A52061">
      <w:pPr>
        <w:pStyle w:val="Brdtext"/>
      </w:pPr>
      <w:r w:rsidRPr="00024916">
        <w:t>TAMs skulle kunna selekteras då tymidinanaloger är associerade med abakavir. I en metaanalys av sex kliniska studier selekterades inga TAMs vid behandlingar där abakavir men inte zidovudin ingick</w:t>
      </w:r>
      <w:r w:rsidR="00526675" w:rsidRPr="00024916">
        <w:t xml:space="preserve"> </w:t>
      </w:r>
      <w:r w:rsidRPr="00024916">
        <w:t>(0/127), men selekterades däremot i de behandlingar där abakavir och tymidinanalogen zidovudin ingick (22/86, 26</w:t>
      </w:r>
      <w:r w:rsidR="00526675" w:rsidRPr="00024916">
        <w:t> </w:t>
      </w:r>
      <w:r w:rsidRPr="00024916">
        <w:t>%).</w:t>
      </w:r>
    </w:p>
    <w:p w14:paraId="773359CD" w14:textId="77777777" w:rsidR="00B13606" w:rsidRPr="00024916" w:rsidRDefault="00B13606" w:rsidP="00A52061">
      <w:pPr>
        <w:pStyle w:val="Brdtext"/>
        <w:spacing w:before="1"/>
      </w:pPr>
    </w:p>
    <w:p w14:paraId="0808F660" w14:textId="72C5D47D" w:rsidR="00B13606" w:rsidRPr="00024916" w:rsidRDefault="00B13606" w:rsidP="00A52061">
      <w:pPr>
        <w:pStyle w:val="Brdtext"/>
      </w:pPr>
      <w:r w:rsidRPr="00024916">
        <w:rPr>
          <w:i/>
        </w:rPr>
        <w:t xml:space="preserve">Resistens in vivo (tidigare behandlade patienter): </w:t>
      </w:r>
      <w:r w:rsidRPr="00024916">
        <w:t>Kliniskt signifikant minskad känslighet för aba</w:t>
      </w:r>
      <w:r w:rsidR="00084A5A" w:rsidRPr="00024916">
        <w:t>k</w:t>
      </w:r>
      <w:r w:rsidRPr="00024916">
        <w:t>avir har visats i kliniska isolat från patienter med virologisk svikt, vilka tidigare behandlats med och är resistenta mot andra nukleosidhämmare. I en metaanalys av fem kliniska studier där abakavir adderades för att förstärka behandlingen hade 123 av 166 individer (74%) M184V/I, 50 (30%) hade</w:t>
      </w:r>
      <w:r w:rsidR="00526675" w:rsidRPr="00024916">
        <w:t xml:space="preserve"> </w:t>
      </w:r>
      <w:r w:rsidRPr="00024916">
        <w:t>T215Y/F, 45 (27</w:t>
      </w:r>
      <w:r w:rsidR="00526675" w:rsidRPr="00024916">
        <w:t> </w:t>
      </w:r>
      <w:r w:rsidRPr="00024916">
        <w:t>%) hade M41L, 30 (18</w:t>
      </w:r>
      <w:r w:rsidR="00526675" w:rsidRPr="00024916">
        <w:t> </w:t>
      </w:r>
      <w:r w:rsidRPr="00024916">
        <w:t>%) hade K70R och 25 (15</w:t>
      </w:r>
      <w:r w:rsidR="00526675" w:rsidRPr="00024916">
        <w:t> </w:t>
      </w:r>
      <w:r w:rsidRPr="00024916">
        <w:t>%) hade D67N. K65R saknades och L74V och Y115F var ovanliga (</w:t>
      </w:r>
      <w:r w:rsidR="007A2167" w:rsidRPr="00024916">
        <w:t>(≤3 </w:t>
      </w:r>
      <w:r w:rsidRPr="00024916">
        <w:t>%). Logistisk regressionsmodellering av förutsägbara värden för genotyp (j</w:t>
      </w:r>
      <w:r w:rsidR="007A2167" w:rsidRPr="00024916">
        <w:t>usterade för basline plasma hiv</w:t>
      </w:r>
      <w:r w:rsidR="007A2167" w:rsidRPr="00024916">
        <w:noBreakHyphen/>
      </w:r>
      <w:r w:rsidRPr="00024916">
        <w:t>1 RNA [vRNA], CD4+cellantal, antal och längd på tidigare antiretrovirala behandlingar) visade att förekomst av tre eller fler mutationer förknippade med NRTI</w:t>
      </w:r>
      <w:r w:rsidR="007A2167" w:rsidRPr="00024916">
        <w:noBreakHyphen/>
      </w:r>
      <w:r w:rsidRPr="00024916">
        <w:t xml:space="preserve">resistens var associerade med minskad respons vecka 4 (p=0,015) eller fyra eller fler mutationer vecka </w:t>
      </w:r>
      <w:r w:rsidR="007A2167" w:rsidRPr="00024916">
        <w:t> </w:t>
      </w:r>
      <w:r w:rsidRPr="00024916">
        <w:t>4 (median)(p≤0,012). Dessutom orsakar ”69</w:t>
      </w:r>
      <w:r w:rsidR="007A2167" w:rsidRPr="00024916">
        <w:noBreakHyphen/>
      </w:r>
      <w:r w:rsidRPr="00024916">
        <w:t>insertion”</w:t>
      </w:r>
      <w:r w:rsidR="007A2167" w:rsidRPr="00024916">
        <w:noBreakHyphen/>
      </w:r>
      <w:r w:rsidRPr="00024916">
        <w:t>komplexet eller Q151M</w:t>
      </w:r>
      <w:r w:rsidR="007A2167" w:rsidRPr="00024916">
        <w:noBreakHyphen/>
      </w:r>
      <w:r w:rsidRPr="00024916">
        <w:t>mutationen (vanligt förekommande i kombination med A62V, V751, F77L och F116) en högre nivå av resistens mot abakavir.</w:t>
      </w:r>
    </w:p>
    <w:p w14:paraId="5AE07FBD" w14:textId="77777777" w:rsidR="00B13606" w:rsidRPr="00024916" w:rsidRDefault="00B13606" w:rsidP="00A52061">
      <w:pPr>
        <w:pStyle w:val="Brdtext"/>
        <w:spacing w:before="1"/>
      </w:pPr>
    </w:p>
    <w:tbl>
      <w:tblPr>
        <w:tblStyle w:val="TableNormal1"/>
        <w:tblW w:w="0" w:type="auto"/>
        <w:tblInd w:w="1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7"/>
        <w:gridCol w:w="1581"/>
        <w:gridCol w:w="1417"/>
        <w:gridCol w:w="1454"/>
      </w:tblGrid>
      <w:tr w:rsidR="00B13606" w:rsidRPr="00024916" w14:paraId="2EC6C7DE" w14:textId="77777777" w:rsidTr="00D22313">
        <w:trPr>
          <w:trHeight w:val="506"/>
        </w:trPr>
        <w:tc>
          <w:tcPr>
            <w:tcW w:w="2587" w:type="dxa"/>
            <w:vMerge w:val="restart"/>
            <w:tcBorders>
              <w:right w:val="single" w:sz="12" w:space="0" w:color="000000"/>
            </w:tcBorders>
          </w:tcPr>
          <w:p w14:paraId="71915EB5" w14:textId="77777777" w:rsidR="00B13606" w:rsidRPr="00024916" w:rsidRDefault="00B13606" w:rsidP="00A52061">
            <w:pPr>
              <w:pStyle w:val="TableParagraph"/>
              <w:spacing w:before="2"/>
              <w:jc w:val="left"/>
              <w:rPr>
                <w:lang w:val="sv-SE"/>
              </w:rPr>
            </w:pPr>
          </w:p>
          <w:p w14:paraId="70EB38EB" w14:textId="77777777" w:rsidR="00B13606" w:rsidRPr="00024916" w:rsidRDefault="00B13606" w:rsidP="00A52061">
            <w:pPr>
              <w:pStyle w:val="TableParagraph"/>
              <w:rPr>
                <w:b/>
                <w:lang w:val="sv-SE"/>
              </w:rPr>
            </w:pPr>
            <w:r w:rsidRPr="00024916">
              <w:rPr>
                <w:b/>
                <w:lang w:val="sv-SE"/>
              </w:rPr>
              <w:t>Omvänt transkriptashämmar- mutationer vid baseline</w:t>
            </w:r>
          </w:p>
        </w:tc>
        <w:tc>
          <w:tcPr>
            <w:tcW w:w="4452" w:type="dxa"/>
            <w:gridSpan w:val="3"/>
            <w:tcBorders>
              <w:left w:val="single" w:sz="12" w:space="0" w:color="000000"/>
              <w:right w:val="single" w:sz="12" w:space="0" w:color="000000"/>
            </w:tcBorders>
          </w:tcPr>
          <w:p w14:paraId="0AF37042" w14:textId="77777777" w:rsidR="00B13606" w:rsidRPr="00024916" w:rsidRDefault="00B13606" w:rsidP="00A52061">
            <w:pPr>
              <w:pStyle w:val="TableParagraph"/>
              <w:rPr>
                <w:b/>
                <w:lang w:val="sv-SE"/>
              </w:rPr>
            </w:pPr>
            <w:r w:rsidRPr="00024916">
              <w:rPr>
                <w:b/>
                <w:lang w:val="sv-SE"/>
              </w:rPr>
              <w:t>Vecka 4</w:t>
            </w:r>
          </w:p>
          <w:p w14:paraId="38264235" w14:textId="77777777" w:rsidR="00B13606" w:rsidRPr="00024916" w:rsidRDefault="00B13606" w:rsidP="00A52061">
            <w:pPr>
              <w:pStyle w:val="TableParagraph"/>
              <w:rPr>
                <w:b/>
                <w:lang w:val="sv-SE"/>
              </w:rPr>
            </w:pPr>
            <w:r w:rsidRPr="00024916">
              <w:rPr>
                <w:b/>
                <w:lang w:val="sv-SE"/>
              </w:rPr>
              <w:t>(n = 166)</w:t>
            </w:r>
          </w:p>
        </w:tc>
      </w:tr>
      <w:tr w:rsidR="00B13606" w:rsidRPr="00024916" w14:paraId="4454BE88" w14:textId="77777777" w:rsidTr="007A2167">
        <w:trPr>
          <w:trHeight w:val="1012"/>
        </w:trPr>
        <w:tc>
          <w:tcPr>
            <w:tcW w:w="2587" w:type="dxa"/>
            <w:vMerge/>
            <w:tcBorders>
              <w:top w:val="nil"/>
              <w:right w:val="single" w:sz="12" w:space="0" w:color="000000"/>
            </w:tcBorders>
          </w:tcPr>
          <w:p w14:paraId="1AEE569C" w14:textId="77777777" w:rsidR="00B13606" w:rsidRPr="00024916" w:rsidRDefault="00B13606" w:rsidP="00A52061">
            <w:pPr>
              <w:rPr>
                <w:lang w:val="sv-SE"/>
              </w:rPr>
            </w:pPr>
          </w:p>
        </w:tc>
        <w:tc>
          <w:tcPr>
            <w:tcW w:w="1581" w:type="dxa"/>
            <w:tcBorders>
              <w:left w:val="single" w:sz="12" w:space="0" w:color="000000"/>
            </w:tcBorders>
          </w:tcPr>
          <w:p w14:paraId="447D52AC" w14:textId="77777777" w:rsidR="00B13606" w:rsidRPr="00024916" w:rsidRDefault="00B13606" w:rsidP="00A52061">
            <w:pPr>
              <w:pStyle w:val="TableParagraph"/>
              <w:rPr>
                <w:b/>
                <w:lang w:val="sv-SE"/>
              </w:rPr>
            </w:pPr>
            <w:r w:rsidRPr="00024916">
              <w:rPr>
                <w:b/>
                <w:lang w:val="sv-SE"/>
              </w:rPr>
              <w:t>n</w:t>
            </w:r>
          </w:p>
        </w:tc>
        <w:tc>
          <w:tcPr>
            <w:tcW w:w="1417" w:type="dxa"/>
          </w:tcPr>
          <w:p w14:paraId="16D96C93" w14:textId="77777777" w:rsidR="00B13606" w:rsidRPr="00024916" w:rsidRDefault="00B13606" w:rsidP="00A52061">
            <w:pPr>
              <w:pStyle w:val="TableParagraph"/>
              <w:rPr>
                <w:b/>
                <w:lang w:val="sv-SE"/>
              </w:rPr>
            </w:pPr>
            <w:r w:rsidRPr="00024916">
              <w:rPr>
                <w:b/>
                <w:lang w:val="sv-SE"/>
              </w:rPr>
              <w:t>Median förändring</w:t>
            </w:r>
          </w:p>
          <w:p w14:paraId="2E26FFF2" w14:textId="77777777" w:rsidR="00B13606" w:rsidRPr="00024916" w:rsidRDefault="00B13606" w:rsidP="00A52061">
            <w:pPr>
              <w:pStyle w:val="TableParagraph"/>
              <w:spacing w:before="38"/>
              <w:rPr>
                <w:b/>
                <w:lang w:val="sv-SE"/>
              </w:rPr>
            </w:pPr>
            <w:r w:rsidRPr="00024916">
              <w:rPr>
                <w:b/>
                <w:position w:val="2"/>
                <w:lang w:val="sv-SE"/>
              </w:rPr>
              <w:t>vRNA (log</w:t>
            </w:r>
            <w:r w:rsidRPr="00024916">
              <w:rPr>
                <w:b/>
                <w:lang w:val="sv-SE"/>
              </w:rPr>
              <w:t>10 c/ml)</w:t>
            </w:r>
          </w:p>
        </w:tc>
        <w:tc>
          <w:tcPr>
            <w:tcW w:w="1454" w:type="dxa"/>
            <w:tcBorders>
              <w:right w:val="single" w:sz="12" w:space="0" w:color="000000"/>
            </w:tcBorders>
          </w:tcPr>
          <w:p w14:paraId="2935B7C3" w14:textId="77777777" w:rsidR="00B13606" w:rsidRPr="00024916" w:rsidRDefault="00B13606" w:rsidP="00A52061">
            <w:pPr>
              <w:pStyle w:val="TableParagraph"/>
              <w:spacing w:before="1"/>
              <w:rPr>
                <w:b/>
                <w:lang w:val="sv-SE"/>
              </w:rPr>
            </w:pPr>
            <w:r w:rsidRPr="00024916">
              <w:rPr>
                <w:b/>
                <w:lang w:val="sv-SE"/>
              </w:rPr>
              <w:t>Procent med</w:t>
            </w:r>
          </w:p>
          <w:p w14:paraId="0CD78D4F" w14:textId="77777777" w:rsidR="00B13606" w:rsidRPr="00024916" w:rsidRDefault="00B13606" w:rsidP="00A52061">
            <w:pPr>
              <w:pStyle w:val="TableParagraph"/>
              <w:spacing w:before="1"/>
              <w:rPr>
                <w:b/>
                <w:lang w:val="sv-SE"/>
              </w:rPr>
            </w:pPr>
            <w:r w:rsidRPr="00024916">
              <w:rPr>
                <w:b/>
                <w:lang w:val="sv-SE"/>
              </w:rPr>
              <w:t>&lt;400</w:t>
            </w:r>
            <w:r w:rsidR="007A2167" w:rsidRPr="00024916">
              <w:rPr>
                <w:b/>
                <w:lang w:val="sv-SE"/>
              </w:rPr>
              <w:t> </w:t>
            </w:r>
            <w:r w:rsidRPr="00024916">
              <w:rPr>
                <w:b/>
                <w:lang w:val="sv-SE"/>
              </w:rPr>
              <w:t>kopior/ml vRNA</w:t>
            </w:r>
          </w:p>
        </w:tc>
      </w:tr>
      <w:tr w:rsidR="00B13606" w:rsidRPr="00024916" w14:paraId="6F6DF5C3" w14:textId="77777777" w:rsidTr="007A2167">
        <w:trPr>
          <w:trHeight w:val="251"/>
        </w:trPr>
        <w:tc>
          <w:tcPr>
            <w:tcW w:w="2587" w:type="dxa"/>
            <w:tcBorders>
              <w:right w:val="single" w:sz="12" w:space="0" w:color="000000"/>
            </w:tcBorders>
          </w:tcPr>
          <w:p w14:paraId="021E2F0B" w14:textId="77777777" w:rsidR="00B13606" w:rsidRPr="00024916" w:rsidRDefault="00B13606" w:rsidP="00A52061">
            <w:pPr>
              <w:pStyle w:val="TableParagraph"/>
              <w:rPr>
                <w:b/>
                <w:lang w:val="sv-SE"/>
              </w:rPr>
            </w:pPr>
            <w:r w:rsidRPr="00024916">
              <w:rPr>
                <w:b/>
                <w:lang w:val="sv-SE"/>
              </w:rPr>
              <w:t>Inga</w:t>
            </w:r>
          </w:p>
        </w:tc>
        <w:tc>
          <w:tcPr>
            <w:tcW w:w="1581" w:type="dxa"/>
            <w:tcBorders>
              <w:left w:val="single" w:sz="12" w:space="0" w:color="000000"/>
            </w:tcBorders>
          </w:tcPr>
          <w:p w14:paraId="5AFF5EFC" w14:textId="77777777" w:rsidR="00B13606" w:rsidRPr="00024916" w:rsidRDefault="00B13606" w:rsidP="00A52061">
            <w:pPr>
              <w:pStyle w:val="TableParagraph"/>
              <w:rPr>
                <w:lang w:val="sv-SE"/>
              </w:rPr>
            </w:pPr>
            <w:r w:rsidRPr="00024916">
              <w:rPr>
                <w:lang w:val="sv-SE"/>
              </w:rPr>
              <w:t>15</w:t>
            </w:r>
          </w:p>
        </w:tc>
        <w:tc>
          <w:tcPr>
            <w:tcW w:w="1417" w:type="dxa"/>
          </w:tcPr>
          <w:p w14:paraId="11EBC6EA" w14:textId="77777777" w:rsidR="00B13606" w:rsidRPr="00024916" w:rsidRDefault="00B13606" w:rsidP="00A52061">
            <w:pPr>
              <w:pStyle w:val="TableParagraph"/>
              <w:rPr>
                <w:lang w:val="sv-SE"/>
              </w:rPr>
            </w:pPr>
            <w:r w:rsidRPr="00024916">
              <w:rPr>
                <w:lang w:val="sv-SE"/>
              </w:rPr>
              <w:t>-0</w:t>
            </w:r>
            <w:r w:rsidR="007A2167" w:rsidRPr="00024916">
              <w:rPr>
                <w:lang w:val="sv-SE"/>
              </w:rPr>
              <w:t>,</w:t>
            </w:r>
            <w:r w:rsidRPr="00024916">
              <w:rPr>
                <w:lang w:val="sv-SE"/>
              </w:rPr>
              <w:t>96</w:t>
            </w:r>
          </w:p>
        </w:tc>
        <w:tc>
          <w:tcPr>
            <w:tcW w:w="1454" w:type="dxa"/>
            <w:tcBorders>
              <w:right w:val="single" w:sz="12" w:space="0" w:color="000000"/>
            </w:tcBorders>
          </w:tcPr>
          <w:p w14:paraId="1D3AAF90" w14:textId="77777777" w:rsidR="00B13606" w:rsidRPr="00024916" w:rsidRDefault="00B13606" w:rsidP="00A52061">
            <w:pPr>
              <w:pStyle w:val="TableParagraph"/>
              <w:tabs>
                <w:tab w:val="left" w:pos="1418"/>
              </w:tabs>
              <w:rPr>
                <w:lang w:val="sv-SE"/>
              </w:rPr>
            </w:pPr>
            <w:r w:rsidRPr="00024916">
              <w:rPr>
                <w:lang w:val="sv-SE"/>
              </w:rPr>
              <w:t>40</w:t>
            </w:r>
            <w:r w:rsidR="007A2167" w:rsidRPr="00024916">
              <w:rPr>
                <w:lang w:val="sv-SE"/>
              </w:rPr>
              <w:t> </w:t>
            </w:r>
            <w:r w:rsidRPr="00024916">
              <w:rPr>
                <w:lang w:val="sv-SE"/>
              </w:rPr>
              <w:t>%</w:t>
            </w:r>
          </w:p>
        </w:tc>
      </w:tr>
      <w:tr w:rsidR="00B13606" w:rsidRPr="00024916" w14:paraId="086E90BE" w14:textId="77777777" w:rsidTr="007A2167">
        <w:trPr>
          <w:trHeight w:val="254"/>
        </w:trPr>
        <w:tc>
          <w:tcPr>
            <w:tcW w:w="2587" w:type="dxa"/>
            <w:tcBorders>
              <w:right w:val="single" w:sz="12" w:space="0" w:color="000000"/>
            </w:tcBorders>
          </w:tcPr>
          <w:p w14:paraId="687A1A7F" w14:textId="77777777" w:rsidR="00B13606" w:rsidRPr="00024916" w:rsidRDefault="00B13606" w:rsidP="00A52061">
            <w:pPr>
              <w:pStyle w:val="TableParagraph"/>
              <w:rPr>
                <w:b/>
                <w:lang w:val="sv-SE"/>
              </w:rPr>
            </w:pPr>
            <w:r w:rsidRPr="00024916">
              <w:rPr>
                <w:b/>
                <w:lang w:val="sv-SE"/>
              </w:rPr>
              <w:t>Endast M184V</w:t>
            </w:r>
          </w:p>
        </w:tc>
        <w:tc>
          <w:tcPr>
            <w:tcW w:w="1581" w:type="dxa"/>
            <w:tcBorders>
              <w:left w:val="single" w:sz="12" w:space="0" w:color="000000"/>
            </w:tcBorders>
          </w:tcPr>
          <w:p w14:paraId="2F576044" w14:textId="77777777" w:rsidR="00B13606" w:rsidRPr="00024916" w:rsidRDefault="00B13606" w:rsidP="00A52061">
            <w:pPr>
              <w:pStyle w:val="TableParagraph"/>
              <w:rPr>
                <w:lang w:val="sv-SE"/>
              </w:rPr>
            </w:pPr>
            <w:r w:rsidRPr="00024916">
              <w:rPr>
                <w:lang w:val="sv-SE"/>
              </w:rPr>
              <w:t>75</w:t>
            </w:r>
          </w:p>
        </w:tc>
        <w:tc>
          <w:tcPr>
            <w:tcW w:w="1417" w:type="dxa"/>
          </w:tcPr>
          <w:p w14:paraId="4614DA48" w14:textId="77777777" w:rsidR="00B13606" w:rsidRPr="00024916" w:rsidRDefault="00B13606" w:rsidP="00A52061">
            <w:pPr>
              <w:pStyle w:val="TableParagraph"/>
              <w:rPr>
                <w:lang w:val="sv-SE"/>
              </w:rPr>
            </w:pPr>
            <w:r w:rsidRPr="00024916">
              <w:rPr>
                <w:lang w:val="sv-SE"/>
              </w:rPr>
              <w:t>-0</w:t>
            </w:r>
            <w:r w:rsidR="007A2167" w:rsidRPr="00024916">
              <w:rPr>
                <w:lang w:val="sv-SE"/>
              </w:rPr>
              <w:t>,</w:t>
            </w:r>
            <w:r w:rsidRPr="00024916">
              <w:rPr>
                <w:lang w:val="sv-SE"/>
              </w:rPr>
              <w:t>74</w:t>
            </w:r>
          </w:p>
        </w:tc>
        <w:tc>
          <w:tcPr>
            <w:tcW w:w="1454" w:type="dxa"/>
            <w:tcBorders>
              <w:right w:val="single" w:sz="12" w:space="0" w:color="000000"/>
            </w:tcBorders>
          </w:tcPr>
          <w:p w14:paraId="2906E43C" w14:textId="77777777" w:rsidR="00B13606" w:rsidRPr="00024916" w:rsidRDefault="00B13606" w:rsidP="00A52061">
            <w:pPr>
              <w:pStyle w:val="TableParagraph"/>
              <w:rPr>
                <w:lang w:val="sv-SE"/>
              </w:rPr>
            </w:pPr>
            <w:r w:rsidRPr="00024916">
              <w:rPr>
                <w:lang w:val="sv-SE"/>
              </w:rPr>
              <w:t>64</w:t>
            </w:r>
            <w:r w:rsidR="007A2167" w:rsidRPr="00024916">
              <w:rPr>
                <w:lang w:val="sv-SE"/>
              </w:rPr>
              <w:t> </w:t>
            </w:r>
            <w:r w:rsidRPr="00024916">
              <w:rPr>
                <w:lang w:val="sv-SE"/>
              </w:rPr>
              <w:t>%</w:t>
            </w:r>
          </w:p>
        </w:tc>
      </w:tr>
      <w:tr w:rsidR="00B13606" w:rsidRPr="00024916" w14:paraId="763EBB7E" w14:textId="77777777" w:rsidTr="007A2167">
        <w:trPr>
          <w:trHeight w:val="506"/>
        </w:trPr>
        <w:tc>
          <w:tcPr>
            <w:tcW w:w="2587" w:type="dxa"/>
            <w:tcBorders>
              <w:right w:val="single" w:sz="12" w:space="0" w:color="000000"/>
            </w:tcBorders>
          </w:tcPr>
          <w:p w14:paraId="14B36C51" w14:textId="77777777" w:rsidR="00B13606" w:rsidRPr="00024916" w:rsidRDefault="00B13606" w:rsidP="00A52061">
            <w:pPr>
              <w:pStyle w:val="TableParagraph"/>
              <w:spacing w:before="2"/>
              <w:rPr>
                <w:b/>
                <w:lang w:val="sv-SE"/>
              </w:rPr>
            </w:pPr>
            <w:r w:rsidRPr="00024916">
              <w:rPr>
                <w:b/>
                <w:lang w:val="sv-SE"/>
              </w:rPr>
              <w:t>En NRTI mutation, vilken som helst</w:t>
            </w:r>
          </w:p>
        </w:tc>
        <w:tc>
          <w:tcPr>
            <w:tcW w:w="1581" w:type="dxa"/>
            <w:tcBorders>
              <w:left w:val="single" w:sz="12" w:space="0" w:color="000000"/>
            </w:tcBorders>
          </w:tcPr>
          <w:p w14:paraId="424F281B" w14:textId="77777777" w:rsidR="00B13606" w:rsidRPr="00024916" w:rsidRDefault="00B13606" w:rsidP="00A52061">
            <w:pPr>
              <w:pStyle w:val="TableParagraph"/>
              <w:spacing w:before="125"/>
              <w:rPr>
                <w:lang w:val="sv-SE"/>
              </w:rPr>
            </w:pPr>
            <w:r w:rsidRPr="00024916">
              <w:rPr>
                <w:lang w:val="sv-SE"/>
              </w:rPr>
              <w:t>82</w:t>
            </w:r>
          </w:p>
        </w:tc>
        <w:tc>
          <w:tcPr>
            <w:tcW w:w="1417" w:type="dxa"/>
          </w:tcPr>
          <w:p w14:paraId="71C274FD" w14:textId="77777777" w:rsidR="00B13606" w:rsidRPr="00024916" w:rsidRDefault="00B13606" w:rsidP="00A52061">
            <w:pPr>
              <w:pStyle w:val="TableParagraph"/>
              <w:spacing w:before="125"/>
              <w:rPr>
                <w:lang w:val="sv-SE"/>
              </w:rPr>
            </w:pPr>
            <w:r w:rsidRPr="00024916">
              <w:rPr>
                <w:lang w:val="sv-SE"/>
              </w:rPr>
              <w:t>-0</w:t>
            </w:r>
            <w:r w:rsidR="007A2167" w:rsidRPr="00024916">
              <w:rPr>
                <w:lang w:val="sv-SE"/>
              </w:rPr>
              <w:t>,</w:t>
            </w:r>
            <w:r w:rsidRPr="00024916">
              <w:rPr>
                <w:lang w:val="sv-SE"/>
              </w:rPr>
              <w:t>72</w:t>
            </w:r>
          </w:p>
        </w:tc>
        <w:tc>
          <w:tcPr>
            <w:tcW w:w="1454" w:type="dxa"/>
            <w:tcBorders>
              <w:right w:val="single" w:sz="12" w:space="0" w:color="000000"/>
            </w:tcBorders>
          </w:tcPr>
          <w:p w14:paraId="4C0EFE4D" w14:textId="77777777" w:rsidR="00B13606" w:rsidRPr="00024916" w:rsidRDefault="00B13606" w:rsidP="00A52061">
            <w:pPr>
              <w:pStyle w:val="TableParagraph"/>
              <w:spacing w:before="125"/>
              <w:rPr>
                <w:lang w:val="sv-SE"/>
              </w:rPr>
            </w:pPr>
            <w:r w:rsidRPr="00024916">
              <w:rPr>
                <w:lang w:val="sv-SE"/>
              </w:rPr>
              <w:t>65</w:t>
            </w:r>
            <w:r w:rsidR="007A2167" w:rsidRPr="00024916">
              <w:rPr>
                <w:lang w:val="sv-SE"/>
              </w:rPr>
              <w:t> </w:t>
            </w:r>
            <w:r w:rsidRPr="00024916">
              <w:rPr>
                <w:lang w:val="sv-SE"/>
              </w:rPr>
              <w:t>%</w:t>
            </w:r>
          </w:p>
        </w:tc>
      </w:tr>
      <w:tr w:rsidR="00B13606" w:rsidRPr="00024916" w14:paraId="4FD868D5" w14:textId="77777777" w:rsidTr="007A2167">
        <w:trPr>
          <w:trHeight w:val="757"/>
        </w:trPr>
        <w:tc>
          <w:tcPr>
            <w:tcW w:w="2587" w:type="dxa"/>
            <w:tcBorders>
              <w:right w:val="single" w:sz="12" w:space="0" w:color="000000"/>
            </w:tcBorders>
          </w:tcPr>
          <w:p w14:paraId="5FABC3B6" w14:textId="77777777" w:rsidR="00B13606" w:rsidRPr="00024916" w:rsidRDefault="00B13606" w:rsidP="00A52061">
            <w:pPr>
              <w:pStyle w:val="TableParagraph"/>
              <w:rPr>
                <w:b/>
                <w:lang w:val="sv-SE"/>
              </w:rPr>
            </w:pPr>
            <w:r w:rsidRPr="00024916">
              <w:rPr>
                <w:b/>
                <w:lang w:val="sv-SE"/>
              </w:rPr>
              <w:t>Två NRTI-associerade mutationer, vilka som</w:t>
            </w:r>
            <w:r w:rsidR="007A2167" w:rsidRPr="00024916">
              <w:rPr>
                <w:b/>
                <w:lang w:val="sv-SE"/>
              </w:rPr>
              <w:t xml:space="preserve"> </w:t>
            </w:r>
            <w:r w:rsidRPr="00024916">
              <w:rPr>
                <w:b/>
                <w:lang w:val="sv-SE"/>
              </w:rPr>
              <w:t>helst</w:t>
            </w:r>
          </w:p>
        </w:tc>
        <w:tc>
          <w:tcPr>
            <w:tcW w:w="1581" w:type="dxa"/>
            <w:tcBorders>
              <w:left w:val="single" w:sz="12" w:space="0" w:color="000000"/>
            </w:tcBorders>
          </w:tcPr>
          <w:p w14:paraId="5B800F88" w14:textId="77777777" w:rsidR="00B13606" w:rsidRPr="00024916" w:rsidRDefault="00B13606" w:rsidP="00A52061">
            <w:pPr>
              <w:pStyle w:val="TableParagraph"/>
              <w:spacing w:before="8"/>
              <w:rPr>
                <w:lang w:val="sv-SE"/>
              </w:rPr>
            </w:pPr>
          </w:p>
          <w:p w14:paraId="5AE0BC41" w14:textId="77777777" w:rsidR="00B13606" w:rsidRPr="00024916" w:rsidRDefault="00B13606" w:rsidP="00A52061">
            <w:pPr>
              <w:pStyle w:val="TableParagraph"/>
              <w:spacing w:before="1"/>
              <w:rPr>
                <w:lang w:val="sv-SE"/>
              </w:rPr>
            </w:pPr>
            <w:r w:rsidRPr="00024916">
              <w:rPr>
                <w:lang w:val="sv-SE"/>
              </w:rPr>
              <w:t>22</w:t>
            </w:r>
          </w:p>
        </w:tc>
        <w:tc>
          <w:tcPr>
            <w:tcW w:w="1417" w:type="dxa"/>
          </w:tcPr>
          <w:p w14:paraId="7AA3005F" w14:textId="77777777" w:rsidR="00B13606" w:rsidRPr="00024916" w:rsidRDefault="00B13606" w:rsidP="00A52061">
            <w:pPr>
              <w:pStyle w:val="TableParagraph"/>
              <w:spacing w:before="8"/>
              <w:rPr>
                <w:lang w:val="sv-SE"/>
              </w:rPr>
            </w:pPr>
          </w:p>
          <w:p w14:paraId="5A5238E4" w14:textId="77777777" w:rsidR="00B13606" w:rsidRPr="00024916" w:rsidRDefault="00B13606" w:rsidP="00A52061">
            <w:pPr>
              <w:pStyle w:val="TableParagraph"/>
              <w:spacing w:before="1"/>
              <w:rPr>
                <w:lang w:val="sv-SE"/>
              </w:rPr>
            </w:pPr>
            <w:r w:rsidRPr="00024916">
              <w:rPr>
                <w:lang w:val="sv-SE"/>
              </w:rPr>
              <w:t>-0</w:t>
            </w:r>
            <w:r w:rsidR="007A2167" w:rsidRPr="00024916">
              <w:rPr>
                <w:lang w:val="sv-SE"/>
              </w:rPr>
              <w:t>,</w:t>
            </w:r>
            <w:r w:rsidRPr="00024916">
              <w:rPr>
                <w:lang w:val="sv-SE"/>
              </w:rPr>
              <w:t>82</w:t>
            </w:r>
          </w:p>
        </w:tc>
        <w:tc>
          <w:tcPr>
            <w:tcW w:w="1454" w:type="dxa"/>
            <w:tcBorders>
              <w:right w:val="single" w:sz="12" w:space="0" w:color="000000"/>
            </w:tcBorders>
          </w:tcPr>
          <w:p w14:paraId="1F5D70C0" w14:textId="77777777" w:rsidR="00B13606" w:rsidRPr="00024916" w:rsidRDefault="00B13606" w:rsidP="00A52061">
            <w:pPr>
              <w:pStyle w:val="TableParagraph"/>
              <w:spacing w:before="8"/>
              <w:rPr>
                <w:lang w:val="sv-SE"/>
              </w:rPr>
            </w:pPr>
          </w:p>
          <w:p w14:paraId="5EBB3B22" w14:textId="77777777" w:rsidR="00B13606" w:rsidRPr="00024916" w:rsidRDefault="00B13606" w:rsidP="00A52061">
            <w:pPr>
              <w:pStyle w:val="TableParagraph"/>
              <w:spacing w:before="1"/>
              <w:rPr>
                <w:lang w:val="sv-SE"/>
              </w:rPr>
            </w:pPr>
            <w:r w:rsidRPr="00024916">
              <w:rPr>
                <w:lang w:val="sv-SE"/>
              </w:rPr>
              <w:t>32</w:t>
            </w:r>
            <w:r w:rsidR="007A2167" w:rsidRPr="00024916">
              <w:rPr>
                <w:lang w:val="sv-SE"/>
              </w:rPr>
              <w:t> </w:t>
            </w:r>
            <w:r w:rsidRPr="00024916">
              <w:rPr>
                <w:lang w:val="sv-SE"/>
              </w:rPr>
              <w:t>%</w:t>
            </w:r>
          </w:p>
        </w:tc>
      </w:tr>
      <w:tr w:rsidR="00B13606" w:rsidRPr="00024916" w14:paraId="252DCB9F" w14:textId="77777777" w:rsidTr="007A2167">
        <w:trPr>
          <w:trHeight w:val="760"/>
        </w:trPr>
        <w:tc>
          <w:tcPr>
            <w:tcW w:w="2587" w:type="dxa"/>
            <w:tcBorders>
              <w:right w:val="single" w:sz="12" w:space="0" w:color="000000"/>
            </w:tcBorders>
          </w:tcPr>
          <w:p w14:paraId="3C3A9948" w14:textId="77777777" w:rsidR="00B13606" w:rsidRPr="00024916" w:rsidRDefault="00B13606" w:rsidP="00A52061">
            <w:pPr>
              <w:pStyle w:val="TableParagraph"/>
              <w:rPr>
                <w:b/>
                <w:lang w:val="sv-SE"/>
              </w:rPr>
            </w:pPr>
            <w:r w:rsidRPr="00024916">
              <w:rPr>
                <w:b/>
                <w:lang w:val="sv-SE"/>
              </w:rPr>
              <w:t>Tre NRTI-associerade</w:t>
            </w:r>
            <w:r w:rsidR="007A2167" w:rsidRPr="00024916">
              <w:rPr>
                <w:b/>
                <w:lang w:val="sv-SE"/>
              </w:rPr>
              <w:t xml:space="preserve"> </w:t>
            </w:r>
            <w:r w:rsidRPr="00024916">
              <w:rPr>
                <w:b/>
                <w:lang w:val="sv-SE"/>
              </w:rPr>
              <w:t>mutationer, vilka som helst</w:t>
            </w:r>
          </w:p>
        </w:tc>
        <w:tc>
          <w:tcPr>
            <w:tcW w:w="1581" w:type="dxa"/>
            <w:tcBorders>
              <w:left w:val="single" w:sz="12" w:space="0" w:color="000000"/>
            </w:tcBorders>
          </w:tcPr>
          <w:p w14:paraId="2F173A32" w14:textId="77777777" w:rsidR="00B13606" w:rsidRPr="00024916" w:rsidRDefault="00B13606" w:rsidP="00A52061">
            <w:pPr>
              <w:pStyle w:val="TableParagraph"/>
              <w:spacing w:before="11"/>
              <w:rPr>
                <w:lang w:val="sv-SE"/>
              </w:rPr>
            </w:pPr>
          </w:p>
          <w:p w14:paraId="29205E3E" w14:textId="77777777" w:rsidR="00B13606" w:rsidRPr="00024916" w:rsidRDefault="00B13606" w:rsidP="00A52061">
            <w:pPr>
              <w:pStyle w:val="TableParagraph"/>
              <w:rPr>
                <w:lang w:val="sv-SE"/>
              </w:rPr>
            </w:pPr>
            <w:r w:rsidRPr="00024916">
              <w:rPr>
                <w:lang w:val="sv-SE"/>
              </w:rPr>
              <w:t>19</w:t>
            </w:r>
          </w:p>
        </w:tc>
        <w:tc>
          <w:tcPr>
            <w:tcW w:w="1417" w:type="dxa"/>
          </w:tcPr>
          <w:p w14:paraId="59CC2E57" w14:textId="77777777" w:rsidR="00B13606" w:rsidRPr="00024916" w:rsidRDefault="00B13606" w:rsidP="00A52061">
            <w:pPr>
              <w:pStyle w:val="TableParagraph"/>
              <w:spacing w:before="11"/>
              <w:rPr>
                <w:lang w:val="sv-SE"/>
              </w:rPr>
            </w:pPr>
          </w:p>
          <w:p w14:paraId="091A93D4" w14:textId="77777777" w:rsidR="00B13606" w:rsidRPr="00024916" w:rsidRDefault="00B13606" w:rsidP="00A52061">
            <w:pPr>
              <w:pStyle w:val="TableParagraph"/>
              <w:rPr>
                <w:lang w:val="sv-SE"/>
              </w:rPr>
            </w:pPr>
            <w:r w:rsidRPr="00024916">
              <w:rPr>
                <w:lang w:val="sv-SE"/>
              </w:rPr>
              <w:t>-0</w:t>
            </w:r>
            <w:r w:rsidR="007A2167" w:rsidRPr="00024916">
              <w:rPr>
                <w:lang w:val="sv-SE"/>
              </w:rPr>
              <w:t>,</w:t>
            </w:r>
            <w:r w:rsidRPr="00024916">
              <w:rPr>
                <w:lang w:val="sv-SE"/>
              </w:rPr>
              <w:t>30</w:t>
            </w:r>
          </w:p>
        </w:tc>
        <w:tc>
          <w:tcPr>
            <w:tcW w:w="1454" w:type="dxa"/>
            <w:tcBorders>
              <w:right w:val="single" w:sz="12" w:space="0" w:color="000000"/>
            </w:tcBorders>
          </w:tcPr>
          <w:p w14:paraId="5BA5E5C9" w14:textId="77777777" w:rsidR="00B13606" w:rsidRPr="00024916" w:rsidRDefault="00B13606" w:rsidP="00A52061">
            <w:pPr>
              <w:pStyle w:val="TableParagraph"/>
              <w:spacing w:before="11"/>
              <w:rPr>
                <w:lang w:val="sv-SE"/>
              </w:rPr>
            </w:pPr>
          </w:p>
          <w:p w14:paraId="066D2B96" w14:textId="77777777" w:rsidR="00B13606" w:rsidRPr="00024916" w:rsidRDefault="00B13606" w:rsidP="00A52061">
            <w:pPr>
              <w:pStyle w:val="TableParagraph"/>
              <w:tabs>
                <w:tab w:val="center" w:pos="228"/>
                <w:tab w:val="left" w:pos="820"/>
              </w:tabs>
              <w:rPr>
                <w:lang w:val="sv-SE"/>
              </w:rPr>
            </w:pPr>
            <w:r w:rsidRPr="00024916">
              <w:rPr>
                <w:lang w:val="sv-SE"/>
              </w:rPr>
              <w:t>5</w:t>
            </w:r>
            <w:r w:rsidR="007A2167" w:rsidRPr="00024916">
              <w:rPr>
                <w:lang w:val="sv-SE"/>
              </w:rPr>
              <w:t> </w:t>
            </w:r>
            <w:r w:rsidRPr="00024916">
              <w:rPr>
                <w:lang w:val="sv-SE"/>
              </w:rPr>
              <w:t>%</w:t>
            </w:r>
          </w:p>
        </w:tc>
      </w:tr>
      <w:tr w:rsidR="00B13606" w:rsidRPr="00024916" w14:paraId="1CA82249" w14:textId="77777777" w:rsidTr="007A2167">
        <w:trPr>
          <w:trHeight w:val="506"/>
        </w:trPr>
        <w:tc>
          <w:tcPr>
            <w:tcW w:w="2587" w:type="dxa"/>
            <w:tcBorders>
              <w:right w:val="single" w:sz="12" w:space="0" w:color="000000"/>
            </w:tcBorders>
          </w:tcPr>
          <w:p w14:paraId="68E95A17" w14:textId="77777777" w:rsidR="00B13606" w:rsidRPr="00024916" w:rsidRDefault="00B13606" w:rsidP="00A52061">
            <w:pPr>
              <w:pStyle w:val="TableParagraph"/>
              <w:spacing w:before="2"/>
              <w:rPr>
                <w:b/>
                <w:lang w:val="sv-SE"/>
              </w:rPr>
            </w:pPr>
            <w:r w:rsidRPr="00024916">
              <w:rPr>
                <w:b/>
                <w:lang w:val="sv-SE"/>
              </w:rPr>
              <w:t>Fyra eller fler NRTI- associerade mutationer</w:t>
            </w:r>
          </w:p>
        </w:tc>
        <w:tc>
          <w:tcPr>
            <w:tcW w:w="1581" w:type="dxa"/>
            <w:tcBorders>
              <w:left w:val="single" w:sz="12" w:space="0" w:color="000000"/>
            </w:tcBorders>
          </w:tcPr>
          <w:p w14:paraId="5B32218F" w14:textId="77777777" w:rsidR="00B13606" w:rsidRPr="00024916" w:rsidRDefault="00B13606" w:rsidP="00A52061">
            <w:pPr>
              <w:pStyle w:val="TableParagraph"/>
              <w:spacing w:before="123"/>
              <w:rPr>
                <w:lang w:val="sv-SE"/>
              </w:rPr>
            </w:pPr>
            <w:r w:rsidRPr="00024916">
              <w:rPr>
                <w:lang w:val="sv-SE"/>
              </w:rPr>
              <w:t>28</w:t>
            </w:r>
          </w:p>
        </w:tc>
        <w:tc>
          <w:tcPr>
            <w:tcW w:w="1417" w:type="dxa"/>
          </w:tcPr>
          <w:p w14:paraId="2D3E58CC" w14:textId="77777777" w:rsidR="00B13606" w:rsidRPr="00024916" w:rsidRDefault="00B13606" w:rsidP="00A52061">
            <w:pPr>
              <w:pStyle w:val="TableParagraph"/>
              <w:spacing w:before="123"/>
              <w:rPr>
                <w:lang w:val="sv-SE"/>
              </w:rPr>
            </w:pPr>
            <w:r w:rsidRPr="00024916">
              <w:rPr>
                <w:lang w:val="sv-SE"/>
              </w:rPr>
              <w:t>-0</w:t>
            </w:r>
            <w:r w:rsidR="007A2167" w:rsidRPr="00024916">
              <w:rPr>
                <w:lang w:val="sv-SE"/>
              </w:rPr>
              <w:t>,</w:t>
            </w:r>
            <w:r w:rsidRPr="00024916">
              <w:rPr>
                <w:lang w:val="sv-SE"/>
              </w:rPr>
              <w:t>07</w:t>
            </w:r>
          </w:p>
        </w:tc>
        <w:tc>
          <w:tcPr>
            <w:tcW w:w="1454" w:type="dxa"/>
            <w:tcBorders>
              <w:right w:val="single" w:sz="12" w:space="0" w:color="000000"/>
            </w:tcBorders>
          </w:tcPr>
          <w:p w14:paraId="4BE14886" w14:textId="77777777" w:rsidR="00B13606" w:rsidRPr="00024916" w:rsidRDefault="00B13606" w:rsidP="00A52061">
            <w:pPr>
              <w:pStyle w:val="TableParagraph"/>
              <w:spacing w:before="123"/>
              <w:rPr>
                <w:lang w:val="sv-SE"/>
              </w:rPr>
            </w:pPr>
            <w:r w:rsidRPr="00024916">
              <w:rPr>
                <w:lang w:val="sv-SE"/>
              </w:rPr>
              <w:t>11</w:t>
            </w:r>
            <w:r w:rsidR="007A2167" w:rsidRPr="00024916">
              <w:rPr>
                <w:lang w:val="sv-SE"/>
              </w:rPr>
              <w:t> </w:t>
            </w:r>
            <w:r w:rsidRPr="00024916">
              <w:rPr>
                <w:lang w:val="sv-SE"/>
              </w:rPr>
              <w:t>%</w:t>
            </w:r>
          </w:p>
        </w:tc>
      </w:tr>
    </w:tbl>
    <w:p w14:paraId="793809AE" w14:textId="77777777" w:rsidR="00B13606" w:rsidRPr="00024916" w:rsidRDefault="00B13606" w:rsidP="00A52061">
      <w:pPr>
        <w:pStyle w:val="Brdtext"/>
        <w:spacing w:before="9"/>
      </w:pPr>
    </w:p>
    <w:p w14:paraId="75D85D21" w14:textId="77777777" w:rsidR="007A2167" w:rsidRPr="00024916" w:rsidRDefault="00B13606" w:rsidP="00A52061">
      <w:pPr>
        <w:pStyle w:val="Brdtext"/>
        <w:rPr>
          <w:i/>
        </w:rPr>
      </w:pPr>
      <w:r w:rsidRPr="00024916">
        <w:rPr>
          <w:i/>
        </w:rPr>
        <w:t>Fenotypisk resistens och korsresis</w:t>
      </w:r>
      <w:r w:rsidR="007A2167" w:rsidRPr="00024916">
        <w:rPr>
          <w:i/>
        </w:rPr>
        <w:t>tens</w:t>
      </w:r>
    </w:p>
    <w:p w14:paraId="0879C430" w14:textId="77777777" w:rsidR="007A2167" w:rsidRPr="00024916" w:rsidRDefault="007A2167" w:rsidP="00A52061">
      <w:pPr>
        <w:pStyle w:val="Brdtext"/>
        <w:rPr>
          <w:i/>
        </w:rPr>
      </w:pPr>
    </w:p>
    <w:p w14:paraId="42680907" w14:textId="77777777" w:rsidR="00B13606" w:rsidRPr="00024916" w:rsidRDefault="00B13606" w:rsidP="00A52061">
      <w:pPr>
        <w:pStyle w:val="Brdtext"/>
      </w:pPr>
      <w:r w:rsidRPr="00024916">
        <w:t>Fenotypisk resistens mot abakavir kräver M184V med minst ytterligare en annan abakavirselekterad mutation, eller M184V med multipla TAMs. Fenotypisk korsresistens mot andra NRTIs med endast M184V- eller M184I</w:t>
      </w:r>
      <w:r w:rsidR="007A2167" w:rsidRPr="00024916">
        <w:noBreakHyphen/>
      </w:r>
      <w:r w:rsidRPr="00024916">
        <w:t>mutationer är begränsad. Zidovudin, didanosin, stavudin och tenofovir bibehåller sin antiretrovirala aktivitet mot den typen av hiv</w:t>
      </w:r>
      <w:r w:rsidR="007A2167" w:rsidRPr="00024916">
        <w:noBreakHyphen/>
      </w:r>
      <w:r w:rsidRPr="00024916">
        <w:t>1</w:t>
      </w:r>
      <w:r w:rsidR="007A2167" w:rsidRPr="00024916">
        <w:noBreakHyphen/>
      </w:r>
      <w:r w:rsidRPr="00024916">
        <w:t>varianter. Förekomst av M184V med K65R förorsakar korsresistens mellan abakavir, tenofovir, didanosin och lamivudin. M184V med L74V förorsakar korsresistens mellan abakavir, didanosin och lamivudin. Förekomst av M184V med Y115F förorsakar korsresistens mellan abakavir och lamivudin. Vägledning för lämplig användning av abakavir kan fås om nuvarande rekommenderad resistensalgoritm används.</w:t>
      </w:r>
    </w:p>
    <w:p w14:paraId="2C2F3619" w14:textId="77777777" w:rsidR="00B13606" w:rsidRPr="00024916" w:rsidRDefault="00B13606" w:rsidP="00A52061">
      <w:pPr>
        <w:pStyle w:val="Brdtext"/>
        <w:spacing w:before="10"/>
      </w:pPr>
    </w:p>
    <w:p w14:paraId="2A3B2DC8" w14:textId="77777777" w:rsidR="00B13606" w:rsidRPr="00024916" w:rsidRDefault="00B13606" w:rsidP="00A52061">
      <w:pPr>
        <w:pStyle w:val="Brdtext"/>
        <w:spacing w:before="1"/>
      </w:pPr>
      <w:r w:rsidRPr="00024916">
        <w:t>Korsresistens mellan abakavir och antiretroviraler från andra klasser (t</w:t>
      </w:r>
      <w:r w:rsidR="00FB0FAD" w:rsidRPr="00024916">
        <w:t>.</w:t>
      </w:r>
      <w:r w:rsidRPr="00024916">
        <w:t>ex</w:t>
      </w:r>
      <w:r w:rsidR="00FB0FAD" w:rsidRPr="00024916">
        <w:t>.</w:t>
      </w:r>
      <w:r w:rsidRPr="00024916">
        <w:t xml:space="preserve"> PIs eller NNRTIs) är inte trolig</w:t>
      </w:r>
    </w:p>
    <w:p w14:paraId="3B581D2F" w14:textId="77777777" w:rsidR="00B13606" w:rsidRPr="00024916" w:rsidRDefault="00B13606" w:rsidP="00A52061">
      <w:pPr>
        <w:pStyle w:val="Brdtext"/>
        <w:spacing w:before="10"/>
      </w:pPr>
    </w:p>
    <w:p w14:paraId="3E647183" w14:textId="77777777" w:rsidR="007A2167" w:rsidRPr="00024916" w:rsidRDefault="00B13606" w:rsidP="00A52061">
      <w:pPr>
        <w:pStyle w:val="Brdtext"/>
        <w:rPr>
          <w:u w:val="single"/>
        </w:rPr>
      </w:pPr>
      <w:r w:rsidRPr="00024916">
        <w:rPr>
          <w:u w:val="single"/>
        </w:rPr>
        <w:t>Klinisk effekt och säkerhet</w:t>
      </w:r>
    </w:p>
    <w:p w14:paraId="2E637579" w14:textId="77777777" w:rsidR="007A2167" w:rsidRPr="00024916" w:rsidRDefault="007A2167" w:rsidP="00A52061">
      <w:pPr>
        <w:pStyle w:val="Brdtext"/>
        <w:rPr>
          <w:u w:val="single"/>
        </w:rPr>
      </w:pPr>
    </w:p>
    <w:p w14:paraId="389E765A" w14:textId="1CAC6649" w:rsidR="007A2167" w:rsidRPr="00024916" w:rsidRDefault="00B13606" w:rsidP="00A52061">
      <w:pPr>
        <w:pStyle w:val="Brdtext"/>
      </w:pPr>
      <w:r w:rsidRPr="00024916">
        <w:t xml:space="preserve">Det visade kliniska värdet med </w:t>
      </w:r>
      <w:r w:rsidR="007A2167" w:rsidRPr="00024916">
        <w:t>a</w:t>
      </w:r>
      <w:r w:rsidRPr="00024916">
        <w:t>ba</w:t>
      </w:r>
      <w:r w:rsidR="007A2167" w:rsidRPr="00024916">
        <w:t>k</w:t>
      </w:r>
      <w:r w:rsidRPr="00024916">
        <w:t xml:space="preserve">avir är främst baserat på resultat från studier med behandlingsnaiva vuxna patienter som tog </w:t>
      </w:r>
      <w:r w:rsidR="007A2167" w:rsidRPr="00024916">
        <w:t>a</w:t>
      </w:r>
      <w:r w:rsidRPr="00024916">
        <w:t>ba</w:t>
      </w:r>
      <w:r w:rsidR="007A2167" w:rsidRPr="00024916">
        <w:t>k</w:t>
      </w:r>
      <w:r w:rsidRPr="00024916">
        <w:t>avir 300</w:t>
      </w:r>
      <w:r w:rsidR="007A2167" w:rsidRPr="00024916">
        <w:t> </w:t>
      </w:r>
      <w:r w:rsidRPr="00024916">
        <w:t xml:space="preserve"> mg två gånger dagligen i kombination med zidovudin och </w:t>
      </w:r>
      <w:r w:rsidR="00AB4EFA" w:rsidRPr="00024916">
        <w:t>l</w:t>
      </w:r>
      <w:r w:rsidRPr="00024916">
        <w:t>amivudin.</w:t>
      </w:r>
    </w:p>
    <w:p w14:paraId="322F3AE8" w14:textId="77777777" w:rsidR="007A2167" w:rsidRPr="00024916" w:rsidRDefault="007A2167" w:rsidP="00A52061">
      <w:pPr>
        <w:pStyle w:val="Brdtext"/>
      </w:pPr>
    </w:p>
    <w:p w14:paraId="58F39273" w14:textId="77777777" w:rsidR="00B13606" w:rsidRPr="00024916" w:rsidRDefault="00B13606" w:rsidP="00A52061">
      <w:pPr>
        <w:pStyle w:val="Brdtext"/>
        <w:rPr>
          <w:i/>
        </w:rPr>
      </w:pPr>
      <w:r w:rsidRPr="00024916">
        <w:rPr>
          <w:i/>
        </w:rPr>
        <w:t>Dosering (300 mg) två gånger dagligen:</w:t>
      </w:r>
    </w:p>
    <w:p w14:paraId="13461A26" w14:textId="77777777" w:rsidR="00B13606" w:rsidRPr="00024916" w:rsidRDefault="00B13606" w:rsidP="00A52061">
      <w:pPr>
        <w:pStyle w:val="Brdtext"/>
        <w:spacing w:before="1"/>
        <w:rPr>
          <w:i/>
        </w:rPr>
      </w:pPr>
    </w:p>
    <w:p w14:paraId="0365EB84" w14:textId="77777777" w:rsidR="00B13606" w:rsidRPr="00024916" w:rsidRDefault="00B13606" w:rsidP="00A52061">
      <w:pPr>
        <w:pStyle w:val="Liststycke"/>
        <w:numPr>
          <w:ilvl w:val="0"/>
          <w:numId w:val="4"/>
        </w:numPr>
        <w:tabs>
          <w:tab w:val="left" w:pos="784"/>
          <w:tab w:val="left" w:pos="785"/>
        </w:tabs>
        <w:ind w:left="0" w:firstLine="0"/>
        <w:contextualSpacing w:val="0"/>
        <w:rPr>
          <w:i/>
        </w:rPr>
      </w:pPr>
      <w:r w:rsidRPr="00024916">
        <w:rPr>
          <w:i/>
        </w:rPr>
        <w:t>Behandlingsnaiva</w:t>
      </w:r>
      <w:r w:rsidRPr="00024916">
        <w:rPr>
          <w:i/>
          <w:spacing w:val="-1"/>
        </w:rPr>
        <w:t xml:space="preserve"> </w:t>
      </w:r>
      <w:r w:rsidRPr="00024916">
        <w:rPr>
          <w:i/>
        </w:rPr>
        <w:t>vuxna</w:t>
      </w:r>
    </w:p>
    <w:p w14:paraId="7808D3E8" w14:textId="77777777" w:rsidR="00B13606" w:rsidRPr="00024916" w:rsidRDefault="00B13606" w:rsidP="00A52061">
      <w:pPr>
        <w:pStyle w:val="Brdtext"/>
        <w:spacing w:before="11"/>
        <w:rPr>
          <w:i/>
        </w:rPr>
      </w:pPr>
    </w:p>
    <w:p w14:paraId="05B66AE3" w14:textId="77777777" w:rsidR="00B13606" w:rsidRPr="00024916" w:rsidRDefault="00B13606" w:rsidP="00A52061">
      <w:pPr>
        <w:pStyle w:val="Brdtext"/>
      </w:pPr>
      <w:r w:rsidRPr="00024916">
        <w:t>Hos vuxna patienter som behandlats med abakavir i kombination med lamivudin och zidovudin hade ca 70</w:t>
      </w:r>
      <w:r w:rsidR="007A2167" w:rsidRPr="00024916">
        <w:t> </w:t>
      </w:r>
      <w:r w:rsidRPr="00024916">
        <w:t>% av patienterna (Intention To Treat-analys vid 48</w:t>
      </w:r>
      <w:r w:rsidR="007A2167" w:rsidRPr="00024916">
        <w:t> </w:t>
      </w:r>
      <w:r w:rsidRPr="00024916">
        <w:t>veckor) inte några detekterbara virusnivåer (&lt; 400 kopior/ml) samt en motsvarande höjning av antalet CD4</w:t>
      </w:r>
      <w:r w:rsidR="007A2167" w:rsidRPr="00024916">
        <w:noBreakHyphen/>
      </w:r>
      <w:r w:rsidRPr="00024916">
        <w:t>celler.</w:t>
      </w:r>
    </w:p>
    <w:p w14:paraId="422F46D4" w14:textId="77777777" w:rsidR="00B13606" w:rsidRPr="00024916" w:rsidRDefault="00B13606" w:rsidP="00A52061">
      <w:pPr>
        <w:pStyle w:val="Brdtext"/>
        <w:spacing w:before="10"/>
      </w:pPr>
    </w:p>
    <w:p w14:paraId="2ABD0DFB" w14:textId="77777777" w:rsidR="00B13606" w:rsidRPr="00024916" w:rsidRDefault="00B13606" w:rsidP="00A52061">
      <w:pPr>
        <w:pStyle w:val="Brdtext"/>
      </w:pPr>
      <w:r w:rsidRPr="00024916">
        <w:t>I en randomiserad dubbelblind placebokontrollerad studie på vuxna patienter jämfördes kombinationen abakavir, lamivudin och zidovudin med kombinationen indinavir, lamivudin och zidovudin. På grund av den höga andelen patienter med förtida behandlingsavbrott (42</w:t>
      </w:r>
      <w:r w:rsidR="007A2167" w:rsidRPr="00024916">
        <w:t> </w:t>
      </w:r>
      <w:r w:rsidRPr="00024916">
        <w:t>% av patienterna hade avbrutit den randomiserade behandlingen under de första 48</w:t>
      </w:r>
      <w:r w:rsidR="007A2167" w:rsidRPr="00024916">
        <w:t> </w:t>
      </w:r>
      <w:r w:rsidRPr="00024916">
        <w:t>veckorna) kunde inte någon definitiv slutsats dras beträffande ekvivalens mellan behandlingsalternativen efter 48</w:t>
      </w:r>
      <w:r w:rsidR="007A2167" w:rsidRPr="00024916">
        <w:t> </w:t>
      </w:r>
      <w:r w:rsidRPr="00024916">
        <w:t>veckor. Fastän en likartad antiviral effekt observerades mellan de abakavir- och indinavirinnehållande regimerna vad gäller andel patienter med ej detekterbar virusnivå (</w:t>
      </w:r>
      <w:r w:rsidR="007A2167" w:rsidRPr="00024916">
        <w:t>≤</w:t>
      </w:r>
      <w:r w:rsidRPr="00024916">
        <w:t>400</w:t>
      </w:r>
      <w:r w:rsidR="007A2167" w:rsidRPr="00024916">
        <w:t> </w:t>
      </w:r>
      <w:r w:rsidRPr="00024916">
        <w:t>kopior/ml; intention to treat analys (ITT), 47</w:t>
      </w:r>
      <w:r w:rsidR="007A2167" w:rsidRPr="00024916">
        <w:t> </w:t>
      </w:r>
      <w:r w:rsidRPr="00024916">
        <w:t>% versus 49</w:t>
      </w:r>
      <w:r w:rsidR="007A2167" w:rsidRPr="00024916">
        <w:t> </w:t>
      </w:r>
      <w:r w:rsidRPr="00024916">
        <w:t>%; as treated analys (AT), 86</w:t>
      </w:r>
      <w:r w:rsidR="007A2167" w:rsidRPr="00024916">
        <w:t> </w:t>
      </w:r>
      <w:r w:rsidRPr="00024916">
        <w:t>% versus 94</w:t>
      </w:r>
      <w:r w:rsidR="007A2167" w:rsidRPr="00024916">
        <w:t> </w:t>
      </w:r>
      <w:r w:rsidRPr="00024916">
        <w:t>% för abakavir- respektive indinavirkombinationen), var resultatet bättre för indinavirkombinationen, särskilt i gruppen patienter med höga initiala virustal (&gt;100</w:t>
      </w:r>
      <w:r w:rsidR="007A2167" w:rsidRPr="00024916">
        <w:t> </w:t>
      </w:r>
      <w:r w:rsidRPr="00024916">
        <w:t>000</w:t>
      </w:r>
      <w:r w:rsidR="007A2167" w:rsidRPr="00024916">
        <w:t> </w:t>
      </w:r>
      <w:r w:rsidRPr="00024916">
        <w:t>kopior/ml före behandlingen; ITT, 46</w:t>
      </w:r>
      <w:r w:rsidR="007A2167" w:rsidRPr="00024916">
        <w:t> </w:t>
      </w:r>
      <w:r w:rsidRPr="00024916">
        <w:t>% versus 55</w:t>
      </w:r>
      <w:r w:rsidR="007A2167" w:rsidRPr="00024916">
        <w:t> </w:t>
      </w:r>
      <w:r w:rsidRPr="00024916">
        <w:t>%; AT, 84</w:t>
      </w:r>
      <w:r w:rsidR="007A2167" w:rsidRPr="00024916">
        <w:t> </w:t>
      </w:r>
      <w:r w:rsidRPr="00024916">
        <w:t>% versus 93% för abakavir respektive indinavir).</w:t>
      </w:r>
    </w:p>
    <w:p w14:paraId="31CE1D4B" w14:textId="77777777" w:rsidR="00B13606" w:rsidRPr="00024916" w:rsidRDefault="00B13606" w:rsidP="00A52061">
      <w:pPr>
        <w:pStyle w:val="Brdtext"/>
      </w:pPr>
    </w:p>
    <w:p w14:paraId="4B46882F" w14:textId="77777777" w:rsidR="00B13606" w:rsidRPr="00024916" w:rsidRDefault="00B13606" w:rsidP="00A52061">
      <w:pPr>
        <w:pStyle w:val="Brdtext"/>
        <w:spacing w:before="1"/>
      </w:pPr>
      <w:r w:rsidRPr="00024916">
        <w:t>I en dubbelblind, kontrollerad, multicenterstudie (CNA30024) randomiserades 654</w:t>
      </w:r>
      <w:r w:rsidR="007A2167" w:rsidRPr="00024916">
        <w:t> </w:t>
      </w:r>
      <w:r w:rsidRPr="00024916">
        <w:t>hivinfekterade behandlingsnaiva patienter till att få antingen 300</w:t>
      </w:r>
      <w:r w:rsidR="007A2167" w:rsidRPr="00024916">
        <w:t> </w:t>
      </w:r>
      <w:r w:rsidRPr="00024916">
        <w:t>mg abakavir två gånger dagligen eller 300</w:t>
      </w:r>
      <w:r w:rsidR="007A2167" w:rsidRPr="00024916">
        <w:t> </w:t>
      </w:r>
      <w:r w:rsidRPr="00024916">
        <w:t>mg zidovudin två gånger dagligen, i båda fallen i kombination med 150</w:t>
      </w:r>
      <w:r w:rsidR="007A2167" w:rsidRPr="00024916">
        <w:t> </w:t>
      </w:r>
      <w:r w:rsidRPr="00024916">
        <w:t>mg lamivudin två gånger dagligen och 600</w:t>
      </w:r>
      <w:r w:rsidR="007A2167" w:rsidRPr="00024916">
        <w:t> </w:t>
      </w:r>
      <w:r w:rsidRPr="00024916">
        <w:t>mg efavirenz en gång dagligen. Den dubbelblinda behandlingen pågick i minst 48</w:t>
      </w:r>
      <w:r w:rsidR="007A2167" w:rsidRPr="00024916">
        <w:t> </w:t>
      </w:r>
      <w:r w:rsidRPr="00024916">
        <w:t>veckor.</w:t>
      </w:r>
      <w:r w:rsidR="007A2167" w:rsidRPr="00024916">
        <w:t xml:space="preserve"> </w:t>
      </w:r>
      <w:r w:rsidRPr="00024916">
        <w:t>I ”intent to treat” (ITT)</w:t>
      </w:r>
      <w:r w:rsidR="007A2167" w:rsidRPr="00024916">
        <w:noBreakHyphen/>
      </w:r>
      <w:r w:rsidRPr="00024916">
        <w:t>populationen uppnådde 70</w:t>
      </w:r>
      <w:r w:rsidR="007A2167" w:rsidRPr="00024916">
        <w:t> </w:t>
      </w:r>
      <w:r w:rsidRPr="00024916">
        <w:t>% av patienterna i abakavirgruppen, jämfört med 69</w:t>
      </w:r>
      <w:r w:rsidR="007A2167" w:rsidRPr="00024916">
        <w:t> </w:t>
      </w:r>
      <w:r w:rsidRPr="00024916">
        <w:t xml:space="preserve">% av patienterna i zidovudingruppen, ett virologiskt svar på plasma hiv-1-RNA på </w:t>
      </w:r>
      <w:r w:rsidR="007A2167" w:rsidRPr="00024916">
        <w:t>≤</w:t>
      </w:r>
      <w:r w:rsidRPr="00024916">
        <w:t>50</w:t>
      </w:r>
      <w:r w:rsidR="007A2167" w:rsidRPr="00024916">
        <w:t> </w:t>
      </w:r>
      <w:r w:rsidRPr="00024916">
        <w:t>kopior/ml i vecka</w:t>
      </w:r>
      <w:r w:rsidR="007A2167" w:rsidRPr="00024916">
        <w:t> </w:t>
      </w:r>
      <w:r w:rsidRPr="00024916">
        <w:t>48 (”point estimate” för behandlingsskillnaden: 0,8, 95</w:t>
      </w:r>
      <w:r w:rsidR="007A2167" w:rsidRPr="00024916">
        <w:t> </w:t>
      </w:r>
      <w:r w:rsidRPr="00024916">
        <w:t>% CI -6,3, 7,9). I analysen av ”as treated” (AT) var skillnaden mellan de båda behandlingsarmarna mer märkbar, 88% av patienterna i abakavirgruppen jämfört med 95</w:t>
      </w:r>
      <w:r w:rsidR="007A2167" w:rsidRPr="00024916">
        <w:t> </w:t>
      </w:r>
      <w:r w:rsidRPr="00024916">
        <w:t>% av patienterna i zidovudingruppen (”point estimate” för behandlingsskillnaden: -6,8, 95</w:t>
      </w:r>
      <w:r w:rsidR="007A2167" w:rsidRPr="00024916">
        <w:t> </w:t>
      </w:r>
      <w:r w:rsidRPr="00024916">
        <w:t>% CI -11,8, -1,7). Emellertid var båda analyserna överensstämmande när det gäller slutsatsen om ”non</w:t>
      </w:r>
      <w:r w:rsidR="007A2167" w:rsidRPr="00024916">
        <w:noBreakHyphen/>
      </w:r>
      <w:r w:rsidRPr="00024916">
        <w:t>inferiority” mellan båda behandlingsarmarna.</w:t>
      </w:r>
    </w:p>
    <w:p w14:paraId="6BE346EB" w14:textId="77777777" w:rsidR="00B13606" w:rsidRPr="00024916" w:rsidRDefault="00B13606" w:rsidP="00A52061">
      <w:pPr>
        <w:pStyle w:val="Brdtext"/>
        <w:spacing w:before="11"/>
      </w:pPr>
    </w:p>
    <w:p w14:paraId="09248908" w14:textId="77777777" w:rsidR="00B13606" w:rsidRPr="00024916" w:rsidRDefault="00B13606" w:rsidP="00A52061">
      <w:pPr>
        <w:pStyle w:val="Brdtext"/>
      </w:pPr>
      <w:r w:rsidRPr="00024916">
        <w:t>ACTC5095 var en randomiserad (1:1:1), dubbelblind, placebokontrollerad prövning med 1</w:t>
      </w:r>
      <w:r w:rsidR="007A2167" w:rsidRPr="00024916">
        <w:t> </w:t>
      </w:r>
      <w:r w:rsidRPr="00024916">
        <w:t>147</w:t>
      </w:r>
      <w:r w:rsidR="007A2167" w:rsidRPr="00024916">
        <w:t> </w:t>
      </w:r>
      <w:r w:rsidRPr="00024916">
        <w:t>antiretroviralt naiva hiv</w:t>
      </w:r>
      <w:r w:rsidR="007A2167" w:rsidRPr="00024916">
        <w:noBreakHyphen/>
      </w:r>
      <w:r w:rsidRPr="00024916">
        <w:t>1</w:t>
      </w:r>
      <w:r w:rsidR="007A2167" w:rsidRPr="00024916">
        <w:noBreakHyphen/>
      </w:r>
      <w:r w:rsidRPr="00024916">
        <w:t>infekterade vuxna, som jämförde tre olika behandlingsregimer: zidovudin (ZDV), lamivudin (3TC), abakavir (ABC) och efavirenz (EFV) eller ZDV/3TC/EFV eller ZDV/3TC/ABC. Vid uppföljning efter 32</w:t>
      </w:r>
      <w:r w:rsidR="007A2167" w:rsidRPr="00024916">
        <w:t> </w:t>
      </w:r>
      <w:r w:rsidRPr="00024916">
        <w:t>veckor (median) visade sig trippelterapin med de tre nukleosiderna ZDV/3TC/ABC vara virologiskt underlägsen de andra två armarna. 26</w:t>
      </w:r>
      <w:r w:rsidR="007A2167" w:rsidRPr="00024916">
        <w:t> </w:t>
      </w:r>
      <w:r w:rsidRPr="00024916">
        <w:t>% av individerna i ZDV/3TC/ABC</w:t>
      </w:r>
      <w:r w:rsidR="007A2167" w:rsidRPr="00024916">
        <w:noBreakHyphen/>
      </w:r>
      <w:r w:rsidRPr="00024916">
        <w:t>armen, 16</w:t>
      </w:r>
      <w:r w:rsidR="007A2167" w:rsidRPr="00024916">
        <w:t> </w:t>
      </w:r>
      <w:r w:rsidRPr="00024916">
        <w:t>% i ZDV/3TC/EFV</w:t>
      </w:r>
      <w:r w:rsidR="007A2167" w:rsidRPr="00024916">
        <w:noBreakHyphen/>
      </w:r>
      <w:r w:rsidRPr="00024916">
        <w:t>armen och 13</w:t>
      </w:r>
      <w:r w:rsidR="007A2167" w:rsidRPr="00024916">
        <w:t> % i armen med 4 </w:t>
      </w:r>
      <w:r w:rsidRPr="00024916">
        <w:t>läkemedel, fick virologisk svikt (hiv</w:t>
      </w:r>
      <w:r w:rsidR="007A2167" w:rsidRPr="00024916">
        <w:noBreakHyphen/>
      </w:r>
      <w:r w:rsidRPr="00024916">
        <w:t>RNA &gt;200</w:t>
      </w:r>
      <w:r w:rsidR="007A2167" w:rsidRPr="00024916">
        <w:t> </w:t>
      </w:r>
      <w:r w:rsidRPr="00024916">
        <w:t>kopior/ml). I vecka</w:t>
      </w:r>
      <w:r w:rsidR="007A2167" w:rsidRPr="00024916">
        <w:t> </w:t>
      </w:r>
      <w:r w:rsidRPr="00024916">
        <w:t>48 var andelen individer med hiv</w:t>
      </w:r>
      <w:r w:rsidR="007A2167" w:rsidRPr="00024916">
        <w:noBreakHyphen/>
      </w:r>
      <w:r w:rsidRPr="00024916">
        <w:t>RNA &lt;50</w:t>
      </w:r>
      <w:r w:rsidR="007A2167" w:rsidRPr="00024916">
        <w:t> </w:t>
      </w:r>
      <w:r w:rsidRPr="00024916">
        <w:t>kopior/ml 63</w:t>
      </w:r>
      <w:r w:rsidR="007A2167" w:rsidRPr="00024916">
        <w:t> </w:t>
      </w:r>
      <w:r w:rsidRPr="00024916">
        <w:t>%, 80</w:t>
      </w:r>
      <w:r w:rsidR="007A2167" w:rsidRPr="00024916">
        <w:t> </w:t>
      </w:r>
      <w:r w:rsidRPr="00024916">
        <w:t>% respektive 86</w:t>
      </w:r>
      <w:r w:rsidR="007A2167" w:rsidRPr="00024916">
        <w:t> </w:t>
      </w:r>
      <w:r w:rsidRPr="00024916">
        <w:t>% i ZDV/3TC/ABC-, ZDV/3TC/EFV- respektive ZDV/3TC/ABC/EFV</w:t>
      </w:r>
      <w:r w:rsidR="007A2167" w:rsidRPr="00024916">
        <w:noBreakHyphen/>
      </w:r>
      <w:r w:rsidRPr="00024916">
        <w:t>armen. Säkerhetskommittén för studien stoppade ZDV/3TC/ABC</w:t>
      </w:r>
      <w:r w:rsidR="007A2167" w:rsidRPr="00024916">
        <w:noBreakHyphen/>
      </w:r>
      <w:r w:rsidRPr="00024916">
        <w:t>armen vid denna tidpunkt baserat på den större andelen patienter med virologisk svikt. De återstående armarna fortsatte i blindad version. Vid uppföljning efter 144</w:t>
      </w:r>
      <w:r w:rsidR="007A2167" w:rsidRPr="00024916">
        <w:t> </w:t>
      </w:r>
      <w:r w:rsidRPr="00024916">
        <w:t>veckor (median) fick 25</w:t>
      </w:r>
      <w:r w:rsidR="007A2167" w:rsidRPr="00024916">
        <w:t> </w:t>
      </w:r>
      <w:r w:rsidRPr="00024916">
        <w:t>% av individerna i ZDV/3TC/ABC/EFV-armen och 26</w:t>
      </w:r>
      <w:r w:rsidR="007A2167" w:rsidRPr="00024916">
        <w:t> </w:t>
      </w:r>
      <w:r w:rsidRPr="00024916">
        <w:t>% i ZDV/3TC/EFV-armen virologisk svikt. Det var ingen signifikant skillnad i tid till första virologiska svikt (p-0,73, ”log-rank test”) mellan de 2</w:t>
      </w:r>
      <w:r w:rsidR="007A2167" w:rsidRPr="00024916">
        <w:t> </w:t>
      </w:r>
      <w:r w:rsidRPr="00024916">
        <w:t>armarna. I denna studie förbättrade inte tillägg av ABC till ZDV/3TC/EFV effekten signifikant.</w:t>
      </w:r>
    </w:p>
    <w:p w14:paraId="59A99B7F" w14:textId="77777777" w:rsidR="00B13606" w:rsidRPr="00024916" w:rsidRDefault="00B13606" w:rsidP="00A52061">
      <w:pPr>
        <w:pStyle w:val="Brdtext"/>
        <w:spacing w:before="2"/>
      </w:pPr>
    </w:p>
    <w:tbl>
      <w:tblPr>
        <w:tblStyle w:val="TableNormal1"/>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1332"/>
        <w:gridCol w:w="1502"/>
        <w:gridCol w:w="1737"/>
        <w:gridCol w:w="2231"/>
      </w:tblGrid>
      <w:tr w:rsidR="00B13606" w:rsidRPr="00024916" w14:paraId="7D5F4411" w14:textId="77777777" w:rsidTr="00D22313">
        <w:trPr>
          <w:trHeight w:val="506"/>
        </w:trPr>
        <w:tc>
          <w:tcPr>
            <w:tcW w:w="2268" w:type="dxa"/>
          </w:tcPr>
          <w:p w14:paraId="5ABF3BB0" w14:textId="77777777" w:rsidR="00B13606" w:rsidRPr="00024916" w:rsidRDefault="00B13606" w:rsidP="00A52061">
            <w:pPr>
              <w:pStyle w:val="TableParagraph"/>
              <w:jc w:val="left"/>
              <w:rPr>
                <w:lang w:val="sv-SE"/>
              </w:rPr>
            </w:pPr>
          </w:p>
        </w:tc>
        <w:tc>
          <w:tcPr>
            <w:tcW w:w="1332" w:type="dxa"/>
          </w:tcPr>
          <w:p w14:paraId="7561C5FF" w14:textId="77777777" w:rsidR="00B13606" w:rsidRPr="00024916" w:rsidRDefault="00B13606" w:rsidP="00A52061">
            <w:pPr>
              <w:pStyle w:val="TableParagraph"/>
              <w:jc w:val="left"/>
              <w:rPr>
                <w:lang w:val="sv-SE"/>
              </w:rPr>
            </w:pPr>
          </w:p>
        </w:tc>
        <w:tc>
          <w:tcPr>
            <w:tcW w:w="1502" w:type="dxa"/>
          </w:tcPr>
          <w:p w14:paraId="42F5B987" w14:textId="77777777" w:rsidR="00B13606" w:rsidRPr="00024916" w:rsidRDefault="00B13606" w:rsidP="00A52061">
            <w:pPr>
              <w:pStyle w:val="TableParagraph"/>
              <w:jc w:val="left"/>
              <w:rPr>
                <w:lang w:val="sv-SE"/>
              </w:rPr>
            </w:pPr>
            <w:r w:rsidRPr="00024916">
              <w:rPr>
                <w:lang w:val="sv-SE"/>
              </w:rPr>
              <w:t>ZDV/3TC/AB C</w:t>
            </w:r>
          </w:p>
        </w:tc>
        <w:tc>
          <w:tcPr>
            <w:tcW w:w="1737" w:type="dxa"/>
          </w:tcPr>
          <w:p w14:paraId="67DB4D7A" w14:textId="77777777" w:rsidR="00B13606" w:rsidRPr="00024916" w:rsidRDefault="00B13606" w:rsidP="00A52061">
            <w:pPr>
              <w:pStyle w:val="TableParagraph"/>
              <w:jc w:val="left"/>
              <w:rPr>
                <w:lang w:val="sv-SE"/>
              </w:rPr>
            </w:pPr>
            <w:r w:rsidRPr="00024916">
              <w:rPr>
                <w:lang w:val="sv-SE"/>
              </w:rPr>
              <w:t>ZDV/3TC/EFV</w:t>
            </w:r>
          </w:p>
        </w:tc>
        <w:tc>
          <w:tcPr>
            <w:tcW w:w="2231" w:type="dxa"/>
          </w:tcPr>
          <w:p w14:paraId="63382E90" w14:textId="77777777" w:rsidR="00B13606" w:rsidRPr="00024916" w:rsidRDefault="00B13606" w:rsidP="00A52061">
            <w:pPr>
              <w:pStyle w:val="TableParagraph"/>
              <w:jc w:val="left"/>
              <w:rPr>
                <w:lang w:val="sv-SE"/>
              </w:rPr>
            </w:pPr>
            <w:r w:rsidRPr="00024916">
              <w:rPr>
                <w:lang w:val="sv-SE"/>
              </w:rPr>
              <w:t>ZDV/3TC/ABC/EFV</w:t>
            </w:r>
          </w:p>
        </w:tc>
      </w:tr>
      <w:tr w:rsidR="00B13606" w:rsidRPr="00024916" w14:paraId="644801DA" w14:textId="77777777" w:rsidTr="00D22313">
        <w:trPr>
          <w:trHeight w:val="251"/>
        </w:trPr>
        <w:tc>
          <w:tcPr>
            <w:tcW w:w="2268" w:type="dxa"/>
            <w:vMerge w:val="restart"/>
          </w:tcPr>
          <w:p w14:paraId="4AC346BF" w14:textId="77777777" w:rsidR="00B13606" w:rsidRPr="00024916" w:rsidRDefault="00B13606" w:rsidP="00A52061">
            <w:pPr>
              <w:pStyle w:val="TableParagraph"/>
              <w:jc w:val="left"/>
              <w:rPr>
                <w:lang w:val="sv-SE"/>
              </w:rPr>
            </w:pPr>
            <w:r w:rsidRPr="00024916">
              <w:rPr>
                <w:lang w:val="sv-SE"/>
              </w:rPr>
              <w:t>Virologisk svikt (hiv</w:t>
            </w:r>
            <w:r w:rsidR="007A2167" w:rsidRPr="00024916">
              <w:rPr>
                <w:lang w:val="sv-SE"/>
              </w:rPr>
              <w:noBreakHyphen/>
            </w:r>
            <w:r w:rsidRPr="00024916">
              <w:rPr>
                <w:lang w:val="sv-SE"/>
              </w:rPr>
              <w:t>RNA &gt;200</w:t>
            </w:r>
            <w:r w:rsidR="007A2167" w:rsidRPr="00024916">
              <w:rPr>
                <w:lang w:val="sv-SE"/>
              </w:rPr>
              <w:t> </w:t>
            </w:r>
            <w:r w:rsidRPr="00024916">
              <w:rPr>
                <w:lang w:val="sv-SE"/>
              </w:rPr>
              <w:t>kopior/ml)</w:t>
            </w:r>
          </w:p>
        </w:tc>
        <w:tc>
          <w:tcPr>
            <w:tcW w:w="1332" w:type="dxa"/>
          </w:tcPr>
          <w:p w14:paraId="407DEFEB" w14:textId="77777777" w:rsidR="00B13606" w:rsidRPr="00024916" w:rsidRDefault="00B13606" w:rsidP="00A52061">
            <w:pPr>
              <w:pStyle w:val="TableParagraph"/>
              <w:rPr>
                <w:lang w:val="sv-SE"/>
              </w:rPr>
            </w:pPr>
            <w:r w:rsidRPr="00024916">
              <w:rPr>
                <w:lang w:val="sv-SE"/>
              </w:rPr>
              <w:t>32</w:t>
            </w:r>
            <w:r w:rsidR="007A2167" w:rsidRPr="00024916">
              <w:rPr>
                <w:lang w:val="sv-SE"/>
              </w:rPr>
              <w:t> </w:t>
            </w:r>
            <w:r w:rsidRPr="00024916">
              <w:rPr>
                <w:lang w:val="sv-SE"/>
              </w:rPr>
              <w:t>veckor</w:t>
            </w:r>
          </w:p>
        </w:tc>
        <w:tc>
          <w:tcPr>
            <w:tcW w:w="1502" w:type="dxa"/>
          </w:tcPr>
          <w:p w14:paraId="3A69DEBE" w14:textId="77777777" w:rsidR="00B13606" w:rsidRPr="00024916" w:rsidRDefault="00B13606" w:rsidP="00A52061">
            <w:pPr>
              <w:pStyle w:val="TableParagraph"/>
              <w:rPr>
                <w:lang w:val="sv-SE"/>
              </w:rPr>
            </w:pPr>
            <w:r w:rsidRPr="00024916">
              <w:rPr>
                <w:lang w:val="sv-SE"/>
              </w:rPr>
              <w:t>26</w:t>
            </w:r>
            <w:r w:rsidR="007A2167" w:rsidRPr="00024916">
              <w:rPr>
                <w:lang w:val="sv-SE"/>
              </w:rPr>
              <w:t> </w:t>
            </w:r>
            <w:r w:rsidRPr="00024916">
              <w:rPr>
                <w:lang w:val="sv-SE"/>
              </w:rPr>
              <w:t>%</w:t>
            </w:r>
          </w:p>
        </w:tc>
        <w:tc>
          <w:tcPr>
            <w:tcW w:w="1737" w:type="dxa"/>
          </w:tcPr>
          <w:p w14:paraId="0A92E6BC" w14:textId="77777777" w:rsidR="00B13606" w:rsidRPr="00024916" w:rsidRDefault="00B13606" w:rsidP="00A52061">
            <w:pPr>
              <w:pStyle w:val="TableParagraph"/>
              <w:rPr>
                <w:lang w:val="sv-SE"/>
              </w:rPr>
            </w:pPr>
            <w:r w:rsidRPr="00024916">
              <w:rPr>
                <w:lang w:val="sv-SE"/>
              </w:rPr>
              <w:t>16</w:t>
            </w:r>
            <w:r w:rsidR="007A2167" w:rsidRPr="00024916">
              <w:rPr>
                <w:lang w:val="sv-SE"/>
              </w:rPr>
              <w:t> </w:t>
            </w:r>
            <w:r w:rsidRPr="00024916">
              <w:rPr>
                <w:lang w:val="sv-SE"/>
              </w:rPr>
              <w:t>%</w:t>
            </w:r>
          </w:p>
        </w:tc>
        <w:tc>
          <w:tcPr>
            <w:tcW w:w="2231" w:type="dxa"/>
          </w:tcPr>
          <w:p w14:paraId="40AA6741" w14:textId="77777777" w:rsidR="00B13606" w:rsidRPr="00024916" w:rsidRDefault="00B13606" w:rsidP="00A52061">
            <w:pPr>
              <w:pStyle w:val="TableParagraph"/>
              <w:rPr>
                <w:lang w:val="sv-SE"/>
              </w:rPr>
            </w:pPr>
            <w:r w:rsidRPr="00024916">
              <w:rPr>
                <w:lang w:val="sv-SE"/>
              </w:rPr>
              <w:t>13</w:t>
            </w:r>
            <w:r w:rsidR="007A2167" w:rsidRPr="00024916">
              <w:rPr>
                <w:lang w:val="sv-SE"/>
              </w:rPr>
              <w:t> </w:t>
            </w:r>
            <w:r w:rsidRPr="00024916">
              <w:rPr>
                <w:lang w:val="sv-SE"/>
              </w:rPr>
              <w:t>%</w:t>
            </w:r>
          </w:p>
        </w:tc>
      </w:tr>
      <w:tr w:rsidR="00B13606" w:rsidRPr="00024916" w14:paraId="56778456" w14:textId="77777777" w:rsidTr="00D22313">
        <w:trPr>
          <w:trHeight w:val="251"/>
        </w:trPr>
        <w:tc>
          <w:tcPr>
            <w:tcW w:w="2268" w:type="dxa"/>
            <w:vMerge/>
            <w:tcBorders>
              <w:top w:val="nil"/>
            </w:tcBorders>
          </w:tcPr>
          <w:p w14:paraId="397BEED9" w14:textId="77777777" w:rsidR="00B13606" w:rsidRPr="00024916" w:rsidRDefault="00B13606" w:rsidP="00A52061">
            <w:pPr>
              <w:rPr>
                <w:lang w:val="sv-SE"/>
              </w:rPr>
            </w:pPr>
          </w:p>
        </w:tc>
        <w:tc>
          <w:tcPr>
            <w:tcW w:w="1332" w:type="dxa"/>
          </w:tcPr>
          <w:p w14:paraId="6286CED3" w14:textId="77777777" w:rsidR="00B13606" w:rsidRPr="00024916" w:rsidRDefault="00B13606" w:rsidP="00A52061">
            <w:pPr>
              <w:pStyle w:val="TableParagraph"/>
              <w:rPr>
                <w:lang w:val="sv-SE"/>
              </w:rPr>
            </w:pPr>
            <w:r w:rsidRPr="00024916">
              <w:rPr>
                <w:lang w:val="sv-SE"/>
              </w:rPr>
              <w:t>144</w:t>
            </w:r>
            <w:r w:rsidR="007A2167" w:rsidRPr="00024916">
              <w:rPr>
                <w:lang w:val="sv-SE"/>
              </w:rPr>
              <w:t> </w:t>
            </w:r>
            <w:r w:rsidRPr="00024916">
              <w:rPr>
                <w:lang w:val="sv-SE"/>
              </w:rPr>
              <w:t>veckor</w:t>
            </w:r>
          </w:p>
        </w:tc>
        <w:tc>
          <w:tcPr>
            <w:tcW w:w="1502" w:type="dxa"/>
          </w:tcPr>
          <w:p w14:paraId="68B9663E" w14:textId="77777777" w:rsidR="00B13606" w:rsidRPr="00024916" w:rsidRDefault="00B13606" w:rsidP="00A52061">
            <w:pPr>
              <w:pStyle w:val="TableParagraph"/>
              <w:rPr>
                <w:lang w:val="sv-SE"/>
              </w:rPr>
            </w:pPr>
            <w:r w:rsidRPr="00024916">
              <w:rPr>
                <w:lang w:val="sv-SE"/>
              </w:rPr>
              <w:t>-</w:t>
            </w:r>
          </w:p>
        </w:tc>
        <w:tc>
          <w:tcPr>
            <w:tcW w:w="1737" w:type="dxa"/>
          </w:tcPr>
          <w:p w14:paraId="2B944073" w14:textId="77777777" w:rsidR="00B13606" w:rsidRPr="00024916" w:rsidRDefault="00B13606" w:rsidP="00A52061">
            <w:pPr>
              <w:pStyle w:val="TableParagraph"/>
              <w:rPr>
                <w:lang w:val="sv-SE"/>
              </w:rPr>
            </w:pPr>
            <w:r w:rsidRPr="00024916">
              <w:rPr>
                <w:lang w:val="sv-SE"/>
              </w:rPr>
              <w:t>26</w:t>
            </w:r>
            <w:r w:rsidR="007A2167" w:rsidRPr="00024916">
              <w:rPr>
                <w:lang w:val="sv-SE"/>
              </w:rPr>
              <w:t> </w:t>
            </w:r>
            <w:r w:rsidRPr="00024916">
              <w:rPr>
                <w:lang w:val="sv-SE"/>
              </w:rPr>
              <w:t>%</w:t>
            </w:r>
          </w:p>
        </w:tc>
        <w:tc>
          <w:tcPr>
            <w:tcW w:w="2231" w:type="dxa"/>
          </w:tcPr>
          <w:p w14:paraId="71795324" w14:textId="77777777" w:rsidR="00B13606" w:rsidRPr="00024916" w:rsidRDefault="00B13606" w:rsidP="00A52061">
            <w:pPr>
              <w:pStyle w:val="TableParagraph"/>
              <w:rPr>
                <w:lang w:val="sv-SE"/>
              </w:rPr>
            </w:pPr>
            <w:r w:rsidRPr="00024916">
              <w:rPr>
                <w:lang w:val="sv-SE"/>
              </w:rPr>
              <w:t>25</w:t>
            </w:r>
            <w:r w:rsidR="007A2167" w:rsidRPr="00024916">
              <w:rPr>
                <w:lang w:val="sv-SE"/>
              </w:rPr>
              <w:t> </w:t>
            </w:r>
            <w:r w:rsidRPr="00024916">
              <w:rPr>
                <w:lang w:val="sv-SE"/>
              </w:rPr>
              <w:t>%</w:t>
            </w:r>
          </w:p>
        </w:tc>
      </w:tr>
      <w:tr w:rsidR="00B13606" w:rsidRPr="00024916" w14:paraId="7E7DD240" w14:textId="77777777" w:rsidTr="00D22313">
        <w:trPr>
          <w:trHeight w:val="1012"/>
        </w:trPr>
        <w:tc>
          <w:tcPr>
            <w:tcW w:w="2268" w:type="dxa"/>
          </w:tcPr>
          <w:p w14:paraId="421CC59D" w14:textId="77777777" w:rsidR="00B13606" w:rsidRPr="00024916" w:rsidRDefault="00B13606" w:rsidP="00A52061">
            <w:pPr>
              <w:pStyle w:val="TableParagraph"/>
              <w:spacing w:before="11"/>
              <w:jc w:val="left"/>
              <w:rPr>
                <w:lang w:val="sv-SE"/>
              </w:rPr>
            </w:pPr>
          </w:p>
          <w:p w14:paraId="64D5E0DD" w14:textId="77777777" w:rsidR="00B13606" w:rsidRPr="00024916" w:rsidRDefault="00B13606" w:rsidP="00A52061">
            <w:pPr>
              <w:pStyle w:val="TableParagraph"/>
              <w:jc w:val="left"/>
              <w:rPr>
                <w:lang w:val="sv-SE"/>
              </w:rPr>
            </w:pPr>
            <w:r w:rsidRPr="00024916">
              <w:rPr>
                <w:lang w:val="sv-SE"/>
              </w:rPr>
              <w:t>Virologisk framgång (48</w:t>
            </w:r>
            <w:r w:rsidR="007A2167" w:rsidRPr="00024916">
              <w:rPr>
                <w:lang w:val="sv-SE"/>
              </w:rPr>
              <w:t> </w:t>
            </w:r>
            <w:r w:rsidRPr="00024916">
              <w:rPr>
                <w:lang w:val="sv-SE"/>
              </w:rPr>
              <w:t>veckor hiv</w:t>
            </w:r>
            <w:r w:rsidR="007A2167" w:rsidRPr="00024916">
              <w:rPr>
                <w:lang w:val="sv-SE"/>
              </w:rPr>
              <w:noBreakHyphen/>
            </w:r>
            <w:r w:rsidRPr="00024916">
              <w:rPr>
                <w:lang w:val="sv-SE"/>
              </w:rPr>
              <w:t>RNA &lt;50</w:t>
            </w:r>
            <w:r w:rsidR="007A2167" w:rsidRPr="00024916">
              <w:rPr>
                <w:lang w:val="sv-SE"/>
              </w:rPr>
              <w:t> </w:t>
            </w:r>
            <w:r w:rsidRPr="00024916">
              <w:rPr>
                <w:lang w:val="sv-SE"/>
              </w:rPr>
              <w:t>kopior/ml)</w:t>
            </w:r>
          </w:p>
        </w:tc>
        <w:tc>
          <w:tcPr>
            <w:tcW w:w="1332" w:type="dxa"/>
          </w:tcPr>
          <w:p w14:paraId="7C206D67" w14:textId="77777777" w:rsidR="00B13606" w:rsidRPr="00024916" w:rsidRDefault="00B13606" w:rsidP="00A52061">
            <w:pPr>
              <w:pStyle w:val="TableParagraph"/>
              <w:rPr>
                <w:lang w:val="sv-SE"/>
              </w:rPr>
            </w:pPr>
          </w:p>
        </w:tc>
        <w:tc>
          <w:tcPr>
            <w:tcW w:w="1502" w:type="dxa"/>
          </w:tcPr>
          <w:p w14:paraId="0311F093" w14:textId="77777777" w:rsidR="00B13606" w:rsidRPr="00024916" w:rsidRDefault="00B13606" w:rsidP="00A52061">
            <w:pPr>
              <w:pStyle w:val="TableParagraph"/>
              <w:spacing w:before="11"/>
              <w:rPr>
                <w:lang w:val="sv-SE"/>
              </w:rPr>
            </w:pPr>
          </w:p>
          <w:p w14:paraId="6246D718" w14:textId="77777777" w:rsidR="00B13606" w:rsidRPr="00024916" w:rsidRDefault="00B13606" w:rsidP="00A52061">
            <w:pPr>
              <w:pStyle w:val="TableParagraph"/>
              <w:rPr>
                <w:lang w:val="sv-SE"/>
              </w:rPr>
            </w:pPr>
            <w:r w:rsidRPr="00024916">
              <w:rPr>
                <w:lang w:val="sv-SE"/>
              </w:rPr>
              <w:t>63</w:t>
            </w:r>
            <w:r w:rsidR="007A2167" w:rsidRPr="00024916">
              <w:rPr>
                <w:lang w:val="sv-SE"/>
              </w:rPr>
              <w:t> </w:t>
            </w:r>
            <w:r w:rsidRPr="00024916">
              <w:rPr>
                <w:lang w:val="sv-SE"/>
              </w:rPr>
              <w:t>%</w:t>
            </w:r>
          </w:p>
        </w:tc>
        <w:tc>
          <w:tcPr>
            <w:tcW w:w="1737" w:type="dxa"/>
          </w:tcPr>
          <w:p w14:paraId="52B6AD8E" w14:textId="77777777" w:rsidR="00B13606" w:rsidRPr="00024916" w:rsidRDefault="00B13606" w:rsidP="00A52061">
            <w:pPr>
              <w:pStyle w:val="TableParagraph"/>
              <w:spacing w:before="11"/>
              <w:rPr>
                <w:lang w:val="sv-SE"/>
              </w:rPr>
            </w:pPr>
          </w:p>
          <w:p w14:paraId="452CF867" w14:textId="77777777" w:rsidR="00B13606" w:rsidRPr="00024916" w:rsidRDefault="00B13606" w:rsidP="00A52061">
            <w:pPr>
              <w:pStyle w:val="TableParagraph"/>
              <w:rPr>
                <w:lang w:val="sv-SE"/>
              </w:rPr>
            </w:pPr>
            <w:r w:rsidRPr="00024916">
              <w:rPr>
                <w:lang w:val="sv-SE"/>
              </w:rPr>
              <w:t>80</w:t>
            </w:r>
            <w:r w:rsidR="007A2167" w:rsidRPr="00024916">
              <w:rPr>
                <w:lang w:val="sv-SE"/>
              </w:rPr>
              <w:t> </w:t>
            </w:r>
            <w:r w:rsidRPr="00024916">
              <w:rPr>
                <w:lang w:val="sv-SE"/>
              </w:rPr>
              <w:t>%</w:t>
            </w:r>
          </w:p>
        </w:tc>
        <w:tc>
          <w:tcPr>
            <w:tcW w:w="2231" w:type="dxa"/>
          </w:tcPr>
          <w:p w14:paraId="69425CC2" w14:textId="77777777" w:rsidR="00B13606" w:rsidRPr="00024916" w:rsidRDefault="00B13606" w:rsidP="00A52061">
            <w:pPr>
              <w:pStyle w:val="TableParagraph"/>
              <w:spacing w:before="11"/>
              <w:rPr>
                <w:lang w:val="sv-SE"/>
              </w:rPr>
            </w:pPr>
          </w:p>
          <w:p w14:paraId="31ED7A69" w14:textId="77777777" w:rsidR="00B13606" w:rsidRPr="00024916" w:rsidRDefault="00B13606" w:rsidP="00A52061">
            <w:pPr>
              <w:pStyle w:val="TableParagraph"/>
              <w:rPr>
                <w:lang w:val="sv-SE"/>
              </w:rPr>
            </w:pPr>
            <w:r w:rsidRPr="00024916">
              <w:rPr>
                <w:lang w:val="sv-SE"/>
              </w:rPr>
              <w:t>86</w:t>
            </w:r>
            <w:r w:rsidR="007A2167" w:rsidRPr="00024916">
              <w:rPr>
                <w:lang w:val="sv-SE"/>
              </w:rPr>
              <w:t> </w:t>
            </w:r>
            <w:r w:rsidRPr="00024916">
              <w:rPr>
                <w:lang w:val="sv-SE"/>
              </w:rPr>
              <w:t>%</w:t>
            </w:r>
          </w:p>
        </w:tc>
      </w:tr>
    </w:tbl>
    <w:p w14:paraId="3BF7E5B9" w14:textId="77777777" w:rsidR="007A2167" w:rsidRPr="00024916" w:rsidRDefault="007A2167" w:rsidP="00A52061">
      <w:pPr>
        <w:pStyle w:val="Liststycke"/>
        <w:tabs>
          <w:tab w:val="left" w:pos="784"/>
          <w:tab w:val="left" w:pos="785"/>
        </w:tabs>
        <w:ind w:left="0"/>
        <w:contextualSpacing w:val="0"/>
        <w:rPr>
          <w:i/>
        </w:rPr>
      </w:pPr>
    </w:p>
    <w:p w14:paraId="3034C971" w14:textId="77777777" w:rsidR="00B13606" w:rsidRPr="00024916" w:rsidRDefault="00B13606" w:rsidP="00A52061">
      <w:pPr>
        <w:pStyle w:val="Liststycke"/>
        <w:numPr>
          <w:ilvl w:val="0"/>
          <w:numId w:val="4"/>
        </w:numPr>
        <w:tabs>
          <w:tab w:val="left" w:pos="784"/>
          <w:tab w:val="left" w:pos="785"/>
        </w:tabs>
        <w:ind w:left="0" w:firstLine="0"/>
        <w:contextualSpacing w:val="0"/>
        <w:rPr>
          <w:i/>
        </w:rPr>
      </w:pPr>
      <w:r w:rsidRPr="00024916">
        <w:rPr>
          <w:i/>
        </w:rPr>
        <w:t>Behandlingserfarna</w:t>
      </w:r>
      <w:r w:rsidRPr="00024916">
        <w:rPr>
          <w:i/>
          <w:spacing w:val="-1"/>
        </w:rPr>
        <w:t xml:space="preserve"> </w:t>
      </w:r>
      <w:r w:rsidRPr="00024916">
        <w:rPr>
          <w:i/>
        </w:rPr>
        <w:t>vuxna</w:t>
      </w:r>
    </w:p>
    <w:p w14:paraId="7420C8B8" w14:textId="77777777" w:rsidR="00B13606" w:rsidRPr="00024916" w:rsidRDefault="00B13606" w:rsidP="00A52061">
      <w:pPr>
        <w:pStyle w:val="Brdtext"/>
        <w:spacing w:before="11"/>
        <w:rPr>
          <w:i/>
        </w:rPr>
      </w:pPr>
    </w:p>
    <w:p w14:paraId="28C11E6D" w14:textId="77777777" w:rsidR="00B13606" w:rsidRPr="00024916" w:rsidRDefault="00B13606" w:rsidP="00A52061">
      <w:pPr>
        <w:pStyle w:val="Brdtext"/>
        <w:jc w:val="both"/>
      </w:pPr>
      <w:r w:rsidRPr="00024916">
        <w:t xml:space="preserve">Till vuxna patienter med måttlig tidigare exponering för antiretrovirala läkemedel gav tillägget av abakavir till befintlig antiretroviral kombinationsbehandling blygsamma effekter när det gällde att </w:t>
      </w:r>
      <w:r w:rsidRPr="00024916">
        <w:rPr>
          <w:position w:val="2"/>
        </w:rPr>
        <w:t>minska virusmängden (medianförändring 0,44 log</w:t>
      </w:r>
      <w:r w:rsidR="007A2167" w:rsidRPr="00024916">
        <w:rPr>
          <w:position w:val="2"/>
          <w:vertAlign w:val="subscript"/>
        </w:rPr>
        <w:t>10</w:t>
      </w:r>
      <w:r w:rsidRPr="00024916">
        <w:t xml:space="preserve"> </w:t>
      </w:r>
      <w:r w:rsidRPr="00024916">
        <w:rPr>
          <w:position w:val="2"/>
        </w:rPr>
        <w:t>kopior/ml vid 16 veckor).</w:t>
      </w:r>
    </w:p>
    <w:p w14:paraId="13B8FE83" w14:textId="77777777" w:rsidR="00B13606" w:rsidRPr="00024916" w:rsidRDefault="00B13606" w:rsidP="00A52061">
      <w:pPr>
        <w:pStyle w:val="Brdtext"/>
        <w:spacing w:before="9"/>
      </w:pPr>
    </w:p>
    <w:p w14:paraId="3B08A2EF" w14:textId="77777777" w:rsidR="00B13606" w:rsidRPr="00024916" w:rsidRDefault="00B13606" w:rsidP="00A52061">
      <w:pPr>
        <w:pStyle w:val="Brdtext"/>
      </w:pPr>
      <w:r w:rsidRPr="00024916">
        <w:t xml:space="preserve">Hos patienter med omfattande erfarenhet av behandling med NRTIs var effekten av abakavir marginell. Värdet av att addera </w:t>
      </w:r>
      <w:r w:rsidR="00834FFD" w:rsidRPr="00024916">
        <w:t>a</w:t>
      </w:r>
      <w:r w:rsidRPr="00024916">
        <w:t>ba</w:t>
      </w:r>
      <w:r w:rsidR="00834FFD" w:rsidRPr="00024916">
        <w:t>k</w:t>
      </w:r>
      <w:r w:rsidRPr="00024916">
        <w:t>avir till en antiretroviral kombinationsbehandling beror på typ och duration av tidigare behandling, vilken kan ha selekterat fram hiv</w:t>
      </w:r>
      <w:r w:rsidR="00834FFD" w:rsidRPr="00024916">
        <w:noBreakHyphen/>
      </w:r>
      <w:r w:rsidRPr="00024916">
        <w:t>1</w:t>
      </w:r>
      <w:r w:rsidR="00834FFD" w:rsidRPr="00024916">
        <w:noBreakHyphen/>
      </w:r>
      <w:r w:rsidRPr="00024916">
        <w:t>varianter med korsresistens mot abakavir.</w:t>
      </w:r>
    </w:p>
    <w:p w14:paraId="555F7F44" w14:textId="77777777" w:rsidR="00B13606" w:rsidRPr="00024916" w:rsidRDefault="00B13606" w:rsidP="00A52061">
      <w:pPr>
        <w:pStyle w:val="Brdtext"/>
      </w:pPr>
    </w:p>
    <w:p w14:paraId="4BA248BE" w14:textId="77777777" w:rsidR="00B13606" w:rsidRPr="00024916" w:rsidRDefault="00B13606" w:rsidP="00A52061">
      <w:pPr>
        <w:rPr>
          <w:i/>
        </w:rPr>
      </w:pPr>
      <w:r w:rsidRPr="00024916">
        <w:rPr>
          <w:i/>
        </w:rPr>
        <w:t>Dosering (600 mg) en gång dagligen</w:t>
      </w:r>
    </w:p>
    <w:p w14:paraId="2BCD7039" w14:textId="77777777" w:rsidR="00B13606" w:rsidRPr="00024916" w:rsidRDefault="00B13606" w:rsidP="00A52061">
      <w:pPr>
        <w:pStyle w:val="Brdtext"/>
        <w:spacing w:before="10"/>
        <w:rPr>
          <w:i/>
        </w:rPr>
      </w:pPr>
    </w:p>
    <w:p w14:paraId="03571453" w14:textId="77777777" w:rsidR="00B13606" w:rsidRPr="00024916" w:rsidRDefault="00B13606" w:rsidP="00A52061">
      <w:pPr>
        <w:pStyle w:val="Liststycke"/>
        <w:numPr>
          <w:ilvl w:val="0"/>
          <w:numId w:val="4"/>
        </w:numPr>
        <w:tabs>
          <w:tab w:val="left" w:pos="784"/>
          <w:tab w:val="left" w:pos="786"/>
        </w:tabs>
        <w:spacing w:before="1"/>
        <w:ind w:left="0" w:firstLine="0"/>
        <w:contextualSpacing w:val="0"/>
        <w:rPr>
          <w:i/>
        </w:rPr>
      </w:pPr>
      <w:r w:rsidRPr="00024916">
        <w:rPr>
          <w:i/>
        </w:rPr>
        <w:t>Behandlingsnaiva</w:t>
      </w:r>
      <w:r w:rsidRPr="00024916">
        <w:rPr>
          <w:i/>
          <w:spacing w:val="-1"/>
        </w:rPr>
        <w:t xml:space="preserve"> </w:t>
      </w:r>
      <w:r w:rsidRPr="00024916">
        <w:rPr>
          <w:i/>
        </w:rPr>
        <w:t>vuxna</w:t>
      </w:r>
    </w:p>
    <w:p w14:paraId="3EB370EB" w14:textId="77777777" w:rsidR="00B13606" w:rsidRPr="00024916" w:rsidRDefault="00B13606" w:rsidP="00A52061">
      <w:pPr>
        <w:pStyle w:val="Brdtext"/>
        <w:spacing w:before="10"/>
        <w:rPr>
          <w:i/>
        </w:rPr>
      </w:pPr>
    </w:p>
    <w:p w14:paraId="04FFCD21" w14:textId="77777777" w:rsidR="00B13606" w:rsidRPr="00024916" w:rsidRDefault="00B13606" w:rsidP="00A52061">
      <w:pPr>
        <w:pStyle w:val="Brdtext"/>
        <w:spacing w:before="1"/>
      </w:pPr>
      <w:r w:rsidRPr="00024916">
        <w:t>Dosering en gång dagligen stöds av en 48</w:t>
      </w:r>
      <w:r w:rsidR="00834FFD" w:rsidRPr="00024916">
        <w:noBreakHyphen/>
      </w:r>
      <w:r w:rsidRPr="00024916">
        <w:t>veckors dubbelblind, kontrollerad mulitcenterstudie (CNA30021) på 770</w:t>
      </w:r>
      <w:r w:rsidR="00834FFD" w:rsidRPr="00024916">
        <w:t> </w:t>
      </w:r>
      <w:r w:rsidRPr="00024916">
        <w:t>hivinfekterade terapinaiva vuxna, som huvudsakligen var symtomfria - Centre for Disease Control and Prevention (CDC) stadie</w:t>
      </w:r>
      <w:r w:rsidR="00834FFD" w:rsidRPr="00024916">
        <w:t> </w:t>
      </w:r>
      <w:r w:rsidRPr="00024916">
        <w:t>A. De randomiserades till att få antingen 600</w:t>
      </w:r>
      <w:r w:rsidR="00834FFD" w:rsidRPr="00024916">
        <w:t> </w:t>
      </w:r>
      <w:r w:rsidRPr="00024916">
        <w:t>mg abakavir en gång dagligen eller 300</w:t>
      </w:r>
      <w:r w:rsidR="00834FFD" w:rsidRPr="00024916">
        <w:t> </w:t>
      </w:r>
      <w:r w:rsidRPr="00024916">
        <w:t>mg två gånger dagligen, i kombination med efavirenz och lamivudin som gavs en gång dagligen. Liknande klinisk framgång (”point estimate” för behandlingsskillnad -1,7, 95</w:t>
      </w:r>
      <w:r w:rsidR="00834FFD" w:rsidRPr="00024916">
        <w:t> </w:t>
      </w:r>
      <w:r w:rsidRPr="00024916">
        <w:t>% CI -8,4, 4,9) sågs i båda behandlingsregimerna. Från dessa resultat kan man dra slutsatsen att vid 95</w:t>
      </w:r>
      <w:r w:rsidR="00834FFD" w:rsidRPr="00024916">
        <w:t> </w:t>
      </w:r>
      <w:r w:rsidRPr="00024916">
        <w:t>% konfidens är den verkliga skillnaden inte större än 8,4</w:t>
      </w:r>
      <w:r w:rsidR="00834FFD" w:rsidRPr="00024916">
        <w:t> </w:t>
      </w:r>
      <w:r w:rsidRPr="00024916">
        <w:t>% till fördel för två gånger dagligen doseringen. Denna potentiella skillnad är tillräckligt liten för att kunna dra en generell slutsats av ”non</w:t>
      </w:r>
      <w:r w:rsidR="00834FFD" w:rsidRPr="00024916">
        <w:noBreakHyphen/>
      </w:r>
      <w:r w:rsidRPr="00024916">
        <w:t>inferiority” för abakavir en gång dagligen över abakavir två gånger dagligen.</w:t>
      </w:r>
    </w:p>
    <w:p w14:paraId="646D11B9" w14:textId="77777777" w:rsidR="00B13606" w:rsidRPr="00024916" w:rsidRDefault="00B13606" w:rsidP="00A52061">
      <w:pPr>
        <w:pStyle w:val="Brdtext"/>
      </w:pPr>
    </w:p>
    <w:p w14:paraId="474DE2E3" w14:textId="77777777" w:rsidR="00B13606" w:rsidRPr="00024916" w:rsidRDefault="00B13606" w:rsidP="00A52061">
      <w:pPr>
        <w:pStyle w:val="Brdtext"/>
      </w:pPr>
      <w:r w:rsidRPr="00024916">
        <w:t xml:space="preserve">Det var en låg, likartad total incidens av virologisk svikt (virusmängd </w:t>
      </w:r>
      <w:r w:rsidR="00834FFD" w:rsidRPr="00024916">
        <w:t>≤</w:t>
      </w:r>
      <w:r w:rsidRPr="00024916">
        <w:t>50</w:t>
      </w:r>
      <w:r w:rsidR="00834FFD" w:rsidRPr="00024916">
        <w:t> </w:t>
      </w:r>
      <w:r w:rsidRPr="00024916">
        <w:t>kopior/ml) i både behandlingsgruppen med dosering en gång dagligen och den med dosering två gånger dagligen (10</w:t>
      </w:r>
      <w:r w:rsidR="00834FFD" w:rsidRPr="00024916">
        <w:t> </w:t>
      </w:r>
      <w:r w:rsidRPr="00024916">
        <w:t>% respektive 8</w:t>
      </w:r>
      <w:r w:rsidR="00834FFD" w:rsidRPr="00024916">
        <w:t> </w:t>
      </w:r>
      <w:r w:rsidRPr="00024916">
        <w:t>%). I den begränsade mängden prov som fanns tillgängliga för genotypisk analys fanns en trend mot ett högre antal NRTI</w:t>
      </w:r>
      <w:r w:rsidR="00834FFD" w:rsidRPr="00024916">
        <w:noBreakHyphen/>
      </w:r>
      <w:r w:rsidRPr="00024916">
        <w:t>mutationer vid dosering med abakavir en gång per dag jämfört med dosering två gånger per dag. Någon tydlig slutsats kunde inte dras p</w:t>
      </w:r>
      <w:r w:rsidR="00834FFD" w:rsidRPr="00024916">
        <w:t>.</w:t>
      </w:r>
      <w:r w:rsidRPr="00024916">
        <w:t>g</w:t>
      </w:r>
      <w:r w:rsidR="00834FFD" w:rsidRPr="00024916">
        <w:t>.</w:t>
      </w:r>
      <w:r w:rsidRPr="00024916">
        <w:t>a</w:t>
      </w:r>
      <w:r w:rsidR="00834FFD" w:rsidRPr="00024916">
        <w:t>.</w:t>
      </w:r>
      <w:r w:rsidRPr="00024916">
        <w:t xml:space="preserve"> den begränsade datamängden som kunde erhållas från denna studie. Långtidsdata för abakavir med dosering en gång dagligen (längre än 48</w:t>
      </w:r>
      <w:r w:rsidR="00834FFD" w:rsidRPr="00024916">
        <w:t> </w:t>
      </w:r>
      <w:r w:rsidRPr="00024916">
        <w:t>veckor) är för närvarande begränsade.</w:t>
      </w:r>
    </w:p>
    <w:p w14:paraId="120601E6" w14:textId="77777777" w:rsidR="00B13606" w:rsidRPr="00024916" w:rsidRDefault="00B13606" w:rsidP="00A52061">
      <w:pPr>
        <w:pStyle w:val="Brdtext"/>
        <w:spacing w:before="10"/>
      </w:pPr>
    </w:p>
    <w:p w14:paraId="0B838975" w14:textId="77777777" w:rsidR="00B13606" w:rsidRPr="00024916" w:rsidRDefault="00B13606" w:rsidP="00A52061">
      <w:pPr>
        <w:pStyle w:val="Liststycke"/>
        <w:numPr>
          <w:ilvl w:val="0"/>
          <w:numId w:val="4"/>
        </w:numPr>
        <w:tabs>
          <w:tab w:val="left" w:pos="784"/>
          <w:tab w:val="left" w:pos="785"/>
        </w:tabs>
        <w:spacing w:before="1"/>
        <w:ind w:left="0" w:firstLine="0"/>
        <w:contextualSpacing w:val="0"/>
        <w:rPr>
          <w:i/>
        </w:rPr>
      </w:pPr>
      <w:r w:rsidRPr="00024916">
        <w:rPr>
          <w:i/>
        </w:rPr>
        <w:t>Behandlingserfarna</w:t>
      </w:r>
      <w:r w:rsidRPr="00024916">
        <w:rPr>
          <w:i/>
          <w:spacing w:val="-1"/>
        </w:rPr>
        <w:t xml:space="preserve"> </w:t>
      </w:r>
      <w:r w:rsidRPr="00024916">
        <w:rPr>
          <w:i/>
        </w:rPr>
        <w:t>vuxna</w:t>
      </w:r>
    </w:p>
    <w:p w14:paraId="503D0A1F" w14:textId="77777777" w:rsidR="00B13606" w:rsidRPr="00024916" w:rsidRDefault="00B13606" w:rsidP="00A52061">
      <w:pPr>
        <w:pStyle w:val="Brdtext"/>
        <w:spacing w:before="8"/>
        <w:rPr>
          <w:i/>
        </w:rPr>
      </w:pPr>
    </w:p>
    <w:p w14:paraId="50BA1F14" w14:textId="77777777" w:rsidR="00B13606" w:rsidRPr="00024916" w:rsidRDefault="00B13606" w:rsidP="00A52061">
      <w:pPr>
        <w:pStyle w:val="Brdtext"/>
      </w:pPr>
      <w:r w:rsidRPr="00024916">
        <w:t>I studie CAL30001 randomiserades 182</w:t>
      </w:r>
      <w:r w:rsidR="00834FFD" w:rsidRPr="00024916">
        <w:t> </w:t>
      </w:r>
      <w:r w:rsidRPr="00024916">
        <w:t>behandlingserfarna patienter med virologisk svikt till behandling med antingen den fasta doskombinationen abakavir/lamivudin en gång dagligen eller abakavir 300</w:t>
      </w:r>
      <w:r w:rsidR="00834FFD" w:rsidRPr="00024916">
        <w:t> </w:t>
      </w:r>
      <w:r w:rsidRPr="00024916">
        <w:t>mg två gånger dagligen plus lamivudin 300</w:t>
      </w:r>
      <w:r w:rsidR="00834FFD" w:rsidRPr="00024916">
        <w:t> </w:t>
      </w:r>
      <w:r w:rsidRPr="00024916">
        <w:t>mg en gång dagligen, båda i kombination med tenofovir och en PI eller en NNRTI under 48</w:t>
      </w:r>
      <w:r w:rsidR="00834FFD" w:rsidRPr="00024916">
        <w:t> </w:t>
      </w:r>
      <w:r w:rsidRPr="00024916">
        <w:t>veckor. Resultat visar att gruppen med fast doskombination inte var sämre än (non inferior) gruppen som fick abakavir två gånger per dag, baserat på en liknande nedgång av hiv</w:t>
      </w:r>
      <w:r w:rsidR="00834FFD" w:rsidRPr="00024916">
        <w:noBreakHyphen/>
      </w:r>
      <w:r w:rsidRPr="00024916">
        <w:t>1</w:t>
      </w:r>
      <w:r w:rsidR="00834FFD" w:rsidRPr="00024916">
        <w:noBreakHyphen/>
      </w:r>
      <w:r w:rsidRPr="00024916">
        <w:t>RNA uppmätt genom medelvärdet av AUC minus baseline</w:t>
      </w:r>
      <w:r w:rsidRPr="00024916">
        <w:rPr>
          <w:position w:val="2"/>
        </w:rPr>
        <w:t xml:space="preserve"> (AAUCMB, -1,65 log</w:t>
      </w:r>
      <w:r w:rsidR="00834FFD" w:rsidRPr="00024916">
        <w:rPr>
          <w:position w:val="2"/>
          <w:vertAlign w:val="subscript"/>
        </w:rPr>
        <w:t>10</w:t>
      </w:r>
      <w:r w:rsidRPr="00024916">
        <w:t xml:space="preserve"> </w:t>
      </w:r>
      <w:r w:rsidRPr="00024916">
        <w:rPr>
          <w:position w:val="2"/>
        </w:rPr>
        <w:t>kopior/ml respektive -1,83 log</w:t>
      </w:r>
      <w:r w:rsidR="00834FFD" w:rsidRPr="00024916">
        <w:rPr>
          <w:position w:val="2"/>
          <w:vertAlign w:val="subscript"/>
        </w:rPr>
        <w:t>10</w:t>
      </w:r>
      <w:r w:rsidRPr="00024916">
        <w:t xml:space="preserve"> </w:t>
      </w:r>
      <w:r w:rsidRPr="00024916">
        <w:rPr>
          <w:position w:val="2"/>
        </w:rPr>
        <w:t>kopior/ml, 95</w:t>
      </w:r>
      <w:r w:rsidR="00834FFD" w:rsidRPr="00024916">
        <w:rPr>
          <w:position w:val="2"/>
        </w:rPr>
        <w:t> </w:t>
      </w:r>
      <w:r w:rsidRPr="00024916">
        <w:rPr>
          <w:position w:val="2"/>
        </w:rPr>
        <w:t>% CI -0,13, 0,38). Andelen</w:t>
      </w:r>
      <w:r w:rsidR="00834FFD" w:rsidRPr="00024916">
        <w:rPr>
          <w:position w:val="2"/>
        </w:rPr>
        <w:t xml:space="preserve"> </w:t>
      </w:r>
      <w:r w:rsidRPr="00024916">
        <w:t>patienter med hiv</w:t>
      </w:r>
      <w:r w:rsidR="00834FFD" w:rsidRPr="00024916">
        <w:noBreakHyphen/>
      </w:r>
      <w:r w:rsidRPr="00024916">
        <w:t>1</w:t>
      </w:r>
      <w:r w:rsidR="00834FFD" w:rsidRPr="00024916">
        <w:noBreakHyphen/>
      </w:r>
      <w:r w:rsidRPr="00024916">
        <w:t xml:space="preserve">RNA </w:t>
      </w:r>
      <w:r w:rsidR="00834FFD" w:rsidRPr="00024916">
        <w:t xml:space="preserve">&lt; </w:t>
      </w:r>
      <w:r w:rsidRPr="00024916">
        <w:t>50</w:t>
      </w:r>
      <w:r w:rsidR="00834FFD" w:rsidRPr="00024916">
        <w:t> </w:t>
      </w:r>
      <w:r w:rsidRPr="00024916">
        <w:t>kopior/ml (50</w:t>
      </w:r>
      <w:r w:rsidR="00834FFD" w:rsidRPr="00024916">
        <w:t> </w:t>
      </w:r>
      <w:r w:rsidRPr="00024916">
        <w:t>% mot 47</w:t>
      </w:r>
      <w:r w:rsidR="00834FFD" w:rsidRPr="00024916">
        <w:t> </w:t>
      </w:r>
      <w:r w:rsidRPr="00024916">
        <w:t xml:space="preserve">%) och </w:t>
      </w:r>
      <w:r w:rsidR="00834FFD" w:rsidRPr="00024916">
        <w:t>&lt;</w:t>
      </w:r>
      <w:r w:rsidRPr="00024916">
        <w:t>400</w:t>
      </w:r>
      <w:r w:rsidR="00834FFD" w:rsidRPr="00024916">
        <w:t> </w:t>
      </w:r>
      <w:r w:rsidRPr="00024916">
        <w:t>kopior/ml (54</w:t>
      </w:r>
      <w:r w:rsidR="00834FFD" w:rsidRPr="00024916">
        <w:t> </w:t>
      </w:r>
      <w:r w:rsidRPr="00024916">
        <w:t>% mot 57</w:t>
      </w:r>
      <w:r w:rsidR="00834FFD" w:rsidRPr="00024916">
        <w:t> </w:t>
      </w:r>
      <w:r w:rsidRPr="00024916">
        <w:t xml:space="preserve">%) var också likartad i de båda grupperna. Dessa resultat bör emellertid tolkas med försiktighet, eftersom </w:t>
      </w:r>
      <w:r w:rsidRPr="00024916">
        <w:lastRenderedPageBreak/>
        <w:t>endast patienter med måttlig behandlingserfarenhet ingick i denna studie och när behandling sattes in fanns en obalans i virusmängd mellan de båda armarna.</w:t>
      </w:r>
    </w:p>
    <w:p w14:paraId="0F47179D" w14:textId="77777777" w:rsidR="00B13606" w:rsidRPr="00024916" w:rsidRDefault="00B13606" w:rsidP="00A52061">
      <w:pPr>
        <w:pStyle w:val="Brdtext"/>
        <w:spacing w:before="10"/>
      </w:pPr>
    </w:p>
    <w:p w14:paraId="3561913E" w14:textId="77777777" w:rsidR="00B13606" w:rsidRPr="00024916" w:rsidRDefault="00B13606" w:rsidP="00A52061">
      <w:pPr>
        <w:pStyle w:val="Brdtext"/>
      </w:pPr>
      <w:r w:rsidRPr="00024916">
        <w:t>260</w:t>
      </w:r>
      <w:r w:rsidR="00834FFD" w:rsidRPr="00024916">
        <w:t> </w:t>
      </w:r>
      <w:r w:rsidRPr="00024916">
        <w:t>patienter med virologisk suppression på en första linjens terapi bestående av abakavir 300</w:t>
      </w:r>
      <w:r w:rsidR="00834FFD" w:rsidRPr="00024916">
        <w:t> </w:t>
      </w:r>
      <w:r w:rsidRPr="00024916">
        <w:t>mg plus lamivudin 150</w:t>
      </w:r>
      <w:r w:rsidR="00834FFD" w:rsidRPr="00024916">
        <w:t> </w:t>
      </w:r>
      <w:r w:rsidRPr="00024916">
        <w:t>mg, båda givna två gånger dagligen, i kombination med en PI eller NNRTI, randomiserades i en studie, ESS</w:t>
      </w:r>
      <w:r w:rsidR="00834FFD" w:rsidRPr="00024916">
        <w:t> </w:t>
      </w:r>
      <w:r w:rsidRPr="00024916">
        <w:t>30008, till att fortsätta denna regim eller att byta till den fasta kombinationen abakavir/lamivudin plus en PI eller NNRTI under 48</w:t>
      </w:r>
      <w:r w:rsidR="00834FFD" w:rsidRPr="00024916">
        <w:t> </w:t>
      </w:r>
      <w:r w:rsidRPr="00024916">
        <w:t>veckor. Resultat visar att gruppen med den fasta kombinationen uppnådde samma virologiska utfall (”non</w:t>
      </w:r>
      <w:r w:rsidR="00834FFD" w:rsidRPr="00024916">
        <w:noBreakHyphen/>
      </w:r>
      <w:r w:rsidRPr="00024916">
        <w:t>inferior”) som abakavir plus lamividingruppen, baser</w:t>
      </w:r>
      <w:r w:rsidR="00834FFD" w:rsidRPr="00024916">
        <w:t>at på andelen individer med hiv</w:t>
      </w:r>
      <w:r w:rsidR="00834FFD" w:rsidRPr="00024916">
        <w:noBreakHyphen/>
      </w:r>
      <w:r w:rsidRPr="00024916">
        <w:t>1</w:t>
      </w:r>
      <w:r w:rsidR="00834FFD" w:rsidRPr="00024916">
        <w:noBreakHyphen/>
      </w:r>
      <w:r w:rsidRPr="00024916">
        <w:t xml:space="preserve">RNA </w:t>
      </w:r>
      <w:r w:rsidR="00834FFD" w:rsidRPr="00024916">
        <w:t>&lt;</w:t>
      </w:r>
      <w:r w:rsidRPr="00024916">
        <w:t>50 kopior/ml (90</w:t>
      </w:r>
      <w:r w:rsidR="00834FFD" w:rsidRPr="00024916">
        <w:t> </w:t>
      </w:r>
      <w:r w:rsidRPr="00024916">
        <w:t>% respektive 85</w:t>
      </w:r>
      <w:r w:rsidR="00834FFD" w:rsidRPr="00024916">
        <w:t> </w:t>
      </w:r>
      <w:r w:rsidRPr="00024916">
        <w:t>%, 95</w:t>
      </w:r>
      <w:r w:rsidR="00834FFD" w:rsidRPr="00024916">
        <w:t> </w:t>
      </w:r>
      <w:r w:rsidRPr="00024916">
        <w:t>% CI -2,7, 13,5).</w:t>
      </w:r>
    </w:p>
    <w:p w14:paraId="7B0DBBA1" w14:textId="77777777" w:rsidR="00B13606" w:rsidRPr="00024916" w:rsidRDefault="00B13606" w:rsidP="00A52061">
      <w:pPr>
        <w:pStyle w:val="Brdtext"/>
        <w:spacing w:before="10"/>
      </w:pPr>
    </w:p>
    <w:p w14:paraId="58E413F6" w14:textId="77777777" w:rsidR="00834FFD" w:rsidRPr="00024916" w:rsidRDefault="00B13606" w:rsidP="00A52061">
      <w:pPr>
        <w:spacing w:before="1"/>
        <w:rPr>
          <w:i/>
        </w:rPr>
      </w:pPr>
      <w:r w:rsidRPr="00024916">
        <w:rPr>
          <w:i/>
        </w:rPr>
        <w:t>Ytterligare information</w:t>
      </w:r>
    </w:p>
    <w:p w14:paraId="40DEA39A" w14:textId="77777777" w:rsidR="00834FFD" w:rsidRPr="00024916" w:rsidRDefault="00834FFD" w:rsidP="00A52061">
      <w:pPr>
        <w:spacing w:before="1"/>
        <w:rPr>
          <w:i/>
        </w:rPr>
      </w:pPr>
    </w:p>
    <w:p w14:paraId="38371F9D" w14:textId="77777777" w:rsidR="00B13606" w:rsidRPr="00024916" w:rsidRDefault="00B13606" w:rsidP="00A52061">
      <w:pPr>
        <w:spacing w:before="1"/>
      </w:pPr>
      <w:r w:rsidRPr="00024916">
        <w:t xml:space="preserve">Effekt och säkerhet av </w:t>
      </w:r>
      <w:r w:rsidR="00834FFD" w:rsidRPr="00024916">
        <w:t>a</w:t>
      </w:r>
      <w:r w:rsidRPr="00024916">
        <w:t>ba</w:t>
      </w:r>
      <w:r w:rsidR="00834FFD" w:rsidRPr="00024916">
        <w:t>k</w:t>
      </w:r>
      <w:r w:rsidRPr="00024916">
        <w:t>avir givet som en del av olika kombinationsbehandlingar, är fortfarande inte fullständigt utredd (i synnerhet kombinationer med</w:t>
      </w:r>
      <w:r w:rsidR="00834FFD" w:rsidRPr="00024916">
        <w:t xml:space="preserve"> </w:t>
      </w:r>
      <w:r w:rsidRPr="00024916">
        <w:t>NNRTIs).</w:t>
      </w:r>
    </w:p>
    <w:p w14:paraId="35C4AD9E" w14:textId="77777777" w:rsidR="00B13606" w:rsidRPr="00024916" w:rsidRDefault="00B13606" w:rsidP="00A52061">
      <w:pPr>
        <w:pStyle w:val="Brdtext"/>
        <w:spacing w:before="11"/>
      </w:pPr>
    </w:p>
    <w:p w14:paraId="5545493C" w14:textId="77777777" w:rsidR="00B13606" w:rsidRPr="00024916" w:rsidRDefault="00B13606" w:rsidP="00A52061">
      <w:pPr>
        <w:pStyle w:val="Brdtext"/>
      </w:pPr>
      <w:r w:rsidRPr="00024916">
        <w:t>Abakavir penetrerar till cerebrospinalvätskan (se avsnitt</w:t>
      </w:r>
      <w:r w:rsidR="00834FFD" w:rsidRPr="00024916">
        <w:t> </w:t>
      </w:r>
      <w:r w:rsidRPr="00024916">
        <w:t>5.2) och har visats minska nivåerna av hiv</w:t>
      </w:r>
      <w:r w:rsidR="00834FFD" w:rsidRPr="00024916">
        <w:noBreakHyphen/>
      </w:r>
      <w:r w:rsidRPr="00024916">
        <w:t>1</w:t>
      </w:r>
      <w:r w:rsidR="00834FFD" w:rsidRPr="00024916">
        <w:noBreakHyphen/>
      </w:r>
      <w:r w:rsidRPr="00024916">
        <w:t>RNA i likvor. Dock noterades inga effekter på neuropsykologiska variabler när det gavs till patienter med AIDS</w:t>
      </w:r>
      <w:r w:rsidR="00834FFD" w:rsidRPr="00024916">
        <w:noBreakHyphen/>
      </w:r>
      <w:r w:rsidRPr="00024916">
        <w:t>relaterad demens.</w:t>
      </w:r>
    </w:p>
    <w:p w14:paraId="5E175D89" w14:textId="77777777" w:rsidR="00B13606" w:rsidRPr="00024916" w:rsidRDefault="00B13606" w:rsidP="00A52061">
      <w:pPr>
        <w:pStyle w:val="Brdtext"/>
      </w:pPr>
    </w:p>
    <w:p w14:paraId="416C2956" w14:textId="77777777" w:rsidR="00B13606" w:rsidRPr="00024916" w:rsidRDefault="00B13606" w:rsidP="00A52061">
      <w:pPr>
        <w:spacing w:before="1"/>
        <w:rPr>
          <w:i/>
        </w:rPr>
      </w:pPr>
      <w:r w:rsidRPr="00024916">
        <w:rPr>
          <w:i/>
          <w:u w:val="single"/>
        </w:rPr>
        <w:t>Pediatrisk population</w:t>
      </w:r>
    </w:p>
    <w:p w14:paraId="6D7A968A" w14:textId="77777777" w:rsidR="00B13606" w:rsidRPr="00024916" w:rsidRDefault="00B13606" w:rsidP="00A52061">
      <w:pPr>
        <w:pStyle w:val="Brdtext"/>
        <w:spacing w:before="1"/>
        <w:rPr>
          <w:i/>
        </w:rPr>
      </w:pPr>
    </w:p>
    <w:p w14:paraId="12EE2538" w14:textId="77777777" w:rsidR="00B13606" w:rsidRPr="00024916" w:rsidRDefault="00B13606" w:rsidP="00A52061">
      <w:pPr>
        <w:pStyle w:val="Brdtext"/>
      </w:pPr>
      <w:r w:rsidRPr="00024916">
        <w:t>En randomiserad jämförelse av en doseringsregim med administrering av abakavir och lamivudin en gång dagligen jämfört med två gånger dagligen genomfördes inom en randomiserad, multicenter, kontrollerad studie av hivinfekterade pediatriska patienter. 1</w:t>
      </w:r>
      <w:r w:rsidR="00834FFD" w:rsidRPr="00024916">
        <w:t> 206 </w:t>
      </w:r>
      <w:r w:rsidRPr="00024916">
        <w:t>barn i åldern 3</w:t>
      </w:r>
      <w:r w:rsidR="00834FFD" w:rsidRPr="00024916">
        <w:t> </w:t>
      </w:r>
      <w:r w:rsidRPr="00024916">
        <w:t>månader till 17</w:t>
      </w:r>
      <w:r w:rsidR="00834FFD" w:rsidRPr="00024916">
        <w:t> </w:t>
      </w:r>
      <w:r w:rsidRPr="00024916">
        <w:t>år inkluderades i studien ARROW (COL105677) och doserades efter viktintervall enligt doseringsrekommendationerna i Världshälsoorganisationens behandlingsriktlinje (Antiretroviral behandling av hivinfektion hos spädbarn och barn, 2006). Efter 36</w:t>
      </w:r>
      <w:r w:rsidR="00834FFD" w:rsidRPr="00024916">
        <w:t> </w:t>
      </w:r>
      <w:r w:rsidRPr="00024916">
        <w:t>veckor på en regim med doseringen av abakavir och lamivudin två gånger dagligen randomiserades lämpliga 669</w:t>
      </w:r>
      <w:r w:rsidR="00834FFD" w:rsidRPr="00024916">
        <w:t> </w:t>
      </w:r>
      <w:r w:rsidRPr="00024916">
        <w:t>patienter till att antingen fortsätta med dosering två gånger dagligen eller till att byta dosering till abakavir och lamivudin en gång dagligen under minst 96</w:t>
      </w:r>
      <w:r w:rsidR="00834FFD" w:rsidRPr="00024916">
        <w:t> </w:t>
      </w:r>
      <w:r w:rsidRPr="00024916">
        <w:t>veckor. Notera att från denna studie erhölls inga kliniska data för barn under ett år. Resultaten sammanfattas i tabellen nedan:</w:t>
      </w:r>
    </w:p>
    <w:p w14:paraId="55169D33" w14:textId="77777777" w:rsidR="00834FFD" w:rsidRPr="00024916" w:rsidRDefault="00834FFD" w:rsidP="00A52061">
      <w:pPr>
        <w:pStyle w:val="Brdtext"/>
      </w:pPr>
    </w:p>
    <w:p w14:paraId="5F998EC8" w14:textId="130B81D8" w:rsidR="00B13606" w:rsidRPr="00024916" w:rsidRDefault="00B13606" w:rsidP="00A52061">
      <w:pPr>
        <w:pStyle w:val="Rubrik1"/>
        <w:spacing w:before="0"/>
        <w:rPr>
          <w:rFonts w:ascii="Times New Roman" w:hAnsi="Times New Roman" w:cs="Times New Roman"/>
          <w:color w:val="auto"/>
          <w:sz w:val="22"/>
          <w:szCs w:val="22"/>
        </w:rPr>
      </w:pPr>
      <w:r w:rsidRPr="00024916">
        <w:rPr>
          <w:rFonts w:ascii="Times New Roman" w:hAnsi="Times New Roman" w:cs="Times New Roman"/>
          <w:color w:val="auto"/>
          <w:sz w:val="22"/>
          <w:szCs w:val="22"/>
        </w:rPr>
        <w:t>Virologiskt svar baserat på plasma hiv-1 RNA lägre än 80</w:t>
      </w:r>
      <w:r w:rsidR="00834FFD" w:rsidRPr="00024916">
        <w:rPr>
          <w:rFonts w:ascii="Times New Roman" w:hAnsi="Times New Roman" w:cs="Times New Roman"/>
          <w:color w:val="auto"/>
          <w:sz w:val="22"/>
          <w:szCs w:val="22"/>
        </w:rPr>
        <w:t> </w:t>
      </w:r>
      <w:r w:rsidRPr="00024916">
        <w:rPr>
          <w:rFonts w:ascii="Times New Roman" w:hAnsi="Times New Roman" w:cs="Times New Roman"/>
          <w:color w:val="auto"/>
          <w:sz w:val="22"/>
          <w:szCs w:val="22"/>
        </w:rPr>
        <w:t>kopior/ml vid vecka</w:t>
      </w:r>
      <w:r w:rsidR="00834FFD" w:rsidRPr="00024916">
        <w:rPr>
          <w:rFonts w:ascii="Times New Roman" w:hAnsi="Times New Roman" w:cs="Times New Roman"/>
          <w:color w:val="auto"/>
          <w:sz w:val="22"/>
          <w:szCs w:val="22"/>
        </w:rPr>
        <w:t> </w:t>
      </w:r>
      <w:r w:rsidRPr="00024916">
        <w:rPr>
          <w:rFonts w:ascii="Times New Roman" w:hAnsi="Times New Roman" w:cs="Times New Roman"/>
          <w:color w:val="auto"/>
          <w:sz w:val="22"/>
          <w:szCs w:val="22"/>
        </w:rPr>
        <w:t>48 och vecka</w:t>
      </w:r>
      <w:r w:rsidR="00834FFD" w:rsidRPr="00024916">
        <w:rPr>
          <w:rFonts w:ascii="Times New Roman" w:hAnsi="Times New Roman" w:cs="Times New Roman"/>
          <w:color w:val="auto"/>
          <w:sz w:val="22"/>
          <w:szCs w:val="22"/>
        </w:rPr>
        <w:t> </w:t>
      </w:r>
      <w:r w:rsidRPr="00024916">
        <w:rPr>
          <w:rFonts w:ascii="Times New Roman" w:hAnsi="Times New Roman" w:cs="Times New Roman"/>
          <w:color w:val="auto"/>
          <w:sz w:val="22"/>
          <w:szCs w:val="22"/>
        </w:rPr>
        <w:t>96 hos personer som randomiserats i studien ARROW antingen till doseringen abakavir</w:t>
      </w:r>
      <w:r w:rsidR="00084A5A" w:rsidRPr="00024916">
        <w:rPr>
          <w:rFonts w:ascii="Times New Roman" w:hAnsi="Times New Roman" w:cs="Times New Roman"/>
          <w:color w:val="auto"/>
          <w:sz w:val="22"/>
          <w:szCs w:val="22"/>
        </w:rPr>
        <w:t xml:space="preserve"> </w:t>
      </w:r>
      <w:r w:rsidRPr="00024916">
        <w:rPr>
          <w:rFonts w:ascii="Times New Roman" w:hAnsi="Times New Roman" w:cs="Times New Roman"/>
          <w:color w:val="auto"/>
          <w:sz w:val="22"/>
          <w:szCs w:val="22"/>
        </w:rPr>
        <w:t>+</w:t>
      </w:r>
      <w:r w:rsidR="00084A5A" w:rsidRPr="00024916">
        <w:rPr>
          <w:rFonts w:ascii="Times New Roman" w:hAnsi="Times New Roman" w:cs="Times New Roman"/>
          <w:color w:val="auto"/>
          <w:sz w:val="22"/>
          <w:szCs w:val="22"/>
        </w:rPr>
        <w:t xml:space="preserve"> </w:t>
      </w:r>
      <w:r w:rsidRPr="00024916">
        <w:rPr>
          <w:rFonts w:ascii="Times New Roman" w:hAnsi="Times New Roman" w:cs="Times New Roman"/>
          <w:color w:val="auto"/>
          <w:sz w:val="22"/>
          <w:szCs w:val="22"/>
        </w:rPr>
        <w:t>lamivudin en gång dagligen eller två gånger dagligen. (observerad analys).</w:t>
      </w:r>
    </w:p>
    <w:p w14:paraId="21078605" w14:textId="77777777" w:rsidR="00B13606" w:rsidRPr="00024916" w:rsidRDefault="00B13606" w:rsidP="00A52061">
      <w:pPr>
        <w:pStyle w:val="Brdtext"/>
        <w:spacing w:before="3"/>
        <w:rPr>
          <w:b/>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2"/>
        <w:gridCol w:w="2417"/>
        <w:gridCol w:w="3111"/>
      </w:tblGrid>
      <w:tr w:rsidR="00B13606" w:rsidRPr="00024916" w14:paraId="7D572EC3" w14:textId="77777777" w:rsidTr="00834FFD">
        <w:trPr>
          <w:trHeight w:val="506"/>
        </w:trPr>
        <w:tc>
          <w:tcPr>
            <w:tcW w:w="3402" w:type="dxa"/>
          </w:tcPr>
          <w:p w14:paraId="38AD2EDB" w14:textId="77777777" w:rsidR="00B13606" w:rsidRPr="00024916" w:rsidRDefault="00B13606" w:rsidP="00A52061">
            <w:pPr>
              <w:pStyle w:val="TableParagraph"/>
              <w:rPr>
                <w:lang w:val="sv-SE"/>
              </w:rPr>
            </w:pPr>
          </w:p>
        </w:tc>
        <w:tc>
          <w:tcPr>
            <w:tcW w:w="2417" w:type="dxa"/>
          </w:tcPr>
          <w:p w14:paraId="66EB5482" w14:textId="77777777" w:rsidR="00B13606" w:rsidRPr="00024916" w:rsidRDefault="00B13606" w:rsidP="00A52061">
            <w:pPr>
              <w:pStyle w:val="TableParagraph"/>
              <w:spacing w:before="2"/>
              <w:rPr>
                <w:b/>
                <w:lang w:val="sv-SE"/>
              </w:rPr>
            </w:pPr>
            <w:r w:rsidRPr="00024916">
              <w:rPr>
                <w:b/>
                <w:lang w:val="sv-SE"/>
              </w:rPr>
              <w:t>Två gånger dagligen N (%)</w:t>
            </w:r>
          </w:p>
        </w:tc>
        <w:tc>
          <w:tcPr>
            <w:tcW w:w="3111" w:type="dxa"/>
          </w:tcPr>
          <w:p w14:paraId="6D15EDF8" w14:textId="77777777" w:rsidR="00B13606" w:rsidRPr="00024916" w:rsidRDefault="00B13606" w:rsidP="00A52061">
            <w:pPr>
              <w:pStyle w:val="TableParagraph"/>
              <w:spacing w:before="2"/>
              <w:rPr>
                <w:b/>
                <w:lang w:val="sv-SE"/>
              </w:rPr>
            </w:pPr>
            <w:r w:rsidRPr="00024916">
              <w:rPr>
                <w:b/>
                <w:lang w:val="sv-SE"/>
              </w:rPr>
              <w:t>En gång dagligen N (%)</w:t>
            </w:r>
          </w:p>
        </w:tc>
      </w:tr>
      <w:tr w:rsidR="00B13606" w:rsidRPr="00024916" w14:paraId="56610973" w14:textId="77777777" w:rsidTr="00834FFD">
        <w:trPr>
          <w:trHeight w:val="251"/>
        </w:trPr>
        <w:tc>
          <w:tcPr>
            <w:tcW w:w="8930" w:type="dxa"/>
            <w:gridSpan w:val="3"/>
          </w:tcPr>
          <w:p w14:paraId="14A9EFCB" w14:textId="285A5E9E" w:rsidR="00B13606" w:rsidRPr="00024916" w:rsidRDefault="00B13606" w:rsidP="00A52061">
            <w:pPr>
              <w:pStyle w:val="TableParagraph"/>
              <w:rPr>
                <w:b/>
                <w:lang w:val="sv-SE"/>
              </w:rPr>
            </w:pPr>
            <w:r w:rsidRPr="00024916">
              <w:rPr>
                <w:b/>
                <w:lang w:val="sv-SE"/>
              </w:rPr>
              <w:t xml:space="preserve">Vecka 0 (Efter ≥ </w:t>
            </w:r>
            <w:r w:rsidR="002E4B88" w:rsidRPr="00024916">
              <w:rPr>
                <w:b/>
                <w:lang w:val="sv-SE"/>
              </w:rPr>
              <w:t xml:space="preserve">36 </w:t>
            </w:r>
            <w:r w:rsidRPr="00024916">
              <w:rPr>
                <w:b/>
                <w:lang w:val="sv-SE"/>
              </w:rPr>
              <w:t>veckor på behandling)</w:t>
            </w:r>
          </w:p>
        </w:tc>
      </w:tr>
      <w:tr w:rsidR="00B13606" w:rsidRPr="00024916" w14:paraId="6953CA9F" w14:textId="77777777" w:rsidTr="00834FFD">
        <w:trPr>
          <w:trHeight w:val="506"/>
        </w:trPr>
        <w:tc>
          <w:tcPr>
            <w:tcW w:w="3402" w:type="dxa"/>
          </w:tcPr>
          <w:p w14:paraId="63B45E49" w14:textId="77777777" w:rsidR="00B13606" w:rsidRPr="00024916" w:rsidRDefault="00B13606" w:rsidP="00A52061">
            <w:pPr>
              <w:pStyle w:val="TableParagraph"/>
              <w:rPr>
                <w:lang w:val="sv-SE"/>
              </w:rPr>
            </w:pPr>
            <w:r w:rsidRPr="00024916">
              <w:rPr>
                <w:lang w:val="sv-SE"/>
              </w:rPr>
              <w:t>Plasma hiv-1 RNA &lt;80 kopior/ml</w:t>
            </w:r>
          </w:p>
        </w:tc>
        <w:tc>
          <w:tcPr>
            <w:tcW w:w="2417" w:type="dxa"/>
          </w:tcPr>
          <w:p w14:paraId="19920ABC" w14:textId="77777777" w:rsidR="00B13606" w:rsidRPr="00024916" w:rsidRDefault="00B13606" w:rsidP="00A52061">
            <w:pPr>
              <w:pStyle w:val="TableParagraph"/>
              <w:rPr>
                <w:lang w:val="sv-SE"/>
              </w:rPr>
            </w:pPr>
            <w:r w:rsidRPr="00024916">
              <w:rPr>
                <w:lang w:val="sv-SE"/>
              </w:rPr>
              <w:t>250/331 (76)</w:t>
            </w:r>
          </w:p>
        </w:tc>
        <w:tc>
          <w:tcPr>
            <w:tcW w:w="3111" w:type="dxa"/>
          </w:tcPr>
          <w:p w14:paraId="12B29D93" w14:textId="77777777" w:rsidR="00B13606" w:rsidRPr="00024916" w:rsidRDefault="00B13606" w:rsidP="00A52061">
            <w:pPr>
              <w:pStyle w:val="TableParagraph"/>
              <w:rPr>
                <w:lang w:val="sv-SE"/>
              </w:rPr>
            </w:pPr>
            <w:r w:rsidRPr="00024916">
              <w:rPr>
                <w:lang w:val="sv-SE"/>
              </w:rPr>
              <w:t>237/335 (71)</w:t>
            </w:r>
          </w:p>
        </w:tc>
      </w:tr>
      <w:tr w:rsidR="00B13606" w:rsidRPr="00024916" w14:paraId="7D1F093E" w14:textId="77777777" w:rsidTr="00834FFD">
        <w:trPr>
          <w:trHeight w:val="758"/>
        </w:trPr>
        <w:tc>
          <w:tcPr>
            <w:tcW w:w="3402" w:type="dxa"/>
          </w:tcPr>
          <w:p w14:paraId="4E9114C5" w14:textId="77777777" w:rsidR="00B13606" w:rsidRPr="00024916" w:rsidRDefault="00B13606" w:rsidP="00A52061">
            <w:pPr>
              <w:pStyle w:val="TableParagraph"/>
              <w:rPr>
                <w:lang w:val="sv-SE"/>
              </w:rPr>
            </w:pPr>
            <w:r w:rsidRPr="00024916">
              <w:rPr>
                <w:lang w:val="sv-SE"/>
              </w:rPr>
              <w:t>Riskskillnad (en gång</w:t>
            </w:r>
            <w:r w:rsidR="00834FFD" w:rsidRPr="00024916">
              <w:rPr>
                <w:lang w:val="sv-SE"/>
              </w:rPr>
              <w:t xml:space="preserve"> </w:t>
            </w:r>
            <w:r w:rsidRPr="00024916">
              <w:rPr>
                <w:lang w:val="sv-SE"/>
              </w:rPr>
              <w:t>dagligen-två gånger dagligen)</w:t>
            </w:r>
          </w:p>
        </w:tc>
        <w:tc>
          <w:tcPr>
            <w:tcW w:w="5528" w:type="dxa"/>
            <w:gridSpan w:val="2"/>
          </w:tcPr>
          <w:p w14:paraId="2ED6AFB2" w14:textId="77777777" w:rsidR="00B13606" w:rsidRPr="00024916" w:rsidRDefault="00B13606" w:rsidP="00A52061">
            <w:pPr>
              <w:pStyle w:val="TableParagraph"/>
              <w:rPr>
                <w:lang w:val="sv-SE"/>
              </w:rPr>
            </w:pPr>
            <w:r w:rsidRPr="00024916">
              <w:rPr>
                <w:lang w:val="sv-SE"/>
              </w:rPr>
              <w:t>-4,8</w:t>
            </w:r>
            <w:r w:rsidR="00834FFD" w:rsidRPr="00024916">
              <w:rPr>
                <w:lang w:val="sv-SE"/>
              </w:rPr>
              <w:t> </w:t>
            </w:r>
            <w:r w:rsidRPr="00024916">
              <w:rPr>
                <w:lang w:val="sv-SE"/>
              </w:rPr>
              <w:t>% (95</w:t>
            </w:r>
            <w:r w:rsidR="00834FFD" w:rsidRPr="00024916">
              <w:rPr>
                <w:lang w:val="sv-SE"/>
              </w:rPr>
              <w:t> </w:t>
            </w:r>
            <w:r w:rsidRPr="00024916">
              <w:rPr>
                <w:lang w:val="sv-SE"/>
              </w:rPr>
              <w:t>% KI -11,5</w:t>
            </w:r>
            <w:r w:rsidR="00834FFD" w:rsidRPr="00024916">
              <w:rPr>
                <w:lang w:val="sv-SE"/>
              </w:rPr>
              <w:t> </w:t>
            </w:r>
            <w:r w:rsidRPr="00024916">
              <w:rPr>
                <w:lang w:val="sv-SE"/>
              </w:rPr>
              <w:t>% till +1,9</w:t>
            </w:r>
            <w:r w:rsidR="00834FFD" w:rsidRPr="00024916">
              <w:rPr>
                <w:lang w:val="sv-SE"/>
              </w:rPr>
              <w:t> </w:t>
            </w:r>
            <w:r w:rsidRPr="00024916">
              <w:rPr>
                <w:lang w:val="sv-SE"/>
              </w:rPr>
              <w:t>%), p=0,16</w:t>
            </w:r>
          </w:p>
        </w:tc>
      </w:tr>
      <w:tr w:rsidR="00B13606" w:rsidRPr="00024916" w14:paraId="1BA30DF6" w14:textId="77777777" w:rsidTr="00834FFD">
        <w:trPr>
          <w:trHeight w:val="251"/>
        </w:trPr>
        <w:tc>
          <w:tcPr>
            <w:tcW w:w="8930" w:type="dxa"/>
            <w:gridSpan w:val="3"/>
          </w:tcPr>
          <w:p w14:paraId="2AB2779A" w14:textId="77777777" w:rsidR="00B13606" w:rsidRPr="00024916" w:rsidRDefault="00B13606" w:rsidP="00A52061">
            <w:pPr>
              <w:pStyle w:val="TableParagraph"/>
              <w:rPr>
                <w:b/>
                <w:lang w:val="sv-SE"/>
              </w:rPr>
            </w:pPr>
            <w:r w:rsidRPr="00024916">
              <w:rPr>
                <w:b/>
                <w:lang w:val="sv-SE"/>
              </w:rPr>
              <w:t>Vecka 48</w:t>
            </w:r>
          </w:p>
        </w:tc>
      </w:tr>
      <w:tr w:rsidR="00B13606" w:rsidRPr="00024916" w14:paraId="66A44BB1" w14:textId="77777777" w:rsidTr="00834FFD">
        <w:trPr>
          <w:trHeight w:val="506"/>
        </w:trPr>
        <w:tc>
          <w:tcPr>
            <w:tcW w:w="3402" w:type="dxa"/>
          </w:tcPr>
          <w:p w14:paraId="595B66FD" w14:textId="77777777" w:rsidR="00B13606" w:rsidRPr="00024916" w:rsidRDefault="00834FFD" w:rsidP="00A52061">
            <w:pPr>
              <w:pStyle w:val="TableParagraph"/>
              <w:rPr>
                <w:lang w:val="sv-SE"/>
              </w:rPr>
            </w:pPr>
            <w:r w:rsidRPr="00024916">
              <w:rPr>
                <w:lang w:val="sv-SE"/>
              </w:rPr>
              <w:t>Plasma hiv-1 RNA &lt;80 </w:t>
            </w:r>
            <w:r w:rsidR="00B13606" w:rsidRPr="00024916">
              <w:rPr>
                <w:lang w:val="sv-SE"/>
              </w:rPr>
              <w:t>kopior/ml</w:t>
            </w:r>
          </w:p>
        </w:tc>
        <w:tc>
          <w:tcPr>
            <w:tcW w:w="2417" w:type="dxa"/>
          </w:tcPr>
          <w:p w14:paraId="228AE2D6" w14:textId="77777777" w:rsidR="00B13606" w:rsidRPr="00024916" w:rsidRDefault="00B13606" w:rsidP="00A52061">
            <w:pPr>
              <w:pStyle w:val="TableParagraph"/>
              <w:rPr>
                <w:lang w:val="sv-SE"/>
              </w:rPr>
            </w:pPr>
            <w:r w:rsidRPr="00024916">
              <w:rPr>
                <w:lang w:val="sv-SE"/>
              </w:rPr>
              <w:t>242/331 (73)</w:t>
            </w:r>
          </w:p>
        </w:tc>
        <w:tc>
          <w:tcPr>
            <w:tcW w:w="3111" w:type="dxa"/>
          </w:tcPr>
          <w:p w14:paraId="452CE6F0" w14:textId="77777777" w:rsidR="00B13606" w:rsidRPr="00024916" w:rsidRDefault="00B13606" w:rsidP="00A52061">
            <w:pPr>
              <w:pStyle w:val="TableParagraph"/>
              <w:rPr>
                <w:lang w:val="sv-SE"/>
              </w:rPr>
            </w:pPr>
            <w:r w:rsidRPr="00024916">
              <w:rPr>
                <w:lang w:val="sv-SE"/>
              </w:rPr>
              <w:t>236/330 (72)</w:t>
            </w:r>
          </w:p>
        </w:tc>
      </w:tr>
      <w:tr w:rsidR="00B13606" w:rsidRPr="00024916" w14:paraId="157CBA6D" w14:textId="77777777" w:rsidTr="00834FFD">
        <w:trPr>
          <w:trHeight w:val="758"/>
        </w:trPr>
        <w:tc>
          <w:tcPr>
            <w:tcW w:w="3402" w:type="dxa"/>
          </w:tcPr>
          <w:p w14:paraId="47F8C295" w14:textId="77777777" w:rsidR="00B13606" w:rsidRPr="00024916" w:rsidRDefault="00B13606" w:rsidP="00A52061">
            <w:pPr>
              <w:pStyle w:val="TableParagraph"/>
              <w:rPr>
                <w:lang w:val="sv-SE"/>
              </w:rPr>
            </w:pPr>
            <w:r w:rsidRPr="00024916">
              <w:rPr>
                <w:lang w:val="sv-SE"/>
              </w:rPr>
              <w:t>Riskskillnad (en gång</w:t>
            </w:r>
            <w:r w:rsidR="00834FFD" w:rsidRPr="00024916">
              <w:rPr>
                <w:lang w:val="sv-SE"/>
              </w:rPr>
              <w:t xml:space="preserve"> </w:t>
            </w:r>
            <w:r w:rsidRPr="00024916">
              <w:rPr>
                <w:lang w:val="sv-SE"/>
              </w:rPr>
              <w:t>dagligen-två gånger dagligen)</w:t>
            </w:r>
          </w:p>
        </w:tc>
        <w:tc>
          <w:tcPr>
            <w:tcW w:w="5528" w:type="dxa"/>
            <w:gridSpan w:val="2"/>
          </w:tcPr>
          <w:p w14:paraId="2D4D9C95" w14:textId="77777777" w:rsidR="00B13606" w:rsidRPr="00024916" w:rsidRDefault="00B13606" w:rsidP="00A52061">
            <w:pPr>
              <w:pStyle w:val="TableParagraph"/>
              <w:rPr>
                <w:lang w:val="sv-SE"/>
              </w:rPr>
            </w:pPr>
            <w:r w:rsidRPr="00024916">
              <w:rPr>
                <w:lang w:val="sv-SE"/>
              </w:rPr>
              <w:t>-1,6</w:t>
            </w:r>
            <w:r w:rsidR="00834FFD" w:rsidRPr="00024916">
              <w:rPr>
                <w:lang w:val="sv-SE"/>
              </w:rPr>
              <w:t> </w:t>
            </w:r>
            <w:r w:rsidRPr="00024916">
              <w:rPr>
                <w:lang w:val="sv-SE"/>
              </w:rPr>
              <w:t>% (95</w:t>
            </w:r>
            <w:r w:rsidR="00834FFD" w:rsidRPr="00024916">
              <w:rPr>
                <w:lang w:val="sv-SE"/>
              </w:rPr>
              <w:t> </w:t>
            </w:r>
            <w:r w:rsidRPr="00024916">
              <w:rPr>
                <w:lang w:val="sv-SE"/>
              </w:rPr>
              <w:t>% KI -8,4</w:t>
            </w:r>
            <w:r w:rsidR="00834FFD" w:rsidRPr="00024916">
              <w:rPr>
                <w:lang w:val="sv-SE"/>
              </w:rPr>
              <w:t> </w:t>
            </w:r>
            <w:r w:rsidRPr="00024916">
              <w:rPr>
                <w:lang w:val="sv-SE"/>
              </w:rPr>
              <w:t>% till +5,2</w:t>
            </w:r>
            <w:r w:rsidR="00834FFD" w:rsidRPr="00024916">
              <w:rPr>
                <w:lang w:val="sv-SE"/>
              </w:rPr>
              <w:t> </w:t>
            </w:r>
            <w:r w:rsidRPr="00024916">
              <w:rPr>
                <w:lang w:val="sv-SE"/>
              </w:rPr>
              <w:t>%), p=0,65</w:t>
            </w:r>
          </w:p>
        </w:tc>
      </w:tr>
      <w:tr w:rsidR="00B13606" w:rsidRPr="00024916" w14:paraId="0003A4A1" w14:textId="77777777" w:rsidTr="00834FFD">
        <w:trPr>
          <w:trHeight w:val="251"/>
        </w:trPr>
        <w:tc>
          <w:tcPr>
            <w:tcW w:w="8930" w:type="dxa"/>
            <w:gridSpan w:val="3"/>
          </w:tcPr>
          <w:p w14:paraId="6D08A736" w14:textId="77777777" w:rsidR="00B13606" w:rsidRPr="00024916" w:rsidRDefault="00B13606" w:rsidP="00A52061">
            <w:pPr>
              <w:pStyle w:val="TableParagraph"/>
              <w:rPr>
                <w:b/>
                <w:lang w:val="sv-SE"/>
              </w:rPr>
            </w:pPr>
            <w:r w:rsidRPr="00024916">
              <w:rPr>
                <w:b/>
                <w:lang w:val="sv-SE"/>
              </w:rPr>
              <w:t>Vecka 96</w:t>
            </w:r>
          </w:p>
        </w:tc>
      </w:tr>
      <w:tr w:rsidR="00B13606" w:rsidRPr="00024916" w14:paraId="2CE8289E" w14:textId="77777777" w:rsidTr="00834FFD">
        <w:trPr>
          <w:trHeight w:val="506"/>
        </w:trPr>
        <w:tc>
          <w:tcPr>
            <w:tcW w:w="3402" w:type="dxa"/>
          </w:tcPr>
          <w:p w14:paraId="26CF5815" w14:textId="77777777" w:rsidR="00B13606" w:rsidRPr="00024916" w:rsidRDefault="00B13606" w:rsidP="00A52061">
            <w:pPr>
              <w:pStyle w:val="TableParagraph"/>
              <w:rPr>
                <w:lang w:val="sv-SE"/>
              </w:rPr>
            </w:pPr>
            <w:r w:rsidRPr="00024916">
              <w:rPr>
                <w:lang w:val="sv-SE"/>
              </w:rPr>
              <w:t>Plasma hiv</w:t>
            </w:r>
            <w:r w:rsidR="00834FFD" w:rsidRPr="00024916">
              <w:rPr>
                <w:lang w:val="sv-SE"/>
              </w:rPr>
              <w:noBreakHyphen/>
            </w:r>
            <w:r w:rsidRPr="00024916">
              <w:rPr>
                <w:lang w:val="sv-SE"/>
              </w:rPr>
              <w:t>1 RNA &lt;80</w:t>
            </w:r>
            <w:r w:rsidR="00834FFD" w:rsidRPr="00024916">
              <w:rPr>
                <w:lang w:val="sv-SE"/>
              </w:rPr>
              <w:t> </w:t>
            </w:r>
            <w:r w:rsidRPr="00024916">
              <w:rPr>
                <w:lang w:val="sv-SE"/>
              </w:rPr>
              <w:t>kopior/ml</w:t>
            </w:r>
          </w:p>
        </w:tc>
        <w:tc>
          <w:tcPr>
            <w:tcW w:w="2417" w:type="dxa"/>
          </w:tcPr>
          <w:p w14:paraId="7B72DBD1" w14:textId="77777777" w:rsidR="00B13606" w:rsidRPr="00024916" w:rsidRDefault="00B13606" w:rsidP="00A52061">
            <w:pPr>
              <w:pStyle w:val="TableParagraph"/>
              <w:rPr>
                <w:lang w:val="sv-SE"/>
              </w:rPr>
            </w:pPr>
            <w:r w:rsidRPr="00024916">
              <w:rPr>
                <w:lang w:val="sv-SE"/>
              </w:rPr>
              <w:t>234/326 (72)</w:t>
            </w:r>
          </w:p>
        </w:tc>
        <w:tc>
          <w:tcPr>
            <w:tcW w:w="3111" w:type="dxa"/>
          </w:tcPr>
          <w:p w14:paraId="0067E5D1" w14:textId="77777777" w:rsidR="00B13606" w:rsidRPr="00024916" w:rsidRDefault="00B13606" w:rsidP="00A52061">
            <w:pPr>
              <w:pStyle w:val="TableParagraph"/>
              <w:rPr>
                <w:lang w:val="sv-SE"/>
              </w:rPr>
            </w:pPr>
            <w:r w:rsidRPr="00024916">
              <w:rPr>
                <w:lang w:val="sv-SE"/>
              </w:rPr>
              <w:t>230/331 (69)</w:t>
            </w:r>
          </w:p>
        </w:tc>
      </w:tr>
      <w:tr w:rsidR="00B13606" w:rsidRPr="00024916" w14:paraId="6F6A0578" w14:textId="77777777" w:rsidTr="00834FFD">
        <w:trPr>
          <w:trHeight w:val="758"/>
        </w:trPr>
        <w:tc>
          <w:tcPr>
            <w:tcW w:w="3402" w:type="dxa"/>
          </w:tcPr>
          <w:p w14:paraId="616AF6E3" w14:textId="77777777" w:rsidR="00B13606" w:rsidRPr="00024916" w:rsidRDefault="00B13606" w:rsidP="00A52061">
            <w:pPr>
              <w:pStyle w:val="TableParagraph"/>
              <w:rPr>
                <w:lang w:val="sv-SE"/>
              </w:rPr>
            </w:pPr>
            <w:r w:rsidRPr="00024916">
              <w:rPr>
                <w:lang w:val="sv-SE"/>
              </w:rPr>
              <w:lastRenderedPageBreak/>
              <w:t>Riskskillnad (en gång</w:t>
            </w:r>
            <w:r w:rsidR="00834FFD" w:rsidRPr="00024916">
              <w:rPr>
                <w:lang w:val="sv-SE"/>
              </w:rPr>
              <w:t xml:space="preserve"> </w:t>
            </w:r>
            <w:r w:rsidRPr="00024916">
              <w:rPr>
                <w:lang w:val="sv-SE"/>
              </w:rPr>
              <w:t>dagligen–två gånger dagligen)</w:t>
            </w:r>
          </w:p>
        </w:tc>
        <w:tc>
          <w:tcPr>
            <w:tcW w:w="5528" w:type="dxa"/>
            <w:gridSpan w:val="2"/>
          </w:tcPr>
          <w:p w14:paraId="5F8E413F" w14:textId="77777777" w:rsidR="00B13606" w:rsidRPr="00024916" w:rsidRDefault="00B13606" w:rsidP="00A52061">
            <w:pPr>
              <w:pStyle w:val="TableParagraph"/>
              <w:rPr>
                <w:lang w:val="sv-SE"/>
              </w:rPr>
            </w:pPr>
            <w:r w:rsidRPr="00024916">
              <w:rPr>
                <w:lang w:val="sv-SE"/>
              </w:rPr>
              <w:t>-2,3</w:t>
            </w:r>
            <w:r w:rsidR="00834FFD" w:rsidRPr="00024916">
              <w:rPr>
                <w:lang w:val="sv-SE"/>
              </w:rPr>
              <w:t> </w:t>
            </w:r>
            <w:r w:rsidRPr="00024916">
              <w:rPr>
                <w:lang w:val="sv-SE"/>
              </w:rPr>
              <w:t>% (95</w:t>
            </w:r>
            <w:r w:rsidR="00834FFD" w:rsidRPr="00024916">
              <w:rPr>
                <w:lang w:val="sv-SE"/>
              </w:rPr>
              <w:t> </w:t>
            </w:r>
            <w:r w:rsidRPr="00024916">
              <w:rPr>
                <w:lang w:val="sv-SE"/>
              </w:rPr>
              <w:t>% KI -9,3</w:t>
            </w:r>
            <w:r w:rsidR="00834FFD" w:rsidRPr="00024916">
              <w:rPr>
                <w:lang w:val="sv-SE"/>
              </w:rPr>
              <w:t> </w:t>
            </w:r>
            <w:r w:rsidRPr="00024916">
              <w:rPr>
                <w:lang w:val="sv-SE"/>
              </w:rPr>
              <w:t>% till +4,7</w:t>
            </w:r>
            <w:r w:rsidR="00834FFD" w:rsidRPr="00024916">
              <w:rPr>
                <w:lang w:val="sv-SE"/>
              </w:rPr>
              <w:t> </w:t>
            </w:r>
            <w:r w:rsidRPr="00024916">
              <w:rPr>
                <w:lang w:val="sv-SE"/>
              </w:rPr>
              <w:t>%), p=0,52</w:t>
            </w:r>
          </w:p>
        </w:tc>
      </w:tr>
    </w:tbl>
    <w:p w14:paraId="5160C8E6" w14:textId="77777777" w:rsidR="00B13606" w:rsidRPr="00024916" w:rsidRDefault="00B13606" w:rsidP="00A52061">
      <w:pPr>
        <w:pStyle w:val="Brdtext"/>
        <w:spacing w:before="9"/>
        <w:rPr>
          <w:b/>
        </w:rPr>
      </w:pPr>
    </w:p>
    <w:p w14:paraId="09080696" w14:textId="378F5507" w:rsidR="00B13606" w:rsidRPr="00024916" w:rsidRDefault="00B13606" w:rsidP="00A52061">
      <w:pPr>
        <w:pStyle w:val="Brdtext"/>
      </w:pPr>
      <w:r w:rsidRPr="00024916">
        <w:t>Non</w:t>
      </w:r>
      <w:r w:rsidR="00834FFD" w:rsidRPr="00024916">
        <w:noBreakHyphen/>
      </w:r>
      <w:r w:rsidRPr="00024916">
        <w:t>inferiority uppvisades i gruppen som fick abakavir + lamivudin en gång dagligen jämfört med gruppen som fick abakavir</w:t>
      </w:r>
      <w:r w:rsidR="00084A5A" w:rsidRPr="00024916">
        <w:t xml:space="preserve"> </w:t>
      </w:r>
      <w:r w:rsidRPr="00024916">
        <w:t>+</w:t>
      </w:r>
      <w:r w:rsidR="00084A5A" w:rsidRPr="00024916">
        <w:t xml:space="preserve"> </w:t>
      </w:r>
      <w:r w:rsidRPr="00024916">
        <w:t>lamivudin två gånger dagligen enligt den förbestämda non-inferiority marginalen på -12</w:t>
      </w:r>
      <w:r w:rsidR="00834FFD" w:rsidRPr="00024916">
        <w:t> %, för primär endpoint &lt;80 kopior/ml vid vecka </w:t>
      </w:r>
      <w:r w:rsidRPr="00024916">
        <w:t>48 samt vid vecka</w:t>
      </w:r>
      <w:r w:rsidR="00834FFD" w:rsidRPr="00024916">
        <w:t> </w:t>
      </w:r>
      <w:r w:rsidRPr="00024916">
        <w:t>96 (sekundär endpoint) och alla andra testade gränsvärden (&lt;200</w:t>
      </w:r>
      <w:r w:rsidR="00834FFD" w:rsidRPr="00024916">
        <w:t> </w:t>
      </w:r>
      <w:r w:rsidRPr="00024916">
        <w:t>kopior/ml, &lt;400</w:t>
      </w:r>
      <w:r w:rsidR="00834FFD" w:rsidRPr="00024916">
        <w:t> </w:t>
      </w:r>
      <w:r w:rsidRPr="00024916">
        <w:t>kopior/ml, &lt;1</w:t>
      </w:r>
      <w:r w:rsidR="00834FFD" w:rsidRPr="00024916">
        <w:t> </w:t>
      </w:r>
      <w:r w:rsidRPr="00024916">
        <w:t>000</w:t>
      </w:r>
      <w:r w:rsidR="00834FFD" w:rsidRPr="00024916">
        <w:t> </w:t>
      </w:r>
      <w:r w:rsidRPr="00024916">
        <w:t>kopior/ ml). Samtliga av dessa värden var väl inom marginalen för non</w:t>
      </w:r>
      <w:r w:rsidR="00834FFD" w:rsidRPr="00024916">
        <w:noBreakHyphen/>
      </w:r>
      <w:r w:rsidRPr="00024916">
        <w:t>inferiority. Subgruppsanalyser med syfte att testa för heterogenitet vid en gång mot två gånger dagligen visade ingen signifikant påverkan av kön, ålder eller virusmängd vid randomisering. Slutsatserna stödde non-inferiority oavsett analysmetod.</w:t>
      </w:r>
    </w:p>
    <w:p w14:paraId="13F1529B" w14:textId="77777777" w:rsidR="00E16CAA" w:rsidRPr="00024916" w:rsidRDefault="00E16CAA" w:rsidP="00A52061">
      <w:pPr>
        <w:pStyle w:val="Brdtext"/>
      </w:pPr>
    </w:p>
    <w:p w14:paraId="2BFABAEF" w14:textId="77777777" w:rsidR="00B13606" w:rsidRPr="00024916" w:rsidRDefault="00B13606" w:rsidP="00A52061">
      <w:pPr>
        <w:pStyle w:val="Brdtext"/>
        <w:spacing w:before="73"/>
      </w:pPr>
      <w:r w:rsidRPr="00024916">
        <w:t>I en separat studie på barn där öppna NRTI-kombinationer (med eller utan nelfinavir) jämfördes hade en högre andel behandlade med abakavir och lamivudin (71</w:t>
      </w:r>
      <w:r w:rsidR="004E3AB2" w:rsidRPr="00024916">
        <w:t> </w:t>
      </w:r>
      <w:r w:rsidRPr="00024916">
        <w:t>%) eller abakakvir och zidovudin (60</w:t>
      </w:r>
      <w:r w:rsidR="004E3AB2" w:rsidRPr="00024916">
        <w:t> </w:t>
      </w:r>
      <w:r w:rsidRPr="00024916">
        <w:t xml:space="preserve">%) hiv-1-RNA </w:t>
      </w:r>
      <w:r w:rsidR="004E3AB2" w:rsidRPr="00024916">
        <w:t>≤</w:t>
      </w:r>
      <w:r w:rsidRPr="00024916">
        <w:t>400</w:t>
      </w:r>
      <w:r w:rsidR="004E3AB2" w:rsidRPr="00024916">
        <w:t> </w:t>
      </w:r>
      <w:r w:rsidRPr="00024916">
        <w:t>kopior/ml efter 48</w:t>
      </w:r>
      <w:r w:rsidR="004E3AB2" w:rsidRPr="00024916">
        <w:t> </w:t>
      </w:r>
      <w:r w:rsidRPr="00024916">
        <w:t>veckor jämfört med dem behandlade med lamivudin och zidovudin (47%) (P = 0,09, Intention To Treat</w:t>
      </w:r>
      <w:r w:rsidR="004E3AB2" w:rsidRPr="00024916">
        <w:noBreakHyphen/>
      </w:r>
      <w:r w:rsidRPr="00024916">
        <w:t>analys). Analogt med dessa resultat noterades högre procentsiffror för de barn som behandlades med abakavirinnehållande regimer vad gäller hiv-1-RNA</w:t>
      </w:r>
      <w:r w:rsidR="004E3AB2" w:rsidRPr="00024916">
        <w:t xml:space="preserve"> ≤</w:t>
      </w:r>
      <w:r w:rsidRPr="00024916">
        <w:t>50</w:t>
      </w:r>
      <w:r w:rsidR="004E3AB2" w:rsidRPr="00024916">
        <w:t> </w:t>
      </w:r>
      <w:r w:rsidRPr="00024916">
        <w:t>kopior/ml efter 48 veckor (53</w:t>
      </w:r>
      <w:r w:rsidR="004E3AB2" w:rsidRPr="00024916">
        <w:t> </w:t>
      </w:r>
      <w:r w:rsidRPr="00024916">
        <w:t>%, 42</w:t>
      </w:r>
      <w:r w:rsidR="004E3AB2" w:rsidRPr="00024916">
        <w:t> </w:t>
      </w:r>
      <w:r w:rsidRPr="00024916">
        <w:t>% respektive 28</w:t>
      </w:r>
      <w:r w:rsidR="004E3AB2" w:rsidRPr="00024916">
        <w:t> </w:t>
      </w:r>
      <w:r w:rsidRPr="00024916">
        <w:t>%; P = 0,07).</w:t>
      </w:r>
    </w:p>
    <w:p w14:paraId="4CE22642" w14:textId="77777777" w:rsidR="00B13606" w:rsidRPr="00024916" w:rsidRDefault="00B13606" w:rsidP="00A52061">
      <w:pPr>
        <w:pStyle w:val="Brdtext"/>
      </w:pPr>
    </w:p>
    <w:p w14:paraId="1AE29E1A" w14:textId="77777777" w:rsidR="00B13606" w:rsidRPr="00024916" w:rsidRDefault="00B13606" w:rsidP="00A52061">
      <w:pPr>
        <w:pStyle w:val="Brdtext"/>
        <w:spacing w:before="91"/>
      </w:pPr>
      <w:r w:rsidRPr="00024916">
        <w:t>I en farmakokinetisk studie (PENTA</w:t>
      </w:r>
      <w:r w:rsidR="004E3AB2" w:rsidRPr="00024916">
        <w:t> </w:t>
      </w:r>
      <w:r w:rsidRPr="00024916">
        <w:t>15), bytte fyra virologiskt kontrollerade patienter som var yngre än 12</w:t>
      </w:r>
      <w:r w:rsidR="004E3AB2" w:rsidRPr="00024916">
        <w:t> </w:t>
      </w:r>
      <w:r w:rsidRPr="00024916">
        <w:t>månader gamla från abakavir plus lamivudin oral lösning två gånger dagligen till doseringsregimen en gång dagligen. Tre av patienterna hade omätbara vir</w:t>
      </w:r>
      <w:r w:rsidR="004E3AB2" w:rsidRPr="00024916">
        <w:t>usnivåer och en hade plasma hiv</w:t>
      </w:r>
      <w:r w:rsidR="004E3AB2" w:rsidRPr="00024916">
        <w:noBreakHyphen/>
      </w:r>
      <w:r w:rsidRPr="00024916">
        <w:t>RNA på 900</w:t>
      </w:r>
      <w:r w:rsidR="004E3AB2" w:rsidRPr="00024916">
        <w:t> </w:t>
      </w:r>
      <w:r w:rsidRPr="00024916">
        <w:t>kopior/ml vid vecka 48. Inga säkerhetsproblem observerades hos dessa patienter.</w:t>
      </w:r>
    </w:p>
    <w:p w14:paraId="02D8030C" w14:textId="77777777" w:rsidR="00B13606" w:rsidRPr="00024916" w:rsidRDefault="00B13606" w:rsidP="00A52061">
      <w:pPr>
        <w:pStyle w:val="Brdtext"/>
      </w:pPr>
    </w:p>
    <w:p w14:paraId="33F98E4B" w14:textId="77777777" w:rsidR="00B13606" w:rsidRPr="00024916" w:rsidRDefault="00B13606" w:rsidP="00A52061">
      <w:pPr>
        <w:pStyle w:val="Rubrik1"/>
        <w:keepNext w:val="0"/>
        <w:keepLines w:val="0"/>
        <w:numPr>
          <w:ilvl w:val="1"/>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Farmakokinetiska</w:t>
      </w:r>
      <w:r w:rsidRPr="00024916">
        <w:rPr>
          <w:rFonts w:ascii="Times New Roman" w:hAnsi="Times New Roman" w:cs="Times New Roman"/>
          <w:color w:val="auto"/>
          <w:spacing w:val="-1"/>
          <w:sz w:val="22"/>
          <w:szCs w:val="22"/>
        </w:rPr>
        <w:t xml:space="preserve"> </w:t>
      </w:r>
      <w:r w:rsidRPr="00024916">
        <w:rPr>
          <w:rFonts w:ascii="Times New Roman" w:hAnsi="Times New Roman" w:cs="Times New Roman"/>
          <w:color w:val="auto"/>
          <w:sz w:val="22"/>
          <w:szCs w:val="22"/>
        </w:rPr>
        <w:t>egenskaper</w:t>
      </w:r>
    </w:p>
    <w:p w14:paraId="07D4B02A" w14:textId="77777777" w:rsidR="00B13606" w:rsidRPr="00024916" w:rsidRDefault="00B13606" w:rsidP="00A52061">
      <w:pPr>
        <w:pStyle w:val="Brdtext"/>
        <w:rPr>
          <w:b/>
        </w:rPr>
      </w:pPr>
    </w:p>
    <w:p w14:paraId="0576E85E" w14:textId="77777777" w:rsidR="004E3AB2" w:rsidRPr="00024916" w:rsidRDefault="00B13606" w:rsidP="00A52061">
      <w:pPr>
        <w:pStyle w:val="Brdtext"/>
        <w:rPr>
          <w:u w:val="single"/>
        </w:rPr>
      </w:pPr>
      <w:r w:rsidRPr="00024916">
        <w:rPr>
          <w:u w:val="single"/>
        </w:rPr>
        <w:t>Absorption</w:t>
      </w:r>
    </w:p>
    <w:p w14:paraId="3DBD1EF6" w14:textId="77777777" w:rsidR="004E3AB2" w:rsidRPr="00024916" w:rsidRDefault="004E3AB2" w:rsidP="00A52061">
      <w:pPr>
        <w:pStyle w:val="Brdtext"/>
        <w:rPr>
          <w:u w:val="single"/>
        </w:rPr>
      </w:pPr>
    </w:p>
    <w:p w14:paraId="1B59A1C8" w14:textId="77777777" w:rsidR="00B13606" w:rsidRPr="00024916" w:rsidRDefault="00B13606" w:rsidP="00A52061">
      <w:pPr>
        <w:pStyle w:val="Brdtext"/>
      </w:pPr>
      <w:r w:rsidRPr="00024916">
        <w:t xml:space="preserve">Abakavir absorberas snabbt och väl efter oral tillförsel. Den absoluta biotillgängligheten hos vuxna </w:t>
      </w:r>
      <w:r w:rsidRPr="00024916">
        <w:rPr>
          <w:position w:val="2"/>
        </w:rPr>
        <w:t>efter oralt intag är ca 83</w:t>
      </w:r>
      <w:r w:rsidR="004E3AB2" w:rsidRPr="00024916">
        <w:rPr>
          <w:position w:val="2"/>
        </w:rPr>
        <w:t> </w:t>
      </w:r>
      <w:r w:rsidRPr="00024916">
        <w:rPr>
          <w:position w:val="2"/>
        </w:rPr>
        <w:t>%. Efter oral administrerin</w:t>
      </w:r>
      <w:r w:rsidR="004E3AB2" w:rsidRPr="00024916">
        <w:rPr>
          <w:position w:val="2"/>
        </w:rPr>
        <w:t>g är den genomsnittliga tiden (t</w:t>
      </w:r>
      <w:r w:rsidR="004E3AB2" w:rsidRPr="00024916">
        <w:rPr>
          <w:position w:val="2"/>
          <w:vertAlign w:val="subscript"/>
        </w:rPr>
        <w:t>max</w:t>
      </w:r>
      <w:r w:rsidRPr="00024916">
        <w:rPr>
          <w:position w:val="2"/>
        </w:rPr>
        <w:t>) till maximala serumkoncentrationer (C</w:t>
      </w:r>
      <w:r w:rsidR="004E3AB2" w:rsidRPr="00024916">
        <w:rPr>
          <w:position w:val="2"/>
          <w:vertAlign w:val="subscript"/>
        </w:rPr>
        <w:t>max</w:t>
      </w:r>
      <w:r w:rsidRPr="00024916">
        <w:rPr>
          <w:position w:val="2"/>
        </w:rPr>
        <w:t>) av abakavir ca 1,5</w:t>
      </w:r>
      <w:r w:rsidR="004E3AB2" w:rsidRPr="00024916">
        <w:rPr>
          <w:position w:val="2"/>
        </w:rPr>
        <w:t> </w:t>
      </w:r>
      <w:r w:rsidRPr="00024916">
        <w:rPr>
          <w:position w:val="2"/>
        </w:rPr>
        <w:t xml:space="preserve">timmar för tablettberedningen och ca 1,0 timmar för </w:t>
      </w:r>
      <w:r w:rsidRPr="00024916">
        <w:t>lösningen.</w:t>
      </w:r>
    </w:p>
    <w:p w14:paraId="58A02409" w14:textId="77777777" w:rsidR="00B13606" w:rsidRPr="00024916" w:rsidRDefault="00B13606" w:rsidP="00A52061">
      <w:pPr>
        <w:pStyle w:val="Brdtext"/>
        <w:spacing w:before="4"/>
      </w:pPr>
    </w:p>
    <w:p w14:paraId="129357D2" w14:textId="77777777" w:rsidR="00B13606" w:rsidRPr="00024916" w:rsidRDefault="00B13606" w:rsidP="00A52061">
      <w:pPr>
        <w:pStyle w:val="Brdtext"/>
      </w:pPr>
      <w:r w:rsidRPr="00024916">
        <w:rPr>
          <w:position w:val="2"/>
        </w:rPr>
        <w:t>Vid terapeutisk dosering med dosen 300</w:t>
      </w:r>
      <w:r w:rsidR="004E3AB2" w:rsidRPr="00024916">
        <w:rPr>
          <w:position w:val="2"/>
        </w:rPr>
        <w:t> </w:t>
      </w:r>
      <w:r w:rsidRPr="00024916">
        <w:rPr>
          <w:position w:val="2"/>
        </w:rPr>
        <w:t xml:space="preserve">mg två gånger dagligen är medelvärdet (CV) av </w:t>
      </w:r>
      <w:r w:rsidR="004E3AB2" w:rsidRPr="00024916">
        <w:rPr>
          <w:position w:val="2"/>
        </w:rPr>
        <w:t>C</w:t>
      </w:r>
      <w:r w:rsidR="004E3AB2" w:rsidRPr="00024916">
        <w:rPr>
          <w:position w:val="2"/>
          <w:vertAlign w:val="subscript"/>
        </w:rPr>
        <w:t>max</w:t>
      </w:r>
      <w:r w:rsidR="004E3AB2" w:rsidRPr="00024916">
        <w:rPr>
          <w:position w:val="2"/>
        </w:rPr>
        <w:t xml:space="preserve"> </w:t>
      </w:r>
      <w:r w:rsidRPr="00024916">
        <w:rPr>
          <w:position w:val="2"/>
        </w:rPr>
        <w:t xml:space="preserve">och </w:t>
      </w:r>
      <w:r w:rsidR="004E3AB2" w:rsidRPr="00024916">
        <w:rPr>
          <w:position w:val="2"/>
        </w:rPr>
        <w:t>C</w:t>
      </w:r>
      <w:r w:rsidR="004E3AB2" w:rsidRPr="00024916">
        <w:rPr>
          <w:position w:val="2"/>
          <w:vertAlign w:val="subscript"/>
        </w:rPr>
        <w:t>min</w:t>
      </w:r>
      <w:r w:rsidRPr="00024916">
        <w:t xml:space="preserve"> för abakavir vid steady</w:t>
      </w:r>
      <w:r w:rsidR="004E3AB2" w:rsidRPr="00024916">
        <w:noBreakHyphen/>
      </w:r>
      <w:r w:rsidRPr="00024916">
        <w:t>state ca 3,00</w:t>
      </w:r>
      <w:r w:rsidR="004E3AB2" w:rsidRPr="00024916">
        <w:t> </w:t>
      </w:r>
      <w:r w:rsidRPr="00024916">
        <w:t>mikrogram/ml (30</w:t>
      </w:r>
      <w:r w:rsidR="004E3AB2" w:rsidRPr="00024916">
        <w:t> </w:t>
      </w:r>
      <w:r w:rsidRPr="00024916">
        <w:t>%) respektive 0,01 mikrogram/ml (99</w:t>
      </w:r>
      <w:r w:rsidR="004E3AB2" w:rsidRPr="00024916">
        <w:t> </w:t>
      </w:r>
      <w:r w:rsidRPr="00024916">
        <w:t>%).</w:t>
      </w:r>
      <w:r w:rsidR="004E3AB2" w:rsidRPr="00024916">
        <w:t xml:space="preserve"> </w:t>
      </w:r>
      <w:r w:rsidRPr="00024916">
        <w:t>Medelvärdet (CV) för AUC var över ett dosintervall på 12</w:t>
      </w:r>
      <w:r w:rsidR="004E3AB2" w:rsidRPr="00024916">
        <w:t> </w:t>
      </w:r>
      <w:r w:rsidRPr="00024916">
        <w:t>timmar 6,02</w:t>
      </w:r>
      <w:r w:rsidR="004E3AB2" w:rsidRPr="00024916">
        <w:t> </w:t>
      </w:r>
      <w:r w:rsidRPr="00024916">
        <w:t>mikrogram timme/ml (29</w:t>
      </w:r>
      <w:r w:rsidR="004E3AB2" w:rsidRPr="00024916">
        <w:t> </w:t>
      </w:r>
      <w:r w:rsidRPr="00024916">
        <w:t xml:space="preserve">%) </w:t>
      </w:r>
      <w:r w:rsidRPr="00024916">
        <w:rPr>
          <w:position w:val="2"/>
        </w:rPr>
        <w:t>motsvarande ett dagligt AUC på ca 12,0</w:t>
      </w:r>
      <w:r w:rsidR="004E3AB2" w:rsidRPr="00024916">
        <w:rPr>
          <w:position w:val="2"/>
        </w:rPr>
        <w:t> </w:t>
      </w:r>
      <w:r w:rsidRPr="00024916">
        <w:rPr>
          <w:position w:val="2"/>
        </w:rPr>
        <w:t xml:space="preserve">mikrogram timme/ml. </w:t>
      </w:r>
      <w:r w:rsidR="004E3AB2" w:rsidRPr="00024916">
        <w:rPr>
          <w:position w:val="2"/>
        </w:rPr>
        <w:t>C</w:t>
      </w:r>
      <w:r w:rsidR="004E3AB2" w:rsidRPr="00024916">
        <w:rPr>
          <w:position w:val="2"/>
          <w:vertAlign w:val="subscript"/>
        </w:rPr>
        <w:t>max</w:t>
      </w:r>
      <w:r w:rsidR="004E3AB2" w:rsidRPr="00024916">
        <w:rPr>
          <w:position w:val="2"/>
        </w:rPr>
        <w:noBreakHyphen/>
        <w:t>v</w:t>
      </w:r>
      <w:r w:rsidRPr="00024916">
        <w:rPr>
          <w:position w:val="2"/>
        </w:rPr>
        <w:t xml:space="preserve">ärdet för den orala lösningen är något högre än för tabletterna. Efter en tablettdos på 600 mg abakavir var medelvärdet (CV) för </w:t>
      </w:r>
      <w:r w:rsidR="004E3AB2" w:rsidRPr="00024916">
        <w:rPr>
          <w:position w:val="2"/>
        </w:rPr>
        <w:t>C</w:t>
      </w:r>
      <w:r w:rsidR="004E3AB2" w:rsidRPr="00024916">
        <w:rPr>
          <w:position w:val="2"/>
          <w:vertAlign w:val="subscript"/>
        </w:rPr>
        <w:t>max</w:t>
      </w:r>
      <w:r w:rsidR="004E3AB2" w:rsidRPr="00024916">
        <w:rPr>
          <w:position w:val="2"/>
        </w:rPr>
        <w:t xml:space="preserve"> </w:t>
      </w:r>
      <w:r w:rsidRPr="00024916">
        <w:t>ca 4,26</w:t>
      </w:r>
      <w:r w:rsidR="004E3AB2" w:rsidRPr="00024916">
        <w:t> </w:t>
      </w:r>
      <w:r w:rsidRPr="00024916">
        <w:t>mikrogram/ml (28</w:t>
      </w:r>
      <w:r w:rsidR="004E3AB2" w:rsidRPr="00024916">
        <w:t> </w:t>
      </w:r>
      <w:r w:rsidRPr="00024916">
        <w:t>%) och medelvärdet (CV) av AUC</w:t>
      </w:r>
      <w:r w:rsidRPr="00024916">
        <w:rPr>
          <w:vertAlign w:val="subscript"/>
        </w:rPr>
        <w:t>∞</w:t>
      </w:r>
      <w:r w:rsidR="004E3AB2" w:rsidRPr="00024916">
        <w:t xml:space="preserve"> var 11,95 </w:t>
      </w:r>
      <w:r w:rsidRPr="00024916">
        <w:t>mikrogram timme/ml (21</w:t>
      </w:r>
      <w:r w:rsidR="004E3AB2" w:rsidRPr="00024916">
        <w:t> </w:t>
      </w:r>
      <w:r w:rsidRPr="00024916">
        <w:t>%).</w:t>
      </w:r>
    </w:p>
    <w:p w14:paraId="399CD201" w14:textId="77777777" w:rsidR="00B13606" w:rsidRPr="00024916" w:rsidRDefault="00B13606" w:rsidP="00A52061">
      <w:pPr>
        <w:pStyle w:val="Brdtext"/>
        <w:spacing w:before="4"/>
      </w:pPr>
    </w:p>
    <w:p w14:paraId="50314B7A" w14:textId="77777777" w:rsidR="00B13606" w:rsidRPr="00024916" w:rsidRDefault="00B13606" w:rsidP="00A52061">
      <w:pPr>
        <w:pStyle w:val="Brdtext"/>
      </w:pPr>
      <w:r w:rsidRPr="00024916">
        <w:rPr>
          <w:position w:val="2"/>
        </w:rPr>
        <w:t xml:space="preserve">Föda fördröjer absorptionen och minskar </w:t>
      </w:r>
      <w:r w:rsidR="004E3AB2" w:rsidRPr="00024916">
        <w:rPr>
          <w:position w:val="2"/>
        </w:rPr>
        <w:t>C</w:t>
      </w:r>
      <w:r w:rsidR="004E3AB2" w:rsidRPr="00024916">
        <w:rPr>
          <w:position w:val="2"/>
          <w:vertAlign w:val="subscript"/>
        </w:rPr>
        <w:t>max</w:t>
      </w:r>
      <w:r w:rsidRPr="00024916">
        <w:t xml:space="preserve"> </w:t>
      </w:r>
      <w:r w:rsidRPr="00024916">
        <w:rPr>
          <w:position w:val="2"/>
        </w:rPr>
        <w:t xml:space="preserve">men påverkar inte de totala plasmakoncentrationerna </w:t>
      </w:r>
      <w:r w:rsidRPr="00024916">
        <w:t>(AUC). Abacavir Accord kan därför tas med eller utan föda.</w:t>
      </w:r>
    </w:p>
    <w:p w14:paraId="0E295C5E" w14:textId="77777777" w:rsidR="00B13606" w:rsidRPr="00024916" w:rsidRDefault="00B13606" w:rsidP="00A52061">
      <w:pPr>
        <w:pStyle w:val="Brdtext"/>
      </w:pPr>
    </w:p>
    <w:p w14:paraId="63C93BD7" w14:textId="77777777" w:rsidR="00B13606" w:rsidRPr="00024916" w:rsidRDefault="00B13606" w:rsidP="00A52061">
      <w:pPr>
        <w:pStyle w:val="Brdtext"/>
      </w:pPr>
      <w:r w:rsidRPr="00024916">
        <w:t>Administrering av krossade tabletter med en liten mängd halvfast föda eller dryck förväntas inte ha någon påverkan på den farmaceutiska kvaliteten och borde därför inte förändra den kliniska effekten. Denna slutsats baseras på fysiologisk-kemiska och farmakokinetiska data och förutsätter att patienten krossar och intar hela dosen (100</w:t>
      </w:r>
      <w:r w:rsidR="004E3AB2" w:rsidRPr="00024916">
        <w:t> </w:t>
      </w:r>
      <w:r w:rsidRPr="00024916">
        <w:t>% av tabletten) omedelbart.</w:t>
      </w:r>
    </w:p>
    <w:p w14:paraId="3A09A210" w14:textId="77777777" w:rsidR="00B13606" w:rsidRPr="00024916" w:rsidRDefault="00B13606" w:rsidP="00A52061">
      <w:pPr>
        <w:pStyle w:val="Brdtext"/>
      </w:pPr>
    </w:p>
    <w:p w14:paraId="1E9B1C6D" w14:textId="77777777" w:rsidR="004E3AB2" w:rsidRPr="00024916" w:rsidRDefault="00B13606" w:rsidP="00A52061">
      <w:pPr>
        <w:pStyle w:val="Brdtext"/>
        <w:rPr>
          <w:u w:val="single"/>
        </w:rPr>
      </w:pPr>
      <w:r w:rsidRPr="00024916">
        <w:rPr>
          <w:u w:val="single"/>
        </w:rPr>
        <w:t>Distribution</w:t>
      </w:r>
    </w:p>
    <w:p w14:paraId="3F9E488E" w14:textId="77777777" w:rsidR="004E3AB2" w:rsidRPr="00024916" w:rsidRDefault="004E3AB2" w:rsidP="00A52061">
      <w:pPr>
        <w:pStyle w:val="Brdtext"/>
        <w:rPr>
          <w:u w:val="single"/>
        </w:rPr>
      </w:pPr>
    </w:p>
    <w:p w14:paraId="365249F3" w14:textId="77777777" w:rsidR="00B13606" w:rsidRPr="00024916" w:rsidRDefault="00B13606" w:rsidP="00A52061">
      <w:pPr>
        <w:pStyle w:val="Brdtext"/>
      </w:pPr>
      <w:r w:rsidRPr="00024916">
        <w:t>Efter intravenös administrering var distributionsvolymen ca 0,8</w:t>
      </w:r>
      <w:r w:rsidR="004E3AB2" w:rsidRPr="00024916">
        <w:t> </w:t>
      </w:r>
      <w:r w:rsidRPr="00024916">
        <w:t>liter/kg, vilket talar för att abakavir fritt penetrerar till kroppens vävnader.</w:t>
      </w:r>
    </w:p>
    <w:p w14:paraId="0DEBCB5E" w14:textId="77777777" w:rsidR="00B13606" w:rsidRPr="00024916" w:rsidRDefault="00B13606" w:rsidP="00A52061">
      <w:pPr>
        <w:pStyle w:val="Brdtext"/>
        <w:spacing w:before="10"/>
      </w:pPr>
    </w:p>
    <w:p w14:paraId="29E591B1" w14:textId="77777777" w:rsidR="00B13606" w:rsidRPr="00024916" w:rsidRDefault="00B13606" w:rsidP="00A52061">
      <w:pPr>
        <w:pStyle w:val="Brdtext"/>
      </w:pPr>
      <w:r w:rsidRPr="00024916">
        <w:lastRenderedPageBreak/>
        <w:t>Studier på hivinfekterade patienter har visat god penetration av abakavir till CSF, AUC-ratio i likvor/plasma på 30 till 44</w:t>
      </w:r>
      <w:r w:rsidR="004E3AB2" w:rsidRPr="00024916">
        <w:t> </w:t>
      </w:r>
      <w:r w:rsidRPr="00024916">
        <w:t>%. När abakavir ges i dosen 600</w:t>
      </w:r>
      <w:r w:rsidR="004E3AB2" w:rsidRPr="00024916">
        <w:t> </w:t>
      </w:r>
      <w:r w:rsidRPr="00024916">
        <w:t xml:space="preserve">mg två gånger dagligen är observerade </w:t>
      </w:r>
      <w:r w:rsidRPr="00024916">
        <w:rPr>
          <w:position w:val="2"/>
        </w:rPr>
        <w:t>maximala koncentrationer i likvor 9</w:t>
      </w:r>
      <w:r w:rsidR="004E3AB2" w:rsidRPr="00024916">
        <w:rPr>
          <w:position w:val="2"/>
        </w:rPr>
        <w:t> </w:t>
      </w:r>
      <w:r w:rsidRPr="00024916">
        <w:rPr>
          <w:position w:val="2"/>
        </w:rPr>
        <w:t>gånger högre än abakavirs IC</w:t>
      </w:r>
      <w:r w:rsidR="004E3AB2" w:rsidRPr="00024916">
        <w:rPr>
          <w:position w:val="2"/>
          <w:vertAlign w:val="subscript"/>
        </w:rPr>
        <w:t>50</w:t>
      </w:r>
      <w:r w:rsidRPr="00024916">
        <w:t xml:space="preserve"> </w:t>
      </w:r>
      <w:r w:rsidRPr="00024916">
        <w:rPr>
          <w:position w:val="2"/>
        </w:rPr>
        <w:t>som är 0,08</w:t>
      </w:r>
      <w:r w:rsidR="004E3AB2" w:rsidRPr="00024916">
        <w:rPr>
          <w:position w:val="2"/>
        </w:rPr>
        <w:t> </w:t>
      </w:r>
      <w:r w:rsidRPr="00024916">
        <w:rPr>
          <w:position w:val="2"/>
        </w:rPr>
        <w:t>mikrog/ml eller 0,26</w:t>
      </w:r>
      <w:r w:rsidR="004E3AB2" w:rsidRPr="00024916">
        <w:rPr>
          <w:position w:val="2"/>
        </w:rPr>
        <w:t> </w:t>
      </w:r>
      <w:r w:rsidRPr="00024916">
        <w:t>mikroM.</w:t>
      </w:r>
    </w:p>
    <w:p w14:paraId="67130425" w14:textId="77777777" w:rsidR="00B13606" w:rsidRPr="00024916" w:rsidRDefault="00B13606" w:rsidP="00A52061">
      <w:pPr>
        <w:pStyle w:val="Brdtext"/>
        <w:spacing w:before="9"/>
      </w:pPr>
    </w:p>
    <w:p w14:paraId="5F92FF44" w14:textId="77777777" w:rsidR="00B13606" w:rsidRPr="00024916" w:rsidRDefault="00B13606" w:rsidP="00A52061">
      <w:pPr>
        <w:pStyle w:val="Brdtext"/>
      </w:pPr>
      <w:r w:rsidRPr="00024916">
        <w:rPr>
          <w:i/>
        </w:rPr>
        <w:t>In vitro</w:t>
      </w:r>
      <w:r w:rsidRPr="00024916">
        <w:t>-studier avseende bindning till plasmaproteiner pekar på att abakavir endast har en låg till måttlig bindningsgrad (ca 49</w:t>
      </w:r>
      <w:r w:rsidR="004E3AB2" w:rsidRPr="00024916">
        <w:t> </w:t>
      </w:r>
      <w:r w:rsidRPr="00024916">
        <w:t>%) till humana plasmaproteiner vid terapeutiska koncentrationer. Detta talar för en låg risk för läkemedelsinteraktioner genom påverkan på plasmaproteinbindning.</w:t>
      </w:r>
    </w:p>
    <w:p w14:paraId="2557CF43" w14:textId="77777777" w:rsidR="00B13606" w:rsidRPr="00024916" w:rsidRDefault="00B13606" w:rsidP="00A52061">
      <w:pPr>
        <w:pStyle w:val="Brdtext"/>
        <w:spacing w:before="1"/>
      </w:pPr>
    </w:p>
    <w:p w14:paraId="34B704F9" w14:textId="77777777" w:rsidR="004E3AB2" w:rsidRPr="00024916" w:rsidRDefault="00B13606" w:rsidP="00A52061">
      <w:pPr>
        <w:pStyle w:val="Brdtext"/>
        <w:rPr>
          <w:u w:val="single"/>
        </w:rPr>
      </w:pPr>
      <w:r w:rsidRPr="00024916">
        <w:rPr>
          <w:u w:val="single"/>
        </w:rPr>
        <w:t>Metabolism</w:t>
      </w:r>
    </w:p>
    <w:p w14:paraId="6C4690CE" w14:textId="77777777" w:rsidR="004E3AB2" w:rsidRPr="00024916" w:rsidRDefault="004E3AB2" w:rsidP="00A52061">
      <w:pPr>
        <w:pStyle w:val="Brdtext"/>
        <w:rPr>
          <w:u w:val="single"/>
        </w:rPr>
      </w:pPr>
    </w:p>
    <w:p w14:paraId="6A2E328F" w14:textId="77777777" w:rsidR="00B13606" w:rsidRPr="00024916" w:rsidRDefault="00B13606" w:rsidP="00A52061">
      <w:pPr>
        <w:pStyle w:val="Brdtext"/>
      </w:pPr>
      <w:r w:rsidRPr="00024916">
        <w:t>Abakavir metaboliseras huvudsakligen i levern med cirka 2</w:t>
      </w:r>
      <w:r w:rsidR="004E3AB2" w:rsidRPr="00024916">
        <w:t> </w:t>
      </w:r>
      <w:r w:rsidRPr="00024916">
        <w:t>% av den administrerade dosen utsöndrad renalt i oförändrad form. Huvudsaklig metabolismväg hos människa är via alkoholdehydrogenas och via gluk</w:t>
      </w:r>
      <w:r w:rsidR="004E3AB2" w:rsidRPr="00024916">
        <w:t>uronidering varvid 5´</w:t>
      </w:r>
      <w:r w:rsidR="004E3AB2" w:rsidRPr="00024916">
        <w:noBreakHyphen/>
        <w:t>karboxylsyra och 5´</w:t>
      </w:r>
      <w:r w:rsidR="004E3AB2" w:rsidRPr="00024916">
        <w:noBreakHyphen/>
      </w:r>
      <w:r w:rsidRPr="00024916">
        <w:t>glukuronid bildas. Dessa utgör omkring 66</w:t>
      </w:r>
      <w:r w:rsidR="004E3AB2" w:rsidRPr="00024916">
        <w:t> </w:t>
      </w:r>
      <w:r w:rsidRPr="00024916">
        <w:t>% av administrerad dos. Metaboliterna utsöndras i urinen.</w:t>
      </w:r>
    </w:p>
    <w:p w14:paraId="09567E61" w14:textId="77777777" w:rsidR="004E3AB2" w:rsidRPr="00024916" w:rsidRDefault="004E3AB2" w:rsidP="00A52061">
      <w:pPr>
        <w:pStyle w:val="Brdtext"/>
      </w:pPr>
    </w:p>
    <w:p w14:paraId="563B0E54" w14:textId="77777777" w:rsidR="004E3AB2" w:rsidRPr="00024916" w:rsidRDefault="00B13606" w:rsidP="00A52061">
      <w:pPr>
        <w:pStyle w:val="Brdtext"/>
        <w:rPr>
          <w:u w:val="single"/>
        </w:rPr>
      </w:pPr>
      <w:r w:rsidRPr="00024916">
        <w:rPr>
          <w:u w:val="single"/>
        </w:rPr>
        <w:t>Eliminering</w:t>
      </w:r>
    </w:p>
    <w:p w14:paraId="32A1841C" w14:textId="77777777" w:rsidR="00B13606" w:rsidRPr="00024916" w:rsidRDefault="00B13606" w:rsidP="00A52061">
      <w:pPr>
        <w:pStyle w:val="Brdtext"/>
      </w:pPr>
      <w:r w:rsidRPr="00024916">
        <w:t>Den genomsnittliga halveringstiden för abakavir är ca 1,5</w:t>
      </w:r>
      <w:r w:rsidR="004E3AB2" w:rsidRPr="00024916">
        <w:t> </w:t>
      </w:r>
      <w:r w:rsidRPr="00024916">
        <w:t>timmar. Det sker ingen signifikant ackumulering av abakavir efter upprepade orala doser av 300</w:t>
      </w:r>
      <w:r w:rsidR="004E3AB2" w:rsidRPr="00024916">
        <w:t> </w:t>
      </w:r>
      <w:r w:rsidRPr="00024916">
        <w:t>mg två gånger dagligen. Eliminationen av abakavir sker via levermetabolism med efterföljande utsöndring av metaboliter i första hand i urinen. I urinen återfinns omkring 83</w:t>
      </w:r>
      <w:r w:rsidR="004E3AB2" w:rsidRPr="00024916">
        <w:t> </w:t>
      </w:r>
      <w:r w:rsidRPr="00024916">
        <w:t>% av administrerad abakavirdos som metaboliter och oförändrat abakavir. Resten av dosen elimineras via feces.</w:t>
      </w:r>
    </w:p>
    <w:p w14:paraId="7955E69B" w14:textId="77777777" w:rsidR="00B13606" w:rsidRPr="00024916" w:rsidRDefault="00B13606" w:rsidP="00A52061">
      <w:pPr>
        <w:pStyle w:val="Brdtext"/>
        <w:spacing w:before="9"/>
      </w:pPr>
    </w:p>
    <w:p w14:paraId="6F7CD09A" w14:textId="77777777" w:rsidR="004E3AB2" w:rsidRPr="00024916" w:rsidRDefault="00B13606" w:rsidP="00A52061">
      <w:pPr>
        <w:pStyle w:val="Brdtext"/>
        <w:spacing w:before="1"/>
        <w:rPr>
          <w:u w:val="single"/>
        </w:rPr>
      </w:pPr>
      <w:r w:rsidRPr="00024916">
        <w:rPr>
          <w:u w:val="single"/>
        </w:rPr>
        <w:t>Intracellulär farmakokinetik</w:t>
      </w:r>
    </w:p>
    <w:p w14:paraId="225B8D5F" w14:textId="77777777" w:rsidR="004E3AB2" w:rsidRPr="00024916" w:rsidRDefault="004E3AB2" w:rsidP="00A52061">
      <w:pPr>
        <w:pStyle w:val="Brdtext"/>
        <w:spacing w:before="1"/>
        <w:rPr>
          <w:u w:val="single"/>
        </w:rPr>
      </w:pPr>
    </w:p>
    <w:p w14:paraId="2D4B3EDE" w14:textId="77777777" w:rsidR="00B13606" w:rsidRPr="00024916" w:rsidRDefault="00B13606" w:rsidP="00A52061">
      <w:pPr>
        <w:pStyle w:val="Brdtext"/>
        <w:spacing w:before="1"/>
      </w:pPr>
      <w:r w:rsidRPr="00024916">
        <w:t>I en studie på 20</w:t>
      </w:r>
      <w:r w:rsidR="004E3AB2" w:rsidRPr="00024916">
        <w:t> </w:t>
      </w:r>
      <w:r w:rsidRPr="00024916">
        <w:t>hivinfekterade patienter som fick 300</w:t>
      </w:r>
      <w:r w:rsidR="004E3AB2" w:rsidRPr="00024916">
        <w:t> </w:t>
      </w:r>
      <w:r w:rsidRPr="00024916">
        <w:t>mg abakavir två gånger dagligen, med bara en 300</w:t>
      </w:r>
      <w:r w:rsidR="004E3AB2" w:rsidRPr="00024916">
        <w:t> </w:t>
      </w:r>
      <w:r w:rsidRPr="00024916">
        <w:t>mg dos tagen före provtagningsperioden på 24</w:t>
      </w:r>
      <w:r w:rsidR="004E3AB2" w:rsidRPr="00024916">
        <w:noBreakHyphen/>
      </w:r>
      <w:r w:rsidRPr="00024916">
        <w:t>timmar, var det geometriska terminala medelvärdet för halveringstiden av intracellulärt carbovir</w:t>
      </w:r>
      <w:r w:rsidR="004E3AB2" w:rsidRPr="00024916">
        <w:noBreakHyphen/>
      </w:r>
      <w:r w:rsidRPr="00024916">
        <w:t>TP vid steady</w:t>
      </w:r>
      <w:r w:rsidR="004E3AB2" w:rsidRPr="00024916">
        <w:noBreakHyphen/>
      </w:r>
      <w:r w:rsidRPr="00024916">
        <w:t>state 20,6</w:t>
      </w:r>
      <w:r w:rsidR="004E3AB2" w:rsidRPr="00024916">
        <w:t> </w:t>
      </w:r>
      <w:r w:rsidRPr="00024916">
        <w:t>timmar, jämfört med 2,6</w:t>
      </w:r>
      <w:r w:rsidR="004E3AB2" w:rsidRPr="00024916">
        <w:t> </w:t>
      </w:r>
      <w:r w:rsidRPr="00024916">
        <w:t>timmar som var det uppmätta geometriska medelvärdet för halveringstiden av abakavir i plasma i denna studie. I en cross</w:t>
      </w:r>
      <w:r w:rsidR="004E3AB2" w:rsidRPr="00024916">
        <w:noBreakHyphen/>
      </w:r>
      <w:r w:rsidRPr="00024916">
        <w:t>over</w:t>
      </w:r>
      <w:r w:rsidR="004E3AB2" w:rsidRPr="00024916">
        <w:noBreakHyphen/>
      </w:r>
      <w:r w:rsidRPr="00024916">
        <w:t>studie med 27</w:t>
      </w:r>
      <w:r w:rsidR="004E3AB2" w:rsidRPr="00024916">
        <w:t> </w:t>
      </w:r>
      <w:r w:rsidRPr="00024916">
        <w:t>hivinfekterade patienter var exponeringen för intracellulärt</w:t>
      </w:r>
      <w:r w:rsidRPr="00024916">
        <w:rPr>
          <w:position w:val="2"/>
        </w:rPr>
        <w:t xml:space="preserve"> carbovir</w:t>
      </w:r>
      <w:r w:rsidR="004E3AB2" w:rsidRPr="00024916">
        <w:rPr>
          <w:position w:val="2"/>
        </w:rPr>
        <w:noBreakHyphen/>
      </w:r>
      <w:r w:rsidRPr="00024916">
        <w:rPr>
          <w:position w:val="2"/>
        </w:rPr>
        <w:t>TP högre för abakavir 600</w:t>
      </w:r>
      <w:r w:rsidR="004E3AB2" w:rsidRPr="00024916">
        <w:rPr>
          <w:position w:val="2"/>
        </w:rPr>
        <w:t> </w:t>
      </w:r>
      <w:r w:rsidRPr="00024916">
        <w:rPr>
          <w:position w:val="2"/>
        </w:rPr>
        <w:t>mg en gång dagligen (AUC</w:t>
      </w:r>
      <w:r w:rsidRPr="00024916">
        <w:rPr>
          <w:vertAlign w:val="subscript"/>
        </w:rPr>
        <w:t>24,ss</w:t>
      </w:r>
      <w:r w:rsidRPr="00024916">
        <w:t xml:space="preserve"> </w:t>
      </w:r>
      <w:r w:rsidRPr="00024916">
        <w:rPr>
          <w:position w:val="2"/>
        </w:rPr>
        <w:t>+32%, C</w:t>
      </w:r>
      <w:r w:rsidRPr="00024916">
        <w:rPr>
          <w:vertAlign w:val="subscript"/>
        </w:rPr>
        <w:t xml:space="preserve">max24,ss </w:t>
      </w:r>
      <w:r w:rsidRPr="00024916">
        <w:rPr>
          <w:position w:val="2"/>
        </w:rPr>
        <w:t>+99% och</w:t>
      </w:r>
      <w:r w:rsidRPr="00024916">
        <w:rPr>
          <w:spacing w:val="-18"/>
          <w:position w:val="2"/>
        </w:rPr>
        <w:t xml:space="preserve"> </w:t>
      </w:r>
      <w:r w:rsidRPr="00024916">
        <w:rPr>
          <w:position w:val="2"/>
        </w:rPr>
        <w:t>C</w:t>
      </w:r>
      <w:r w:rsidRPr="00024916">
        <w:rPr>
          <w:vertAlign w:val="subscript"/>
        </w:rPr>
        <w:t>trough</w:t>
      </w:r>
      <w:r w:rsidR="004E3AB2" w:rsidRPr="00024916">
        <w:t xml:space="preserve"> </w:t>
      </w:r>
      <w:r w:rsidRPr="00024916">
        <w:t>+18</w:t>
      </w:r>
      <w:r w:rsidR="004E3AB2" w:rsidRPr="00024916">
        <w:t> </w:t>
      </w:r>
      <w:r w:rsidRPr="00024916">
        <w:t>%) jämfört med 300</w:t>
      </w:r>
      <w:r w:rsidR="004E3AB2" w:rsidRPr="00024916">
        <w:t> </w:t>
      </w:r>
      <w:r w:rsidRPr="00024916">
        <w:t>mg två gånger dagligen. Sammantaget stöder dessa data användning av abakavir 600</w:t>
      </w:r>
      <w:r w:rsidR="004E3AB2" w:rsidRPr="00024916">
        <w:t> </w:t>
      </w:r>
      <w:r w:rsidRPr="00024916">
        <w:t>mg en gång dagligen för behandling av hivinfekterade patienter. Dessutom har effekten och säkerheten av abakavir doserat en gång dagligen visats i en pivotal klinisk studie (CNA30021 – Se avsnitt</w:t>
      </w:r>
      <w:r w:rsidR="004E3AB2" w:rsidRPr="00024916">
        <w:t> </w:t>
      </w:r>
      <w:r w:rsidRPr="00024916">
        <w:t>5.1 Klinisk erfarenhet).</w:t>
      </w:r>
    </w:p>
    <w:p w14:paraId="3AB79DD2" w14:textId="77777777" w:rsidR="00B13606" w:rsidRPr="00024916" w:rsidRDefault="00B13606" w:rsidP="00A52061">
      <w:pPr>
        <w:pStyle w:val="Brdtext"/>
        <w:spacing w:before="8"/>
      </w:pPr>
    </w:p>
    <w:p w14:paraId="312E4C98" w14:textId="77777777" w:rsidR="004E3AB2" w:rsidRPr="00024916" w:rsidRDefault="00B13606" w:rsidP="00A52061">
      <w:pPr>
        <w:pStyle w:val="Brdtext"/>
        <w:rPr>
          <w:u w:val="single"/>
        </w:rPr>
      </w:pPr>
      <w:r w:rsidRPr="00024916">
        <w:rPr>
          <w:u w:val="single"/>
        </w:rPr>
        <w:t>Speciella patientgrupper</w:t>
      </w:r>
    </w:p>
    <w:p w14:paraId="583D2BC0" w14:textId="77777777" w:rsidR="004E3AB2" w:rsidRPr="00024916" w:rsidRDefault="004E3AB2" w:rsidP="00A52061">
      <w:pPr>
        <w:pStyle w:val="Brdtext"/>
        <w:rPr>
          <w:u w:val="single"/>
        </w:rPr>
      </w:pPr>
    </w:p>
    <w:p w14:paraId="3DC437FF" w14:textId="77777777" w:rsidR="00B13606" w:rsidRPr="00024916" w:rsidRDefault="00B13606" w:rsidP="00A52061">
      <w:pPr>
        <w:pStyle w:val="Brdtext"/>
        <w:rPr>
          <w:i/>
        </w:rPr>
      </w:pPr>
      <w:r w:rsidRPr="00024916">
        <w:rPr>
          <w:i/>
        </w:rPr>
        <w:t>Nedsatt leverfunktion</w:t>
      </w:r>
    </w:p>
    <w:p w14:paraId="2BA503E9" w14:textId="77777777" w:rsidR="00B13606" w:rsidRPr="00024916" w:rsidRDefault="00B13606" w:rsidP="00A52061">
      <w:pPr>
        <w:pStyle w:val="Brdtext"/>
        <w:spacing w:before="2"/>
      </w:pPr>
      <w:r w:rsidRPr="00024916">
        <w:t>Abakavir metaboliseras huvudsakligen i levern. Abakavirs farmakokinetik har studerats hos patienter med mild l</w:t>
      </w:r>
      <w:r w:rsidR="004E3AB2" w:rsidRPr="00024916">
        <w:t>everfunktionsnedsättning (Child</w:t>
      </w:r>
      <w:r w:rsidR="004E3AB2" w:rsidRPr="00024916">
        <w:noBreakHyphen/>
      </w:r>
      <w:r w:rsidRPr="00024916">
        <w:t>Pugh score 5</w:t>
      </w:r>
      <w:r w:rsidR="004E3AB2" w:rsidRPr="00024916">
        <w:noBreakHyphen/>
      </w:r>
      <w:r w:rsidRPr="00024916">
        <w:t>6) vilka erhöll 600</w:t>
      </w:r>
      <w:r w:rsidR="004E3AB2" w:rsidRPr="00024916">
        <w:t> </w:t>
      </w:r>
      <w:r w:rsidRPr="00024916">
        <w:t>mg abakavir som en singeldos, median (intervall) AUC</w:t>
      </w:r>
      <w:r w:rsidR="004E3AB2" w:rsidRPr="00024916">
        <w:noBreakHyphen/>
      </w:r>
      <w:r w:rsidRPr="00024916">
        <w:t>värdet var 24,1 (10,4 till 54,8) µg·h/ml. Resultaten visade att abakavirs genomsnittliga AUC (90</w:t>
      </w:r>
      <w:r w:rsidR="004E3AB2" w:rsidRPr="00024916">
        <w:t> </w:t>
      </w:r>
      <w:r w:rsidRPr="00024916">
        <w:t>% CI) ökar 1,89</w:t>
      </w:r>
      <w:r w:rsidR="004E3AB2" w:rsidRPr="00024916">
        <w:t> </w:t>
      </w:r>
      <w:r w:rsidRPr="00024916">
        <w:t>gånger (1,32; 2,70) och att halveringstiden för abakavir ökar i genomsnitt 1,58</w:t>
      </w:r>
      <w:r w:rsidR="004E3AB2" w:rsidRPr="00024916">
        <w:t> </w:t>
      </w:r>
      <w:r w:rsidRPr="00024916">
        <w:t>gånger (1,22; 2,04). På grund av väsentligt varierande abakavirexponeringar var det inte möjligt att fastställa någon definitiv rekommendation för hur stor dosreduktion som behövs hos patienter med mild nedsättning av leverfunktionen.</w:t>
      </w:r>
    </w:p>
    <w:p w14:paraId="7493C60D" w14:textId="77777777" w:rsidR="004E3AB2" w:rsidRPr="00024916" w:rsidRDefault="004E3AB2" w:rsidP="00A52061">
      <w:pPr>
        <w:pStyle w:val="Brdtext"/>
      </w:pPr>
    </w:p>
    <w:p w14:paraId="6421DAB4" w14:textId="77777777" w:rsidR="00B13606" w:rsidRPr="00024916" w:rsidRDefault="00B13606" w:rsidP="00A52061">
      <w:pPr>
        <w:pStyle w:val="Brdtext"/>
      </w:pPr>
      <w:r w:rsidRPr="00024916">
        <w:t>Abakavir rekommenderas inte till patienter med måttlig eller kraftig leverfunktionsnedsättning.</w:t>
      </w:r>
    </w:p>
    <w:p w14:paraId="01D02082" w14:textId="77777777" w:rsidR="00B13606" w:rsidRPr="00024916" w:rsidRDefault="00B13606" w:rsidP="00A52061">
      <w:pPr>
        <w:pStyle w:val="Brdtext"/>
        <w:spacing w:before="9"/>
      </w:pPr>
    </w:p>
    <w:p w14:paraId="287BCB08" w14:textId="77777777" w:rsidR="00B13606" w:rsidRPr="00024916" w:rsidRDefault="00B13606" w:rsidP="00A52061">
      <w:pPr>
        <w:rPr>
          <w:i/>
        </w:rPr>
      </w:pPr>
      <w:r w:rsidRPr="00024916">
        <w:rPr>
          <w:i/>
        </w:rPr>
        <w:t>Nedsatt</w:t>
      </w:r>
      <w:r w:rsidRPr="00024916">
        <w:rPr>
          <w:i/>
          <w:spacing w:val="-3"/>
        </w:rPr>
        <w:t xml:space="preserve"> </w:t>
      </w:r>
      <w:r w:rsidRPr="00024916">
        <w:rPr>
          <w:i/>
        </w:rPr>
        <w:t>njurfunktion</w:t>
      </w:r>
    </w:p>
    <w:p w14:paraId="3028C767" w14:textId="77777777" w:rsidR="00B13606" w:rsidRPr="00024916" w:rsidRDefault="00B13606" w:rsidP="00A52061">
      <w:pPr>
        <w:pStyle w:val="Brdtext"/>
        <w:spacing w:before="2"/>
      </w:pPr>
      <w:r w:rsidRPr="00024916">
        <w:t>Abakavir metaboliseras huvudsakligen i levern. Cirka 2</w:t>
      </w:r>
      <w:r w:rsidR="004E3AB2" w:rsidRPr="00024916">
        <w:t> </w:t>
      </w:r>
      <w:r w:rsidRPr="00024916">
        <w:t>% av given dos abakavir utsöndras oförändrad i urinen. Abakavirs farmakokinetik hos patienter med njursjukdom i slutstadiet är likartad den hos patienter med normal njurfunktion. Därför behövs inte någon dosreduktion hos patienter med nedsatt njurfunktion. På grund av den begränsade erfarenheten bör Abacavir Accord undvikas hos patienter med gravt nedsatt</w:t>
      </w:r>
      <w:r w:rsidRPr="00024916">
        <w:rPr>
          <w:spacing w:val="-3"/>
        </w:rPr>
        <w:t xml:space="preserve"> </w:t>
      </w:r>
      <w:r w:rsidRPr="00024916">
        <w:t>njurfunktion.</w:t>
      </w:r>
    </w:p>
    <w:p w14:paraId="27768E90" w14:textId="77777777" w:rsidR="00B13606" w:rsidRPr="00024916" w:rsidRDefault="00B13606" w:rsidP="00A52061">
      <w:pPr>
        <w:pStyle w:val="Brdtext"/>
        <w:spacing w:before="9"/>
      </w:pPr>
    </w:p>
    <w:p w14:paraId="0A48037B" w14:textId="77777777" w:rsidR="00B13606" w:rsidRPr="00024916" w:rsidRDefault="00B13606" w:rsidP="00A52061">
      <w:pPr>
        <w:pStyle w:val="Brdtext"/>
        <w:spacing w:before="1"/>
      </w:pPr>
      <w:r w:rsidRPr="00024916">
        <w:rPr>
          <w:u w:val="single"/>
        </w:rPr>
        <w:t>Pediatrisk population</w:t>
      </w:r>
    </w:p>
    <w:p w14:paraId="07BA3F02" w14:textId="77777777" w:rsidR="00B13606" w:rsidRPr="00024916" w:rsidRDefault="00B13606" w:rsidP="00A52061">
      <w:pPr>
        <w:pStyle w:val="Brdtext"/>
        <w:spacing w:before="2"/>
      </w:pPr>
      <w:r w:rsidRPr="00024916">
        <w:t>Enligt studier utförda på barn absorberas abakavir snabbt och väl efter intag av oral lösning och tablettformuleringar. Exponeringen av abakavir i plasma har visat sig vara densamma för båda formuleringarna när de administreras med samma dosering. Barn som får abakavir oral lösning enligt rekommenderad doseringsregim uppnår liknande exponering av abakavir i plasma som hos vuxna.</w:t>
      </w:r>
    </w:p>
    <w:p w14:paraId="0F0FE17B" w14:textId="77777777" w:rsidR="00B13606" w:rsidRPr="00024916" w:rsidRDefault="00B13606" w:rsidP="00A52061">
      <w:pPr>
        <w:pStyle w:val="Brdtext"/>
      </w:pPr>
      <w:r w:rsidRPr="00024916">
        <w:t>Barn som får abakavir orala tabletter enligt rekommenderad doseringsregim uppnår högre exponering av abakavir i plasma än barn som får oral lösning eftersom högre doser i mg/kg administreras med tabletten.</w:t>
      </w:r>
    </w:p>
    <w:p w14:paraId="6F49F689" w14:textId="77777777" w:rsidR="00B13606" w:rsidRPr="00024916" w:rsidRDefault="00B13606" w:rsidP="00A52061">
      <w:pPr>
        <w:pStyle w:val="Brdtext"/>
        <w:spacing w:before="10"/>
      </w:pPr>
    </w:p>
    <w:p w14:paraId="0383D139" w14:textId="77777777" w:rsidR="004E3AB2" w:rsidRPr="00024916" w:rsidRDefault="00B13606" w:rsidP="00A52061">
      <w:pPr>
        <w:pStyle w:val="Brdtext"/>
      </w:pPr>
      <w:r w:rsidRPr="00024916">
        <w:t>För närvarande saknas tillräckligt med säkerhetsdata för att kunna rekommendera Abacavir Accord till barn yngre än tre månader. De begränsade data som föreligger pekar på att dosen 2</w:t>
      </w:r>
      <w:r w:rsidR="004E3AB2" w:rsidRPr="00024916">
        <w:t> </w:t>
      </w:r>
      <w:r w:rsidRPr="00024916">
        <w:t>mg/kg oral lösning till barn yngre än 30</w:t>
      </w:r>
      <w:r w:rsidR="004E3AB2" w:rsidRPr="00024916">
        <w:t> </w:t>
      </w:r>
      <w:r w:rsidRPr="00024916">
        <w:t>dagar ger upphov till liknande eller högre AUC jämfört med dosen 8</w:t>
      </w:r>
      <w:r w:rsidR="004E3AB2" w:rsidRPr="00024916">
        <w:t> </w:t>
      </w:r>
      <w:r w:rsidRPr="00024916">
        <w:t>mg/k</w:t>
      </w:r>
      <w:r w:rsidR="004E3AB2" w:rsidRPr="00024916">
        <w:t>g oral lösning till äldre barn.</w:t>
      </w:r>
    </w:p>
    <w:p w14:paraId="72FE1719" w14:textId="77777777" w:rsidR="004E3AB2" w:rsidRPr="00024916" w:rsidRDefault="004E3AB2" w:rsidP="00A52061">
      <w:pPr>
        <w:pStyle w:val="Brdtext"/>
      </w:pPr>
    </w:p>
    <w:p w14:paraId="18C91E68" w14:textId="77777777" w:rsidR="004E3AB2" w:rsidRPr="00024916" w:rsidRDefault="00B13606" w:rsidP="00A52061">
      <w:pPr>
        <w:pStyle w:val="Brdtext"/>
      </w:pPr>
      <w:r w:rsidRPr="00024916">
        <w:t>Farmakokinetisk data har erhållits från 3</w:t>
      </w:r>
      <w:r w:rsidR="004E3AB2" w:rsidRPr="00024916">
        <w:t> </w:t>
      </w:r>
      <w:r w:rsidRPr="00024916">
        <w:t>farmakokinetiska studier (PENTA</w:t>
      </w:r>
      <w:r w:rsidR="004E3AB2" w:rsidRPr="00024916">
        <w:t> </w:t>
      </w:r>
      <w:r w:rsidRPr="00024916">
        <w:t>13, PENTA</w:t>
      </w:r>
      <w:r w:rsidR="004E3AB2" w:rsidRPr="00024916">
        <w:t> </w:t>
      </w:r>
      <w:r w:rsidRPr="00024916">
        <w:t>15 och substudien ARROW PK) på barn yngre än 12</w:t>
      </w:r>
      <w:r w:rsidR="004E3AB2" w:rsidRPr="00024916">
        <w:t> </w:t>
      </w:r>
      <w:r w:rsidRPr="00024916">
        <w:t>år gamla. Data visas i tabellen nedan:</w:t>
      </w:r>
      <w:r w:rsidR="004E3AB2" w:rsidRPr="00024916">
        <w:t xml:space="preserve"> </w:t>
      </w:r>
    </w:p>
    <w:p w14:paraId="76A04D3A" w14:textId="77777777" w:rsidR="004E3AB2" w:rsidRPr="00024916" w:rsidRDefault="004E3AB2" w:rsidP="00A52061">
      <w:pPr>
        <w:pStyle w:val="Brdtext"/>
      </w:pPr>
    </w:p>
    <w:p w14:paraId="7EBF94EA" w14:textId="77777777" w:rsidR="00B13606" w:rsidRPr="00024916" w:rsidRDefault="004E3AB2" w:rsidP="00A52061">
      <w:pPr>
        <w:pStyle w:val="Brdtext"/>
        <w:keepNext/>
        <w:rPr>
          <w:b/>
        </w:rPr>
      </w:pPr>
      <w:r w:rsidRPr="00024916">
        <w:rPr>
          <w:b/>
        </w:rPr>
        <w:t>S</w:t>
      </w:r>
      <w:r w:rsidR="00B13606" w:rsidRPr="00024916">
        <w:rPr>
          <w:b/>
        </w:rPr>
        <w:t>a</w:t>
      </w:r>
      <w:r w:rsidRPr="00024916">
        <w:rPr>
          <w:b/>
        </w:rPr>
        <w:t>mmanfattning av abakavir AUC (0</w:t>
      </w:r>
      <w:r w:rsidRPr="00024916">
        <w:rPr>
          <w:b/>
        </w:rPr>
        <w:noBreakHyphen/>
      </w:r>
      <w:r w:rsidR="00B13606" w:rsidRPr="00024916">
        <w:rPr>
          <w:b/>
        </w:rPr>
        <w:t>24) (mikrog.h/ml) i plasma vid steady state och statistiska jämförelser för oral administrering en och två gånger dagligen mellan olika studier</w:t>
      </w:r>
    </w:p>
    <w:p w14:paraId="16C0D61D" w14:textId="77777777" w:rsidR="00B13606" w:rsidRPr="00024916" w:rsidRDefault="00B13606" w:rsidP="00A52061">
      <w:pPr>
        <w:pStyle w:val="Brdtext"/>
        <w:keepNext/>
        <w:spacing w:before="1"/>
        <w:rPr>
          <w:b/>
        </w:rPr>
      </w:pPr>
    </w:p>
    <w:tbl>
      <w:tblPr>
        <w:tblStyle w:val="TableNormal1"/>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8"/>
        <w:gridCol w:w="1822"/>
        <w:gridCol w:w="1822"/>
        <w:gridCol w:w="1822"/>
        <w:gridCol w:w="1805"/>
      </w:tblGrid>
      <w:tr w:rsidR="00B13606" w:rsidRPr="00024916" w14:paraId="76C3E3D7" w14:textId="77777777" w:rsidTr="00D22313">
        <w:trPr>
          <w:trHeight w:val="1960"/>
        </w:trPr>
        <w:tc>
          <w:tcPr>
            <w:tcW w:w="1788" w:type="dxa"/>
          </w:tcPr>
          <w:p w14:paraId="7EE2C8CF" w14:textId="77777777" w:rsidR="00B13606" w:rsidRPr="00024916" w:rsidRDefault="00B13606" w:rsidP="00A52061">
            <w:pPr>
              <w:pStyle w:val="TableParagraph"/>
              <w:keepNext/>
              <w:rPr>
                <w:b/>
                <w:lang w:val="sv-SE"/>
              </w:rPr>
            </w:pPr>
            <w:r w:rsidRPr="00024916">
              <w:rPr>
                <w:b/>
                <w:lang w:val="sv-SE"/>
              </w:rPr>
              <w:t>Studie</w:t>
            </w:r>
          </w:p>
        </w:tc>
        <w:tc>
          <w:tcPr>
            <w:tcW w:w="1822" w:type="dxa"/>
          </w:tcPr>
          <w:p w14:paraId="5D3EA8D4" w14:textId="77777777" w:rsidR="00B13606" w:rsidRPr="00024916" w:rsidRDefault="00B13606" w:rsidP="00A52061">
            <w:pPr>
              <w:pStyle w:val="TableParagraph"/>
              <w:keepNext/>
              <w:rPr>
                <w:b/>
                <w:lang w:val="sv-SE"/>
              </w:rPr>
            </w:pPr>
            <w:r w:rsidRPr="00024916">
              <w:rPr>
                <w:b/>
                <w:lang w:val="sv-SE"/>
              </w:rPr>
              <w:t>Åldersgrupp</w:t>
            </w:r>
          </w:p>
        </w:tc>
        <w:tc>
          <w:tcPr>
            <w:tcW w:w="1822" w:type="dxa"/>
          </w:tcPr>
          <w:p w14:paraId="47DFC221" w14:textId="77777777" w:rsidR="004E3AB2" w:rsidRPr="00024916" w:rsidRDefault="004E3AB2" w:rsidP="00A52061">
            <w:pPr>
              <w:pStyle w:val="TableParagraph"/>
              <w:keepNext/>
              <w:spacing w:before="27"/>
              <w:rPr>
                <w:b/>
                <w:lang w:val="sv-SE"/>
              </w:rPr>
            </w:pPr>
            <w:r w:rsidRPr="00024916">
              <w:rPr>
                <w:b/>
                <w:lang w:val="sv-SE"/>
              </w:rPr>
              <w:t>Abakavir</w:t>
            </w:r>
          </w:p>
          <w:p w14:paraId="6E274227" w14:textId="77777777" w:rsidR="00B13606" w:rsidRPr="00024916" w:rsidRDefault="00B13606" w:rsidP="00A52061">
            <w:pPr>
              <w:pStyle w:val="TableParagraph"/>
              <w:keepNext/>
              <w:spacing w:before="27"/>
              <w:rPr>
                <w:b/>
                <w:lang w:val="sv-SE"/>
              </w:rPr>
            </w:pPr>
            <w:r w:rsidRPr="00024916">
              <w:rPr>
                <w:b/>
                <w:lang w:val="sv-SE"/>
              </w:rPr>
              <w:t>16</w:t>
            </w:r>
            <w:r w:rsidR="004E3AB2" w:rsidRPr="00024916">
              <w:rPr>
                <w:b/>
                <w:lang w:val="sv-SE"/>
              </w:rPr>
              <w:t> </w:t>
            </w:r>
            <w:r w:rsidRPr="00024916">
              <w:rPr>
                <w:b/>
                <w:lang w:val="sv-SE"/>
              </w:rPr>
              <w:t xml:space="preserve">mg/kg Dosering </w:t>
            </w:r>
            <w:r w:rsidRPr="00024916">
              <w:rPr>
                <w:b/>
                <w:spacing w:val="-7"/>
                <w:lang w:val="sv-SE"/>
              </w:rPr>
              <w:t>en</w:t>
            </w:r>
            <w:r w:rsidR="004E3AB2" w:rsidRPr="00024916">
              <w:rPr>
                <w:b/>
                <w:spacing w:val="-7"/>
                <w:lang w:val="sv-SE"/>
              </w:rPr>
              <w:t xml:space="preserve"> </w:t>
            </w:r>
            <w:r w:rsidRPr="00024916">
              <w:rPr>
                <w:b/>
                <w:lang w:val="sv-SE"/>
              </w:rPr>
              <w:t xml:space="preserve">gång </w:t>
            </w:r>
            <w:r w:rsidRPr="00024916">
              <w:rPr>
                <w:b/>
                <w:spacing w:val="-3"/>
                <w:lang w:val="sv-SE"/>
              </w:rPr>
              <w:t xml:space="preserve">dagligen </w:t>
            </w:r>
            <w:r w:rsidRPr="00024916">
              <w:rPr>
                <w:b/>
                <w:lang w:val="sv-SE"/>
              </w:rPr>
              <w:t>Geometriskt medelvärde</w:t>
            </w:r>
          </w:p>
          <w:p w14:paraId="7321CE06" w14:textId="77777777" w:rsidR="00B13606" w:rsidRPr="00024916" w:rsidRDefault="00B13606" w:rsidP="00A52061">
            <w:pPr>
              <w:pStyle w:val="TableParagraph"/>
              <w:keepNext/>
              <w:rPr>
                <w:b/>
                <w:lang w:val="sv-SE"/>
              </w:rPr>
            </w:pPr>
            <w:r w:rsidRPr="00024916">
              <w:rPr>
                <w:b/>
                <w:lang w:val="sv-SE"/>
              </w:rPr>
              <w:t>(95% KI)</w:t>
            </w:r>
          </w:p>
        </w:tc>
        <w:tc>
          <w:tcPr>
            <w:tcW w:w="1822" w:type="dxa"/>
          </w:tcPr>
          <w:p w14:paraId="72E99FC2" w14:textId="77777777" w:rsidR="004E3AB2" w:rsidRPr="00024916" w:rsidRDefault="004E3AB2" w:rsidP="00A52061">
            <w:pPr>
              <w:pStyle w:val="TableParagraph"/>
              <w:keepNext/>
              <w:spacing w:before="27"/>
              <w:rPr>
                <w:b/>
                <w:lang w:val="sv-SE"/>
              </w:rPr>
            </w:pPr>
            <w:r w:rsidRPr="00024916">
              <w:rPr>
                <w:b/>
                <w:lang w:val="sv-SE"/>
              </w:rPr>
              <w:t>Abakavir</w:t>
            </w:r>
          </w:p>
          <w:p w14:paraId="07A2BEC1" w14:textId="77777777" w:rsidR="00B13606" w:rsidRPr="00024916" w:rsidRDefault="00B13606" w:rsidP="00A52061">
            <w:pPr>
              <w:pStyle w:val="TableParagraph"/>
              <w:keepNext/>
              <w:spacing w:before="27"/>
              <w:rPr>
                <w:b/>
                <w:lang w:val="sv-SE"/>
              </w:rPr>
            </w:pPr>
            <w:r w:rsidRPr="00024916">
              <w:rPr>
                <w:b/>
                <w:lang w:val="sv-SE"/>
              </w:rPr>
              <w:t>8</w:t>
            </w:r>
            <w:r w:rsidR="004E3AB2" w:rsidRPr="00024916">
              <w:rPr>
                <w:b/>
                <w:lang w:val="sv-SE"/>
              </w:rPr>
              <w:t> </w:t>
            </w:r>
            <w:r w:rsidRPr="00024916">
              <w:rPr>
                <w:b/>
                <w:lang w:val="sv-SE"/>
              </w:rPr>
              <w:t>mg/kg</w:t>
            </w:r>
            <w:r w:rsidR="004E3AB2" w:rsidRPr="00024916">
              <w:rPr>
                <w:b/>
                <w:lang w:val="sv-SE"/>
              </w:rPr>
              <w:t xml:space="preserve"> </w:t>
            </w:r>
            <w:r w:rsidRPr="00024916">
              <w:rPr>
                <w:b/>
                <w:lang w:val="sv-SE"/>
              </w:rPr>
              <w:t>Dosering två gånger dagligen Geometriskt medelvärde</w:t>
            </w:r>
          </w:p>
          <w:p w14:paraId="097CAD89" w14:textId="77777777" w:rsidR="00B13606" w:rsidRPr="00024916" w:rsidRDefault="00B13606" w:rsidP="00A52061">
            <w:pPr>
              <w:pStyle w:val="TableParagraph"/>
              <w:keepNext/>
              <w:rPr>
                <w:b/>
                <w:lang w:val="sv-SE"/>
              </w:rPr>
            </w:pPr>
            <w:r w:rsidRPr="00024916">
              <w:rPr>
                <w:b/>
                <w:lang w:val="sv-SE"/>
              </w:rPr>
              <w:t>(95% KI)</w:t>
            </w:r>
          </w:p>
        </w:tc>
        <w:tc>
          <w:tcPr>
            <w:tcW w:w="1805" w:type="dxa"/>
          </w:tcPr>
          <w:p w14:paraId="0F1A15D2" w14:textId="77777777" w:rsidR="00B13606" w:rsidRPr="00024916" w:rsidRDefault="00B13606" w:rsidP="00A52061">
            <w:pPr>
              <w:pStyle w:val="TableParagraph"/>
              <w:keepNext/>
              <w:spacing w:before="27"/>
              <w:rPr>
                <w:b/>
                <w:lang w:val="sv-SE"/>
              </w:rPr>
            </w:pPr>
            <w:r w:rsidRPr="00024916">
              <w:rPr>
                <w:b/>
                <w:lang w:val="sv-SE"/>
              </w:rPr>
              <w:t>Jämförelse mellan dosering en och två gånger dagligen GLS mean ratio (90</w:t>
            </w:r>
            <w:r w:rsidR="004E3AB2" w:rsidRPr="00024916">
              <w:rPr>
                <w:b/>
                <w:lang w:val="sv-SE"/>
              </w:rPr>
              <w:t> </w:t>
            </w:r>
            <w:r w:rsidRPr="00024916">
              <w:rPr>
                <w:b/>
                <w:lang w:val="sv-SE"/>
              </w:rPr>
              <w:t>% Kl)</w:t>
            </w:r>
          </w:p>
        </w:tc>
      </w:tr>
      <w:tr w:rsidR="00B13606" w:rsidRPr="00024916" w14:paraId="0F5E25B3" w14:textId="77777777" w:rsidTr="00D22313">
        <w:trPr>
          <w:trHeight w:val="297"/>
        </w:trPr>
        <w:tc>
          <w:tcPr>
            <w:tcW w:w="1788" w:type="dxa"/>
            <w:tcBorders>
              <w:bottom w:val="nil"/>
            </w:tcBorders>
          </w:tcPr>
          <w:p w14:paraId="5408A50B" w14:textId="77777777" w:rsidR="00B13606" w:rsidRPr="00024916" w:rsidRDefault="00B13606" w:rsidP="00A52061">
            <w:pPr>
              <w:pStyle w:val="TableParagraph"/>
              <w:keepNext/>
              <w:spacing w:before="27"/>
              <w:rPr>
                <w:lang w:val="sv-SE"/>
              </w:rPr>
            </w:pPr>
            <w:r w:rsidRPr="00024916">
              <w:rPr>
                <w:lang w:val="sv-SE"/>
              </w:rPr>
              <w:t>ARROW PK</w:t>
            </w:r>
          </w:p>
        </w:tc>
        <w:tc>
          <w:tcPr>
            <w:tcW w:w="1822" w:type="dxa"/>
            <w:tcBorders>
              <w:bottom w:val="nil"/>
            </w:tcBorders>
          </w:tcPr>
          <w:p w14:paraId="6AB06D3C" w14:textId="77777777" w:rsidR="00B13606" w:rsidRPr="00024916" w:rsidRDefault="00B13606" w:rsidP="00A52061">
            <w:pPr>
              <w:pStyle w:val="TableParagraph"/>
              <w:keepNext/>
              <w:spacing w:before="27"/>
              <w:rPr>
                <w:lang w:val="sv-SE"/>
              </w:rPr>
            </w:pPr>
            <w:r w:rsidRPr="00024916">
              <w:rPr>
                <w:lang w:val="sv-SE"/>
              </w:rPr>
              <w:t>3 till 12</w:t>
            </w:r>
            <w:r w:rsidR="004E3AB2" w:rsidRPr="00024916">
              <w:rPr>
                <w:lang w:val="sv-SE"/>
              </w:rPr>
              <w:t> </w:t>
            </w:r>
            <w:r w:rsidRPr="00024916">
              <w:rPr>
                <w:lang w:val="sv-SE"/>
              </w:rPr>
              <w:t>år</w:t>
            </w:r>
          </w:p>
        </w:tc>
        <w:tc>
          <w:tcPr>
            <w:tcW w:w="1822" w:type="dxa"/>
            <w:tcBorders>
              <w:bottom w:val="nil"/>
            </w:tcBorders>
          </w:tcPr>
          <w:p w14:paraId="0D5B99A0" w14:textId="77777777" w:rsidR="00B13606" w:rsidRPr="00024916" w:rsidRDefault="00B13606" w:rsidP="00A52061">
            <w:pPr>
              <w:pStyle w:val="TableParagraph"/>
              <w:keepNext/>
              <w:spacing w:before="27"/>
              <w:rPr>
                <w:lang w:val="sv-SE"/>
              </w:rPr>
            </w:pPr>
            <w:r w:rsidRPr="00024916">
              <w:rPr>
                <w:lang w:val="sv-SE"/>
              </w:rPr>
              <w:t>15,3</w:t>
            </w:r>
          </w:p>
        </w:tc>
        <w:tc>
          <w:tcPr>
            <w:tcW w:w="1822" w:type="dxa"/>
            <w:tcBorders>
              <w:bottom w:val="nil"/>
            </w:tcBorders>
          </w:tcPr>
          <w:p w14:paraId="0E214826" w14:textId="77777777" w:rsidR="00B13606" w:rsidRPr="00024916" w:rsidRDefault="00B13606" w:rsidP="00A52061">
            <w:pPr>
              <w:pStyle w:val="TableParagraph"/>
              <w:keepNext/>
              <w:spacing w:before="27"/>
              <w:rPr>
                <w:lang w:val="sv-SE"/>
              </w:rPr>
            </w:pPr>
            <w:r w:rsidRPr="00024916">
              <w:rPr>
                <w:lang w:val="sv-SE"/>
              </w:rPr>
              <w:t>15,6</w:t>
            </w:r>
          </w:p>
        </w:tc>
        <w:tc>
          <w:tcPr>
            <w:tcW w:w="1805" w:type="dxa"/>
            <w:tcBorders>
              <w:bottom w:val="nil"/>
            </w:tcBorders>
          </w:tcPr>
          <w:p w14:paraId="2DD9960C" w14:textId="77777777" w:rsidR="00B13606" w:rsidRPr="00024916" w:rsidRDefault="00B13606" w:rsidP="00A52061">
            <w:pPr>
              <w:pStyle w:val="TableParagraph"/>
              <w:keepNext/>
              <w:spacing w:before="27"/>
              <w:rPr>
                <w:lang w:val="sv-SE"/>
              </w:rPr>
            </w:pPr>
            <w:r w:rsidRPr="00024916">
              <w:rPr>
                <w:lang w:val="sv-SE"/>
              </w:rPr>
              <w:t>0,98</w:t>
            </w:r>
          </w:p>
        </w:tc>
      </w:tr>
      <w:tr w:rsidR="00B13606" w:rsidRPr="00024916" w14:paraId="398C0477" w14:textId="77777777" w:rsidTr="00D22313">
        <w:trPr>
          <w:trHeight w:val="279"/>
        </w:trPr>
        <w:tc>
          <w:tcPr>
            <w:tcW w:w="1788" w:type="dxa"/>
            <w:tcBorders>
              <w:top w:val="nil"/>
              <w:bottom w:val="nil"/>
            </w:tcBorders>
          </w:tcPr>
          <w:p w14:paraId="29D9079D" w14:textId="77777777" w:rsidR="00B13606" w:rsidRPr="00024916" w:rsidRDefault="00B13606" w:rsidP="00A52061">
            <w:pPr>
              <w:pStyle w:val="TableParagraph"/>
              <w:keepNext/>
              <w:spacing w:before="8"/>
              <w:rPr>
                <w:lang w:val="sv-SE"/>
              </w:rPr>
            </w:pPr>
            <w:r w:rsidRPr="00024916">
              <w:rPr>
                <w:lang w:val="sv-SE"/>
              </w:rPr>
              <w:t>Substudie</w:t>
            </w:r>
          </w:p>
        </w:tc>
        <w:tc>
          <w:tcPr>
            <w:tcW w:w="1822" w:type="dxa"/>
            <w:tcBorders>
              <w:top w:val="nil"/>
              <w:bottom w:val="nil"/>
            </w:tcBorders>
          </w:tcPr>
          <w:p w14:paraId="0605E5BC" w14:textId="77777777" w:rsidR="00B13606" w:rsidRPr="00024916" w:rsidRDefault="00B13606" w:rsidP="00A52061">
            <w:pPr>
              <w:pStyle w:val="TableParagraph"/>
              <w:keepNext/>
              <w:spacing w:before="8"/>
              <w:rPr>
                <w:lang w:val="sv-SE"/>
              </w:rPr>
            </w:pPr>
            <w:r w:rsidRPr="00024916">
              <w:rPr>
                <w:lang w:val="sv-SE"/>
              </w:rPr>
              <w:t>(N=36)</w:t>
            </w:r>
          </w:p>
        </w:tc>
        <w:tc>
          <w:tcPr>
            <w:tcW w:w="1822" w:type="dxa"/>
            <w:tcBorders>
              <w:top w:val="nil"/>
              <w:bottom w:val="nil"/>
            </w:tcBorders>
          </w:tcPr>
          <w:p w14:paraId="2B4B0CA7" w14:textId="77777777" w:rsidR="00B13606" w:rsidRPr="00024916" w:rsidRDefault="00B13606" w:rsidP="00A52061">
            <w:pPr>
              <w:pStyle w:val="TableParagraph"/>
              <w:keepNext/>
              <w:spacing w:before="8"/>
              <w:rPr>
                <w:lang w:val="sv-SE"/>
              </w:rPr>
            </w:pPr>
            <w:r w:rsidRPr="00024916">
              <w:rPr>
                <w:lang w:val="sv-SE"/>
              </w:rPr>
              <w:t>(13,3</w:t>
            </w:r>
            <w:r w:rsidR="004E3AB2" w:rsidRPr="00024916">
              <w:rPr>
                <w:lang w:val="sv-SE"/>
              </w:rPr>
              <w:noBreakHyphen/>
            </w:r>
            <w:r w:rsidRPr="00024916">
              <w:rPr>
                <w:lang w:val="sv-SE"/>
              </w:rPr>
              <w:t>17,5)</w:t>
            </w:r>
          </w:p>
        </w:tc>
        <w:tc>
          <w:tcPr>
            <w:tcW w:w="1822" w:type="dxa"/>
            <w:tcBorders>
              <w:top w:val="nil"/>
              <w:bottom w:val="nil"/>
            </w:tcBorders>
          </w:tcPr>
          <w:p w14:paraId="793134B6" w14:textId="77777777" w:rsidR="00B13606" w:rsidRPr="00024916" w:rsidRDefault="004E3AB2" w:rsidP="00A52061">
            <w:pPr>
              <w:pStyle w:val="TableParagraph"/>
              <w:keepNext/>
              <w:spacing w:before="8"/>
              <w:rPr>
                <w:lang w:val="sv-SE"/>
              </w:rPr>
            </w:pPr>
            <w:r w:rsidRPr="00024916">
              <w:rPr>
                <w:lang w:val="sv-SE"/>
              </w:rPr>
              <w:t>(13,7</w:t>
            </w:r>
            <w:r w:rsidRPr="00024916">
              <w:rPr>
                <w:lang w:val="sv-SE"/>
              </w:rPr>
              <w:noBreakHyphen/>
            </w:r>
            <w:r w:rsidR="00B13606" w:rsidRPr="00024916">
              <w:rPr>
                <w:lang w:val="sv-SE"/>
              </w:rPr>
              <w:t>17,8)</w:t>
            </w:r>
          </w:p>
        </w:tc>
        <w:tc>
          <w:tcPr>
            <w:tcW w:w="1805" w:type="dxa"/>
            <w:tcBorders>
              <w:top w:val="nil"/>
              <w:bottom w:val="nil"/>
            </w:tcBorders>
          </w:tcPr>
          <w:p w14:paraId="6FC02659" w14:textId="77777777" w:rsidR="00B13606" w:rsidRPr="00024916" w:rsidRDefault="00B13606" w:rsidP="00A52061">
            <w:pPr>
              <w:pStyle w:val="TableParagraph"/>
              <w:keepNext/>
              <w:spacing w:before="8"/>
              <w:rPr>
                <w:lang w:val="sv-SE"/>
              </w:rPr>
            </w:pPr>
            <w:r w:rsidRPr="00024916">
              <w:rPr>
                <w:lang w:val="sv-SE"/>
              </w:rPr>
              <w:t>(0,89, 1,08)</w:t>
            </w:r>
          </w:p>
        </w:tc>
      </w:tr>
      <w:tr w:rsidR="00B13606" w:rsidRPr="00024916" w14:paraId="5113EA6C" w14:textId="77777777" w:rsidTr="00D22313">
        <w:trPr>
          <w:trHeight w:val="262"/>
        </w:trPr>
        <w:tc>
          <w:tcPr>
            <w:tcW w:w="1788" w:type="dxa"/>
            <w:tcBorders>
              <w:top w:val="nil"/>
            </w:tcBorders>
          </w:tcPr>
          <w:p w14:paraId="4B9424DE" w14:textId="77777777" w:rsidR="00B13606" w:rsidRPr="00024916" w:rsidRDefault="00B13606" w:rsidP="00A52061">
            <w:pPr>
              <w:pStyle w:val="TableParagraph"/>
              <w:keepNext/>
              <w:spacing w:before="9"/>
              <w:rPr>
                <w:lang w:val="sv-SE"/>
              </w:rPr>
            </w:pPr>
            <w:r w:rsidRPr="00024916">
              <w:rPr>
                <w:lang w:val="sv-SE"/>
              </w:rPr>
              <w:t>Del 1</w:t>
            </w:r>
          </w:p>
        </w:tc>
        <w:tc>
          <w:tcPr>
            <w:tcW w:w="1822" w:type="dxa"/>
            <w:tcBorders>
              <w:top w:val="nil"/>
            </w:tcBorders>
          </w:tcPr>
          <w:p w14:paraId="0D57381C" w14:textId="77777777" w:rsidR="00B13606" w:rsidRPr="00024916" w:rsidRDefault="00B13606" w:rsidP="00A52061">
            <w:pPr>
              <w:pStyle w:val="TableParagraph"/>
              <w:keepNext/>
              <w:rPr>
                <w:lang w:val="sv-SE"/>
              </w:rPr>
            </w:pPr>
          </w:p>
        </w:tc>
        <w:tc>
          <w:tcPr>
            <w:tcW w:w="1822" w:type="dxa"/>
            <w:tcBorders>
              <w:top w:val="nil"/>
            </w:tcBorders>
          </w:tcPr>
          <w:p w14:paraId="66104D61" w14:textId="77777777" w:rsidR="00B13606" w:rsidRPr="00024916" w:rsidRDefault="00B13606" w:rsidP="00A52061">
            <w:pPr>
              <w:pStyle w:val="TableParagraph"/>
              <w:keepNext/>
              <w:rPr>
                <w:lang w:val="sv-SE"/>
              </w:rPr>
            </w:pPr>
          </w:p>
        </w:tc>
        <w:tc>
          <w:tcPr>
            <w:tcW w:w="1822" w:type="dxa"/>
            <w:tcBorders>
              <w:top w:val="nil"/>
            </w:tcBorders>
          </w:tcPr>
          <w:p w14:paraId="1A757FD2" w14:textId="77777777" w:rsidR="00B13606" w:rsidRPr="00024916" w:rsidRDefault="00B13606" w:rsidP="00A52061">
            <w:pPr>
              <w:pStyle w:val="TableParagraph"/>
              <w:keepNext/>
              <w:rPr>
                <w:lang w:val="sv-SE"/>
              </w:rPr>
            </w:pPr>
          </w:p>
        </w:tc>
        <w:tc>
          <w:tcPr>
            <w:tcW w:w="1805" w:type="dxa"/>
            <w:tcBorders>
              <w:top w:val="nil"/>
            </w:tcBorders>
          </w:tcPr>
          <w:p w14:paraId="28B55F40" w14:textId="77777777" w:rsidR="00B13606" w:rsidRPr="00024916" w:rsidRDefault="00B13606" w:rsidP="00A52061">
            <w:pPr>
              <w:pStyle w:val="TableParagraph"/>
              <w:keepNext/>
              <w:rPr>
                <w:lang w:val="sv-SE"/>
              </w:rPr>
            </w:pPr>
          </w:p>
        </w:tc>
      </w:tr>
      <w:tr w:rsidR="00B13606" w:rsidRPr="00024916" w14:paraId="6B96BA90" w14:textId="77777777" w:rsidTr="00D22313">
        <w:trPr>
          <w:trHeight w:val="297"/>
        </w:trPr>
        <w:tc>
          <w:tcPr>
            <w:tcW w:w="1788" w:type="dxa"/>
            <w:tcBorders>
              <w:bottom w:val="nil"/>
            </w:tcBorders>
          </w:tcPr>
          <w:p w14:paraId="041518B7" w14:textId="77777777" w:rsidR="00B13606" w:rsidRPr="00024916" w:rsidRDefault="00B13606" w:rsidP="00A52061">
            <w:pPr>
              <w:pStyle w:val="TableParagraph"/>
              <w:keepNext/>
              <w:spacing w:before="27"/>
              <w:rPr>
                <w:lang w:val="sv-SE"/>
              </w:rPr>
            </w:pPr>
            <w:r w:rsidRPr="00024916">
              <w:rPr>
                <w:lang w:val="sv-SE"/>
              </w:rPr>
              <w:t>PENTA</w:t>
            </w:r>
            <w:r w:rsidR="00A52061" w:rsidRPr="00024916">
              <w:rPr>
                <w:lang w:val="sv-SE"/>
              </w:rPr>
              <w:t> </w:t>
            </w:r>
            <w:r w:rsidRPr="00024916">
              <w:rPr>
                <w:lang w:val="sv-SE"/>
              </w:rPr>
              <w:t>13</w:t>
            </w:r>
          </w:p>
        </w:tc>
        <w:tc>
          <w:tcPr>
            <w:tcW w:w="1822" w:type="dxa"/>
            <w:tcBorders>
              <w:bottom w:val="nil"/>
            </w:tcBorders>
          </w:tcPr>
          <w:p w14:paraId="3861D20A" w14:textId="77777777" w:rsidR="00B13606" w:rsidRPr="00024916" w:rsidRDefault="00B13606" w:rsidP="00A52061">
            <w:pPr>
              <w:pStyle w:val="TableParagraph"/>
              <w:keepNext/>
              <w:spacing w:before="27"/>
              <w:rPr>
                <w:lang w:val="sv-SE"/>
              </w:rPr>
            </w:pPr>
            <w:r w:rsidRPr="00024916">
              <w:rPr>
                <w:lang w:val="sv-SE"/>
              </w:rPr>
              <w:t>2 till 12</w:t>
            </w:r>
            <w:r w:rsidR="00A52061" w:rsidRPr="00024916">
              <w:rPr>
                <w:lang w:val="sv-SE"/>
              </w:rPr>
              <w:t> </w:t>
            </w:r>
            <w:r w:rsidRPr="00024916">
              <w:rPr>
                <w:lang w:val="sv-SE"/>
              </w:rPr>
              <w:t>år</w:t>
            </w:r>
          </w:p>
        </w:tc>
        <w:tc>
          <w:tcPr>
            <w:tcW w:w="1822" w:type="dxa"/>
            <w:tcBorders>
              <w:bottom w:val="nil"/>
            </w:tcBorders>
          </w:tcPr>
          <w:p w14:paraId="1BC38DE5" w14:textId="77777777" w:rsidR="00B13606" w:rsidRPr="00024916" w:rsidRDefault="00B13606" w:rsidP="00A52061">
            <w:pPr>
              <w:pStyle w:val="TableParagraph"/>
              <w:keepNext/>
              <w:spacing w:before="27"/>
              <w:rPr>
                <w:lang w:val="sv-SE"/>
              </w:rPr>
            </w:pPr>
            <w:r w:rsidRPr="00024916">
              <w:rPr>
                <w:lang w:val="sv-SE"/>
              </w:rPr>
              <w:t>13,4</w:t>
            </w:r>
          </w:p>
        </w:tc>
        <w:tc>
          <w:tcPr>
            <w:tcW w:w="1822" w:type="dxa"/>
            <w:tcBorders>
              <w:bottom w:val="nil"/>
            </w:tcBorders>
          </w:tcPr>
          <w:p w14:paraId="38274FE0" w14:textId="77777777" w:rsidR="00B13606" w:rsidRPr="00024916" w:rsidRDefault="00B13606" w:rsidP="00A52061">
            <w:pPr>
              <w:pStyle w:val="TableParagraph"/>
              <w:keepNext/>
              <w:spacing w:before="27"/>
              <w:rPr>
                <w:lang w:val="sv-SE"/>
              </w:rPr>
            </w:pPr>
            <w:r w:rsidRPr="00024916">
              <w:rPr>
                <w:lang w:val="sv-SE"/>
              </w:rPr>
              <w:t>9,91</w:t>
            </w:r>
          </w:p>
        </w:tc>
        <w:tc>
          <w:tcPr>
            <w:tcW w:w="1805" w:type="dxa"/>
            <w:tcBorders>
              <w:bottom w:val="nil"/>
            </w:tcBorders>
          </w:tcPr>
          <w:p w14:paraId="57301B5E" w14:textId="77777777" w:rsidR="00B13606" w:rsidRPr="00024916" w:rsidRDefault="00B13606" w:rsidP="00A52061">
            <w:pPr>
              <w:pStyle w:val="TableParagraph"/>
              <w:keepNext/>
              <w:spacing w:before="27"/>
              <w:rPr>
                <w:lang w:val="sv-SE"/>
              </w:rPr>
            </w:pPr>
            <w:r w:rsidRPr="00024916">
              <w:rPr>
                <w:lang w:val="sv-SE"/>
              </w:rPr>
              <w:t>1,35</w:t>
            </w:r>
          </w:p>
        </w:tc>
      </w:tr>
      <w:tr w:rsidR="00B13606" w:rsidRPr="00024916" w14:paraId="2702CD36" w14:textId="77777777" w:rsidTr="00D22313">
        <w:trPr>
          <w:trHeight w:val="261"/>
        </w:trPr>
        <w:tc>
          <w:tcPr>
            <w:tcW w:w="1788" w:type="dxa"/>
            <w:tcBorders>
              <w:top w:val="nil"/>
            </w:tcBorders>
          </w:tcPr>
          <w:p w14:paraId="10802937" w14:textId="77777777" w:rsidR="00B13606" w:rsidRPr="00024916" w:rsidRDefault="00B13606" w:rsidP="00A52061">
            <w:pPr>
              <w:pStyle w:val="TableParagraph"/>
              <w:keepNext/>
              <w:rPr>
                <w:lang w:val="sv-SE"/>
              </w:rPr>
            </w:pPr>
          </w:p>
        </w:tc>
        <w:tc>
          <w:tcPr>
            <w:tcW w:w="1822" w:type="dxa"/>
            <w:tcBorders>
              <w:top w:val="nil"/>
            </w:tcBorders>
          </w:tcPr>
          <w:p w14:paraId="1FB9E30C" w14:textId="77777777" w:rsidR="00B13606" w:rsidRPr="00024916" w:rsidRDefault="00B13606" w:rsidP="00A52061">
            <w:pPr>
              <w:pStyle w:val="TableParagraph"/>
              <w:keepNext/>
              <w:spacing w:before="8"/>
              <w:rPr>
                <w:lang w:val="sv-SE"/>
              </w:rPr>
            </w:pPr>
            <w:r w:rsidRPr="00024916">
              <w:rPr>
                <w:lang w:val="sv-SE"/>
              </w:rPr>
              <w:t>(N=14)</w:t>
            </w:r>
          </w:p>
        </w:tc>
        <w:tc>
          <w:tcPr>
            <w:tcW w:w="1822" w:type="dxa"/>
            <w:tcBorders>
              <w:top w:val="nil"/>
            </w:tcBorders>
          </w:tcPr>
          <w:p w14:paraId="39480273" w14:textId="77777777" w:rsidR="00B13606" w:rsidRPr="00024916" w:rsidRDefault="00B13606" w:rsidP="00A52061">
            <w:pPr>
              <w:pStyle w:val="TableParagraph"/>
              <w:keepNext/>
              <w:spacing w:before="8"/>
              <w:rPr>
                <w:lang w:val="sv-SE"/>
              </w:rPr>
            </w:pPr>
            <w:r w:rsidRPr="00024916">
              <w:rPr>
                <w:lang w:val="sv-SE"/>
              </w:rPr>
              <w:t>(11,8-15,2)</w:t>
            </w:r>
          </w:p>
        </w:tc>
        <w:tc>
          <w:tcPr>
            <w:tcW w:w="1822" w:type="dxa"/>
            <w:tcBorders>
              <w:top w:val="nil"/>
            </w:tcBorders>
          </w:tcPr>
          <w:p w14:paraId="1A92CD5F" w14:textId="77777777" w:rsidR="00B13606" w:rsidRPr="00024916" w:rsidRDefault="00B13606" w:rsidP="00A52061">
            <w:pPr>
              <w:pStyle w:val="TableParagraph"/>
              <w:keepNext/>
              <w:spacing w:before="8"/>
              <w:rPr>
                <w:lang w:val="sv-SE"/>
              </w:rPr>
            </w:pPr>
            <w:r w:rsidRPr="00024916">
              <w:rPr>
                <w:lang w:val="sv-SE"/>
              </w:rPr>
              <w:t>(8,3-11,9)</w:t>
            </w:r>
          </w:p>
        </w:tc>
        <w:tc>
          <w:tcPr>
            <w:tcW w:w="1805" w:type="dxa"/>
            <w:tcBorders>
              <w:top w:val="nil"/>
            </w:tcBorders>
          </w:tcPr>
          <w:p w14:paraId="0CDD75F4" w14:textId="77777777" w:rsidR="00B13606" w:rsidRPr="00024916" w:rsidRDefault="00B13606" w:rsidP="00A52061">
            <w:pPr>
              <w:pStyle w:val="TableParagraph"/>
              <w:keepNext/>
              <w:spacing w:before="8"/>
              <w:rPr>
                <w:lang w:val="sv-SE"/>
              </w:rPr>
            </w:pPr>
            <w:r w:rsidRPr="00024916">
              <w:rPr>
                <w:lang w:val="sv-SE"/>
              </w:rPr>
              <w:t>(1,19-1,54)</w:t>
            </w:r>
          </w:p>
        </w:tc>
      </w:tr>
      <w:tr w:rsidR="00B13606" w:rsidRPr="00024916" w14:paraId="7897B8DA" w14:textId="77777777" w:rsidTr="00D22313">
        <w:trPr>
          <w:trHeight w:val="298"/>
        </w:trPr>
        <w:tc>
          <w:tcPr>
            <w:tcW w:w="1788" w:type="dxa"/>
            <w:tcBorders>
              <w:bottom w:val="nil"/>
            </w:tcBorders>
          </w:tcPr>
          <w:p w14:paraId="3187539B" w14:textId="77777777" w:rsidR="00B13606" w:rsidRPr="00024916" w:rsidRDefault="00B13606" w:rsidP="00A52061">
            <w:pPr>
              <w:pStyle w:val="TableParagraph"/>
              <w:keepNext/>
              <w:spacing w:before="27"/>
              <w:rPr>
                <w:lang w:val="sv-SE"/>
              </w:rPr>
            </w:pPr>
            <w:r w:rsidRPr="00024916">
              <w:rPr>
                <w:lang w:val="sv-SE"/>
              </w:rPr>
              <w:t>PENTA</w:t>
            </w:r>
            <w:r w:rsidR="00A52061" w:rsidRPr="00024916">
              <w:rPr>
                <w:lang w:val="sv-SE"/>
              </w:rPr>
              <w:t> </w:t>
            </w:r>
            <w:r w:rsidRPr="00024916">
              <w:rPr>
                <w:lang w:val="sv-SE"/>
              </w:rPr>
              <w:t>15</w:t>
            </w:r>
          </w:p>
        </w:tc>
        <w:tc>
          <w:tcPr>
            <w:tcW w:w="1822" w:type="dxa"/>
            <w:tcBorders>
              <w:bottom w:val="nil"/>
            </w:tcBorders>
          </w:tcPr>
          <w:p w14:paraId="2F9F239F" w14:textId="77777777" w:rsidR="00B13606" w:rsidRPr="00024916" w:rsidRDefault="00B13606" w:rsidP="00A52061">
            <w:pPr>
              <w:pStyle w:val="TableParagraph"/>
              <w:keepNext/>
              <w:spacing w:before="27"/>
              <w:rPr>
                <w:lang w:val="sv-SE"/>
              </w:rPr>
            </w:pPr>
            <w:r w:rsidRPr="00024916">
              <w:rPr>
                <w:lang w:val="sv-SE"/>
              </w:rPr>
              <w:t>3 till 36</w:t>
            </w:r>
            <w:r w:rsidR="00A52061" w:rsidRPr="00024916">
              <w:rPr>
                <w:lang w:val="sv-SE"/>
              </w:rPr>
              <w:t> </w:t>
            </w:r>
            <w:r w:rsidRPr="00024916">
              <w:rPr>
                <w:lang w:val="sv-SE"/>
              </w:rPr>
              <w:t>månader</w:t>
            </w:r>
          </w:p>
        </w:tc>
        <w:tc>
          <w:tcPr>
            <w:tcW w:w="1822" w:type="dxa"/>
            <w:tcBorders>
              <w:bottom w:val="nil"/>
            </w:tcBorders>
          </w:tcPr>
          <w:p w14:paraId="07265B17" w14:textId="77777777" w:rsidR="00B13606" w:rsidRPr="00024916" w:rsidRDefault="00B13606" w:rsidP="00A52061">
            <w:pPr>
              <w:pStyle w:val="TableParagraph"/>
              <w:keepNext/>
              <w:spacing w:before="27"/>
              <w:rPr>
                <w:lang w:val="sv-SE"/>
              </w:rPr>
            </w:pPr>
            <w:r w:rsidRPr="00024916">
              <w:rPr>
                <w:lang w:val="sv-SE"/>
              </w:rPr>
              <w:t>11,6</w:t>
            </w:r>
          </w:p>
        </w:tc>
        <w:tc>
          <w:tcPr>
            <w:tcW w:w="1822" w:type="dxa"/>
            <w:tcBorders>
              <w:bottom w:val="nil"/>
            </w:tcBorders>
          </w:tcPr>
          <w:p w14:paraId="65812A0A" w14:textId="77777777" w:rsidR="00B13606" w:rsidRPr="00024916" w:rsidRDefault="00B13606" w:rsidP="00A52061">
            <w:pPr>
              <w:pStyle w:val="TableParagraph"/>
              <w:keepNext/>
              <w:spacing w:before="27"/>
              <w:rPr>
                <w:lang w:val="sv-SE"/>
              </w:rPr>
            </w:pPr>
            <w:r w:rsidRPr="00024916">
              <w:rPr>
                <w:lang w:val="sv-SE"/>
              </w:rPr>
              <w:t>10,9</w:t>
            </w:r>
          </w:p>
        </w:tc>
        <w:tc>
          <w:tcPr>
            <w:tcW w:w="1805" w:type="dxa"/>
            <w:tcBorders>
              <w:bottom w:val="nil"/>
            </w:tcBorders>
          </w:tcPr>
          <w:p w14:paraId="2736B3AD" w14:textId="77777777" w:rsidR="00B13606" w:rsidRPr="00024916" w:rsidRDefault="00B13606" w:rsidP="00A52061">
            <w:pPr>
              <w:pStyle w:val="TableParagraph"/>
              <w:keepNext/>
              <w:spacing w:before="27"/>
              <w:rPr>
                <w:lang w:val="sv-SE"/>
              </w:rPr>
            </w:pPr>
            <w:r w:rsidRPr="00024916">
              <w:rPr>
                <w:lang w:val="sv-SE"/>
              </w:rPr>
              <w:t>1,07</w:t>
            </w:r>
          </w:p>
        </w:tc>
      </w:tr>
      <w:tr w:rsidR="00B13606" w:rsidRPr="00024916" w14:paraId="40FE8370" w14:textId="77777777" w:rsidTr="00D22313">
        <w:trPr>
          <w:trHeight w:val="262"/>
        </w:trPr>
        <w:tc>
          <w:tcPr>
            <w:tcW w:w="1788" w:type="dxa"/>
            <w:tcBorders>
              <w:top w:val="nil"/>
            </w:tcBorders>
          </w:tcPr>
          <w:p w14:paraId="6F9B8E8F" w14:textId="77777777" w:rsidR="00B13606" w:rsidRPr="00024916" w:rsidRDefault="00B13606" w:rsidP="00A52061">
            <w:pPr>
              <w:pStyle w:val="TableParagraph"/>
              <w:keepNext/>
              <w:rPr>
                <w:lang w:val="sv-SE"/>
              </w:rPr>
            </w:pPr>
          </w:p>
        </w:tc>
        <w:tc>
          <w:tcPr>
            <w:tcW w:w="1822" w:type="dxa"/>
            <w:tcBorders>
              <w:top w:val="nil"/>
            </w:tcBorders>
          </w:tcPr>
          <w:p w14:paraId="3DB8FE75" w14:textId="77777777" w:rsidR="00B13606" w:rsidRPr="00024916" w:rsidRDefault="00B13606" w:rsidP="00A52061">
            <w:pPr>
              <w:pStyle w:val="TableParagraph"/>
              <w:keepNext/>
              <w:spacing w:before="9"/>
              <w:rPr>
                <w:lang w:val="sv-SE"/>
              </w:rPr>
            </w:pPr>
            <w:r w:rsidRPr="00024916">
              <w:rPr>
                <w:lang w:val="sv-SE"/>
              </w:rPr>
              <w:t>(N=18)</w:t>
            </w:r>
          </w:p>
        </w:tc>
        <w:tc>
          <w:tcPr>
            <w:tcW w:w="1822" w:type="dxa"/>
            <w:tcBorders>
              <w:top w:val="nil"/>
            </w:tcBorders>
          </w:tcPr>
          <w:p w14:paraId="7D06A7BD" w14:textId="77777777" w:rsidR="00B13606" w:rsidRPr="00024916" w:rsidRDefault="00B13606" w:rsidP="00A52061">
            <w:pPr>
              <w:pStyle w:val="TableParagraph"/>
              <w:keepNext/>
              <w:spacing w:before="9"/>
              <w:rPr>
                <w:lang w:val="sv-SE"/>
              </w:rPr>
            </w:pPr>
            <w:r w:rsidRPr="00024916">
              <w:rPr>
                <w:lang w:val="sv-SE"/>
              </w:rPr>
              <w:t>(9,89-13,5)</w:t>
            </w:r>
          </w:p>
        </w:tc>
        <w:tc>
          <w:tcPr>
            <w:tcW w:w="1822" w:type="dxa"/>
            <w:tcBorders>
              <w:top w:val="nil"/>
            </w:tcBorders>
          </w:tcPr>
          <w:p w14:paraId="035E0AAE" w14:textId="77777777" w:rsidR="00B13606" w:rsidRPr="00024916" w:rsidRDefault="00B13606" w:rsidP="00A52061">
            <w:pPr>
              <w:pStyle w:val="TableParagraph"/>
              <w:keepNext/>
              <w:spacing w:before="9"/>
              <w:rPr>
                <w:lang w:val="sv-SE"/>
              </w:rPr>
            </w:pPr>
            <w:r w:rsidRPr="00024916">
              <w:rPr>
                <w:lang w:val="sv-SE"/>
              </w:rPr>
              <w:t>(8,9-13,2)</w:t>
            </w:r>
          </w:p>
        </w:tc>
        <w:tc>
          <w:tcPr>
            <w:tcW w:w="1805" w:type="dxa"/>
            <w:tcBorders>
              <w:top w:val="nil"/>
            </w:tcBorders>
          </w:tcPr>
          <w:p w14:paraId="49CC62FE" w14:textId="77777777" w:rsidR="00B13606" w:rsidRPr="00024916" w:rsidRDefault="00B13606" w:rsidP="00A52061">
            <w:pPr>
              <w:pStyle w:val="TableParagraph"/>
              <w:keepNext/>
              <w:spacing w:before="9"/>
              <w:rPr>
                <w:lang w:val="sv-SE"/>
              </w:rPr>
            </w:pPr>
            <w:r w:rsidRPr="00024916">
              <w:rPr>
                <w:lang w:val="sv-SE"/>
              </w:rPr>
              <w:t>(0,92-1,23)</w:t>
            </w:r>
          </w:p>
        </w:tc>
      </w:tr>
    </w:tbl>
    <w:p w14:paraId="7F053F5E" w14:textId="77777777" w:rsidR="00B13606" w:rsidRPr="00024916" w:rsidRDefault="00B13606" w:rsidP="00A52061">
      <w:pPr>
        <w:pStyle w:val="Brdtext"/>
        <w:spacing w:before="11"/>
        <w:rPr>
          <w:b/>
        </w:rPr>
      </w:pPr>
    </w:p>
    <w:p w14:paraId="075CF7A2" w14:textId="77777777" w:rsidR="00B13606" w:rsidRPr="00024916" w:rsidRDefault="00B13606" w:rsidP="00A52061">
      <w:pPr>
        <w:pStyle w:val="Brdtext"/>
      </w:pPr>
      <w:r w:rsidRPr="00024916">
        <w:t>För de fyra patienterna i studien PENTA</w:t>
      </w:r>
      <w:r w:rsidR="00A52061" w:rsidRPr="00024916">
        <w:t> </w:t>
      </w:r>
      <w:r w:rsidRPr="00024916">
        <w:t>15 som var under 12</w:t>
      </w:r>
      <w:r w:rsidR="00A52061" w:rsidRPr="00024916">
        <w:t> </w:t>
      </w:r>
      <w:r w:rsidRPr="00024916">
        <w:t>månader och som bytte från doseringsregimen två gånger dagligen ti</w:t>
      </w:r>
      <w:r w:rsidR="00A52061" w:rsidRPr="00024916">
        <w:t>ll en gång dagligen (se avsnitt </w:t>
      </w:r>
      <w:r w:rsidRPr="00024916">
        <w:t>5.1) var det geometriska medelvärdet för AUC (0</w:t>
      </w:r>
      <w:r w:rsidR="00A52061" w:rsidRPr="00024916">
        <w:noBreakHyphen/>
      </w:r>
      <w:r w:rsidRPr="00024916">
        <w:t>24) (95</w:t>
      </w:r>
      <w:r w:rsidR="00A52061" w:rsidRPr="00024916">
        <w:t> </w:t>
      </w:r>
      <w:r w:rsidRPr="00024916">
        <w:t>% KI) för lamivudin i plasma 15,9 (8,86, 28,5)</w:t>
      </w:r>
      <w:r w:rsidR="00A52061" w:rsidRPr="00024916">
        <w:t> µ</w:t>
      </w:r>
      <w:r w:rsidRPr="00024916">
        <w:t>g.h/ml vid dosering en gång dagligen och 12,7</w:t>
      </w:r>
      <w:r w:rsidR="00A52061" w:rsidRPr="00024916">
        <w:t> </w:t>
      </w:r>
      <w:r w:rsidRPr="00024916">
        <w:t>(6,52, 24,6)</w:t>
      </w:r>
      <w:r w:rsidR="00A52061" w:rsidRPr="00024916">
        <w:t> </w:t>
      </w:r>
      <w:r w:rsidRPr="00024916">
        <w:t>µg.h/ml vid dosering två gånger dagligen.</w:t>
      </w:r>
    </w:p>
    <w:p w14:paraId="1494A658" w14:textId="77777777" w:rsidR="00B13606" w:rsidRPr="00024916" w:rsidRDefault="00B13606" w:rsidP="00A52061">
      <w:pPr>
        <w:pStyle w:val="Brdtext"/>
      </w:pPr>
    </w:p>
    <w:p w14:paraId="25BE430E" w14:textId="77777777" w:rsidR="00B13606" w:rsidRPr="00024916" w:rsidRDefault="00B13606" w:rsidP="00A52061">
      <w:pPr>
        <w:rPr>
          <w:i/>
        </w:rPr>
      </w:pPr>
      <w:r w:rsidRPr="00024916">
        <w:rPr>
          <w:i/>
        </w:rPr>
        <w:t>Äldre</w:t>
      </w:r>
    </w:p>
    <w:p w14:paraId="0F1F35B3" w14:textId="77777777" w:rsidR="00B13606" w:rsidRPr="00024916" w:rsidRDefault="00B13606" w:rsidP="00A52061">
      <w:pPr>
        <w:pStyle w:val="Brdtext"/>
      </w:pPr>
      <w:r w:rsidRPr="00024916">
        <w:t>Abakavirs farmakokinetik har inte studerats hos patienter äldre än</w:t>
      </w:r>
      <w:r w:rsidR="00A52061" w:rsidRPr="00024916">
        <w:t> </w:t>
      </w:r>
      <w:r w:rsidRPr="00024916">
        <w:t>65 år.</w:t>
      </w:r>
    </w:p>
    <w:p w14:paraId="3B5BBDB0" w14:textId="77777777" w:rsidR="00B13606" w:rsidRPr="00024916" w:rsidRDefault="00B13606" w:rsidP="00A52061">
      <w:pPr>
        <w:pStyle w:val="Brdtext"/>
      </w:pPr>
    </w:p>
    <w:p w14:paraId="4988E27A" w14:textId="77777777" w:rsidR="00B13606" w:rsidRPr="00024916" w:rsidRDefault="00B13606" w:rsidP="00A52061">
      <w:pPr>
        <w:pStyle w:val="Rubrik1"/>
        <w:keepNext w:val="0"/>
        <w:keepLines w:val="0"/>
        <w:numPr>
          <w:ilvl w:val="1"/>
          <w:numId w:val="5"/>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Prekliniska</w:t>
      </w:r>
      <w:r w:rsidRPr="00024916">
        <w:rPr>
          <w:rFonts w:ascii="Times New Roman" w:hAnsi="Times New Roman" w:cs="Times New Roman"/>
          <w:color w:val="auto"/>
          <w:spacing w:val="-1"/>
          <w:sz w:val="22"/>
          <w:szCs w:val="22"/>
        </w:rPr>
        <w:t xml:space="preserve"> </w:t>
      </w:r>
      <w:r w:rsidRPr="00024916">
        <w:rPr>
          <w:rFonts w:ascii="Times New Roman" w:hAnsi="Times New Roman" w:cs="Times New Roman"/>
          <w:color w:val="auto"/>
          <w:sz w:val="22"/>
          <w:szCs w:val="22"/>
        </w:rPr>
        <w:t>säkerhetsuppgifter</w:t>
      </w:r>
    </w:p>
    <w:p w14:paraId="23653E7C" w14:textId="77777777" w:rsidR="00B13606" w:rsidRPr="00024916" w:rsidRDefault="00B13606" w:rsidP="00A52061">
      <w:pPr>
        <w:pStyle w:val="Brdtext"/>
        <w:rPr>
          <w:b/>
        </w:rPr>
      </w:pPr>
    </w:p>
    <w:p w14:paraId="7E1ADE8E" w14:textId="77777777" w:rsidR="00B13606" w:rsidRPr="00024916" w:rsidRDefault="00B13606" w:rsidP="00A52061">
      <w:pPr>
        <w:pStyle w:val="Brdtext"/>
        <w:rPr>
          <w:i/>
        </w:rPr>
      </w:pPr>
      <w:r w:rsidRPr="00024916">
        <w:t xml:space="preserve">Abakavir var inte mutagent i bakterietester men visade aktivitet </w:t>
      </w:r>
      <w:r w:rsidRPr="00024916">
        <w:rPr>
          <w:i/>
        </w:rPr>
        <w:t>in</w:t>
      </w:r>
      <w:r w:rsidR="00A52061" w:rsidRPr="00024916">
        <w:rPr>
          <w:i/>
        </w:rPr>
        <w:t> </w:t>
      </w:r>
      <w:r w:rsidRPr="00024916">
        <w:rPr>
          <w:i/>
        </w:rPr>
        <w:t xml:space="preserve">vitro </w:t>
      </w:r>
      <w:r w:rsidRPr="00024916">
        <w:t xml:space="preserve">i kromosomaberrationstest utfört på humana lymfocyter, muslymfomtest och </w:t>
      </w:r>
      <w:r w:rsidRPr="00024916">
        <w:rPr>
          <w:i/>
        </w:rPr>
        <w:t>in</w:t>
      </w:r>
      <w:r w:rsidR="00A52061" w:rsidRPr="00024916">
        <w:rPr>
          <w:i/>
        </w:rPr>
        <w:t> </w:t>
      </w:r>
      <w:r w:rsidRPr="00024916">
        <w:rPr>
          <w:i/>
        </w:rPr>
        <w:t xml:space="preserve">vivo </w:t>
      </w:r>
      <w:r w:rsidRPr="00024916">
        <w:t>i mikrokärntest. Detta överensstämmer med kända effekter av andra nukleosidanaloger</w:t>
      </w:r>
      <w:r w:rsidRPr="00024916">
        <w:rPr>
          <w:i/>
        </w:rPr>
        <w:t xml:space="preserve">. </w:t>
      </w:r>
      <w:r w:rsidRPr="00024916">
        <w:t xml:space="preserve">Dessa resultat indikerar att abakavir vid höga koncentrationer, såväl </w:t>
      </w:r>
      <w:r w:rsidRPr="00024916">
        <w:rPr>
          <w:i/>
        </w:rPr>
        <w:t>in</w:t>
      </w:r>
      <w:r w:rsidR="00A52061" w:rsidRPr="00024916">
        <w:rPr>
          <w:i/>
        </w:rPr>
        <w:t> </w:t>
      </w:r>
      <w:r w:rsidRPr="00024916">
        <w:rPr>
          <w:i/>
        </w:rPr>
        <w:t xml:space="preserve">vitro </w:t>
      </w:r>
      <w:r w:rsidRPr="00024916">
        <w:t xml:space="preserve">som </w:t>
      </w:r>
      <w:r w:rsidRPr="00024916">
        <w:rPr>
          <w:i/>
        </w:rPr>
        <w:t>in</w:t>
      </w:r>
      <w:r w:rsidR="00A52061" w:rsidRPr="00024916">
        <w:rPr>
          <w:i/>
        </w:rPr>
        <w:t> </w:t>
      </w:r>
      <w:r w:rsidRPr="00024916">
        <w:rPr>
          <w:i/>
        </w:rPr>
        <w:t>vivo</w:t>
      </w:r>
      <w:r w:rsidRPr="00024916">
        <w:t>, medför liten risk för kromosomskador</w:t>
      </w:r>
      <w:r w:rsidRPr="00024916">
        <w:rPr>
          <w:i/>
        </w:rPr>
        <w:t>.</w:t>
      </w:r>
    </w:p>
    <w:p w14:paraId="67D8E0AC" w14:textId="77777777" w:rsidR="00B13606" w:rsidRPr="00024916" w:rsidRDefault="00B13606" w:rsidP="00A52061">
      <w:pPr>
        <w:pStyle w:val="Brdtext"/>
        <w:rPr>
          <w:i/>
        </w:rPr>
      </w:pPr>
    </w:p>
    <w:p w14:paraId="063026B1" w14:textId="77777777" w:rsidR="00B13606" w:rsidRPr="00024916" w:rsidRDefault="00B13606" w:rsidP="00A52061">
      <w:pPr>
        <w:pStyle w:val="Brdtext"/>
      </w:pPr>
      <w:r w:rsidRPr="00024916">
        <w:t>Karcinogenicitetsstudier med oralt administrerat abakavir till mus och råtta visade en ökning av incidensen maligna och icke-maligna tumörer. Maligna tumörer inträffade i preputialkörteln hos handjur och i klitoralkörteln hos hondjur av båda djurslagen och hos hanråttor i tyreoidea samt hos honråttor i levern, urinblåsan, lymfkörtlarna och i underhuden.</w:t>
      </w:r>
    </w:p>
    <w:p w14:paraId="0048FF9D" w14:textId="77777777" w:rsidR="00B13606" w:rsidRPr="00024916" w:rsidRDefault="00B13606" w:rsidP="00A52061">
      <w:pPr>
        <w:pStyle w:val="Brdtext"/>
      </w:pPr>
    </w:p>
    <w:p w14:paraId="0B82DD11" w14:textId="77777777" w:rsidR="00B13606" w:rsidRPr="00024916" w:rsidRDefault="00B13606" w:rsidP="00A52061">
      <w:pPr>
        <w:pStyle w:val="Brdtext"/>
      </w:pPr>
      <w:r w:rsidRPr="00024916">
        <w:t>Majoriteten av dessa tumörer inträffade vid den högsta abakavirdosen på 330</w:t>
      </w:r>
      <w:r w:rsidR="00A52061" w:rsidRPr="00024916">
        <w:t> </w:t>
      </w:r>
      <w:r w:rsidRPr="00024916">
        <w:t>mg/kg/dag hos mus och 600</w:t>
      </w:r>
      <w:r w:rsidR="00A52061" w:rsidRPr="00024916">
        <w:t> </w:t>
      </w:r>
      <w:r w:rsidRPr="00024916">
        <w:t>mg/kg/dag hos råtta med undantag av tumörerna i preputialkörteln som uppkom hos möss vid dosen 110</w:t>
      </w:r>
      <w:r w:rsidR="00A52061" w:rsidRPr="00024916">
        <w:t> </w:t>
      </w:r>
      <w:r w:rsidRPr="00024916">
        <w:t>mg/kg. Den systemiska exponeringen vid de högsta dosnivåer då ingen effekt konstaterats hos möss och råttor motsvarade 3 respektive 7 gånger den humana exponeringen vid rekommenderad dosering. Så länge som abakavirs karcinogena potential hos människa är okänd, talar dessa data för att läkemedlets potentiella kliniska fördelar överväger risken för karcinogena effekter hos människa.</w:t>
      </w:r>
    </w:p>
    <w:p w14:paraId="36677D0A" w14:textId="77777777" w:rsidR="00B13606" w:rsidRPr="00024916" w:rsidRDefault="00B13606" w:rsidP="00A52061">
      <w:pPr>
        <w:pStyle w:val="Brdtext"/>
      </w:pPr>
    </w:p>
    <w:p w14:paraId="3B34C2C3" w14:textId="77777777" w:rsidR="00B13606" w:rsidRPr="00024916" w:rsidRDefault="00B13606" w:rsidP="00A52061">
      <w:pPr>
        <w:pStyle w:val="Brdtext"/>
      </w:pPr>
      <w:r w:rsidRPr="00024916">
        <w:t>I prekliniska toxikologiska studier visades behandling med abakavir öka levervikterna hos råtta och apa. Den kliniska betydelsen av detta är inte känd. Från kliniska studier finns inga fynd som visar att abakavir är levertoxiskt. Dessutom har hos människa inte observerats autoinduktion av abakavirs metabolism eller induktion av andra läkemedels metabolism i levern.</w:t>
      </w:r>
    </w:p>
    <w:p w14:paraId="72209119" w14:textId="77777777" w:rsidR="00B13606" w:rsidRPr="00024916" w:rsidRDefault="00B13606" w:rsidP="00A52061">
      <w:pPr>
        <w:pStyle w:val="Brdtext"/>
        <w:spacing w:before="11"/>
      </w:pPr>
    </w:p>
    <w:p w14:paraId="666B5940" w14:textId="77777777" w:rsidR="00B13606" w:rsidRPr="00024916" w:rsidRDefault="00B13606" w:rsidP="00A52061">
      <w:pPr>
        <w:pStyle w:val="Brdtext"/>
      </w:pPr>
      <w:r w:rsidRPr="00024916">
        <w:t>Mild myokardiell degeneration i hjärtat hos mus och råtta observerades efter administrering av abakavir under två år. De systemiska exponeringarna motsvarade 7 till 24</w:t>
      </w:r>
      <w:r w:rsidR="00A52061" w:rsidRPr="00024916">
        <w:t> </w:t>
      </w:r>
      <w:r w:rsidRPr="00024916">
        <w:t>gånger den förväntade</w:t>
      </w:r>
      <w:r w:rsidR="00A52061" w:rsidRPr="00024916">
        <w:t xml:space="preserve"> </w:t>
      </w:r>
      <w:r w:rsidRPr="00024916">
        <w:t>systemiska exponeringen hos människa. Den kliniska relevansen av dessa fynd har inte kunnat avgöras.</w:t>
      </w:r>
    </w:p>
    <w:p w14:paraId="3F4BDF1E" w14:textId="77777777" w:rsidR="00B13606" w:rsidRPr="00024916" w:rsidRDefault="00B13606" w:rsidP="00A52061">
      <w:pPr>
        <w:pStyle w:val="Brdtext"/>
        <w:spacing w:before="1"/>
      </w:pPr>
    </w:p>
    <w:p w14:paraId="5CBB46D5" w14:textId="77777777" w:rsidR="00B13606" w:rsidRPr="00024916" w:rsidRDefault="00B13606" w:rsidP="00A52061">
      <w:pPr>
        <w:pStyle w:val="Brdtext"/>
      </w:pPr>
      <w:r w:rsidRPr="00024916">
        <w:t>I reproduktionstoxikologiska studier har hos råtta noterats embryonal och fetal toxicitet men inte hos kanin. Dessa fynd omfattade minskad kroppsvikt och ödem hos fostren, en ökning av antalet skelettförändringar/missbildningar samt ett ökat antal tidiga intrauterina dödsfall och antalet dödfödda djur. På grund av denna embryonala/fetala toxicitet kan inga slutsatser dras avseende abakavirs teratogena potential.</w:t>
      </w:r>
    </w:p>
    <w:p w14:paraId="1799376B" w14:textId="77777777" w:rsidR="00B13606" w:rsidRPr="00024916" w:rsidRDefault="00B13606" w:rsidP="00A52061">
      <w:pPr>
        <w:pStyle w:val="Brdtext"/>
        <w:spacing w:before="10"/>
      </w:pPr>
    </w:p>
    <w:p w14:paraId="6BEFB5C5" w14:textId="77777777" w:rsidR="00B13606" w:rsidRPr="00024916" w:rsidRDefault="00B13606" w:rsidP="00A52061">
      <w:pPr>
        <w:pStyle w:val="Brdtext"/>
        <w:spacing w:before="1"/>
      </w:pPr>
      <w:r w:rsidRPr="00024916">
        <w:t>En fertilitetsstudie på råtta har visat att abakavir inte har någon effekt på fertiliteten hos han- eller hondjur.</w:t>
      </w:r>
    </w:p>
    <w:p w14:paraId="661D45B8" w14:textId="77777777" w:rsidR="00B13606" w:rsidRPr="00024916" w:rsidRDefault="00B13606" w:rsidP="00A52061">
      <w:pPr>
        <w:pStyle w:val="Brdtext"/>
      </w:pPr>
    </w:p>
    <w:p w14:paraId="0C088721" w14:textId="77777777" w:rsidR="00B13606" w:rsidRPr="00024916" w:rsidRDefault="00B13606" w:rsidP="00A52061">
      <w:pPr>
        <w:pStyle w:val="Brdtext"/>
      </w:pPr>
    </w:p>
    <w:p w14:paraId="3E34A3F4" w14:textId="77777777" w:rsidR="00B13606" w:rsidRPr="00024916" w:rsidRDefault="00B13606" w:rsidP="00A52061">
      <w:pPr>
        <w:pStyle w:val="Rubrik1"/>
        <w:keepNext w:val="0"/>
        <w:keepLines w:val="0"/>
        <w:numPr>
          <w:ilvl w:val="0"/>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FARMACEUTISKA</w:t>
      </w:r>
      <w:r w:rsidRPr="00024916">
        <w:rPr>
          <w:rFonts w:ascii="Times New Roman" w:hAnsi="Times New Roman" w:cs="Times New Roman"/>
          <w:color w:val="auto"/>
          <w:spacing w:val="-2"/>
          <w:sz w:val="22"/>
          <w:szCs w:val="22"/>
        </w:rPr>
        <w:t xml:space="preserve"> </w:t>
      </w:r>
      <w:r w:rsidRPr="00024916">
        <w:rPr>
          <w:rFonts w:ascii="Times New Roman" w:hAnsi="Times New Roman" w:cs="Times New Roman"/>
          <w:color w:val="auto"/>
          <w:sz w:val="22"/>
          <w:szCs w:val="22"/>
        </w:rPr>
        <w:t>UPPGIFTER</w:t>
      </w:r>
    </w:p>
    <w:p w14:paraId="04828C81" w14:textId="77777777" w:rsidR="00B13606" w:rsidRPr="00024916" w:rsidRDefault="00B13606" w:rsidP="00A52061">
      <w:pPr>
        <w:pStyle w:val="Brdtext"/>
        <w:rPr>
          <w:b/>
        </w:rPr>
      </w:pPr>
    </w:p>
    <w:p w14:paraId="1F54E192" w14:textId="77777777" w:rsidR="00B13606" w:rsidRPr="00024916" w:rsidRDefault="00B13606" w:rsidP="00A52061">
      <w:pPr>
        <w:pStyle w:val="Liststycke"/>
        <w:numPr>
          <w:ilvl w:val="1"/>
          <w:numId w:val="2"/>
        </w:numPr>
        <w:tabs>
          <w:tab w:val="left" w:pos="567"/>
        </w:tabs>
        <w:spacing w:before="1"/>
        <w:ind w:left="0" w:firstLine="0"/>
        <w:contextualSpacing w:val="0"/>
        <w:rPr>
          <w:b/>
        </w:rPr>
      </w:pPr>
      <w:r w:rsidRPr="00024916">
        <w:rPr>
          <w:b/>
        </w:rPr>
        <w:t>Förteckning över</w:t>
      </w:r>
      <w:r w:rsidRPr="00024916">
        <w:rPr>
          <w:b/>
          <w:spacing w:val="-4"/>
        </w:rPr>
        <w:t xml:space="preserve"> </w:t>
      </w:r>
      <w:r w:rsidRPr="00024916">
        <w:rPr>
          <w:b/>
        </w:rPr>
        <w:t>hjälpämnen</w:t>
      </w:r>
    </w:p>
    <w:p w14:paraId="165E5411" w14:textId="77777777" w:rsidR="00B13606" w:rsidRPr="00024916" w:rsidRDefault="00B13606" w:rsidP="00A52061">
      <w:pPr>
        <w:pStyle w:val="Brdtext"/>
        <w:spacing w:before="9"/>
        <w:rPr>
          <w:b/>
        </w:rPr>
      </w:pPr>
    </w:p>
    <w:p w14:paraId="3BCBC23A" w14:textId="77777777" w:rsidR="00B13606" w:rsidRPr="00024916" w:rsidRDefault="00A52061" w:rsidP="00A52061">
      <w:pPr>
        <w:rPr>
          <w:i/>
        </w:rPr>
      </w:pPr>
      <w:r w:rsidRPr="00024916">
        <w:rPr>
          <w:i/>
        </w:rPr>
        <w:t>K</w:t>
      </w:r>
      <w:r w:rsidR="00B13606" w:rsidRPr="00024916">
        <w:rPr>
          <w:i/>
        </w:rPr>
        <w:t>ärna:</w:t>
      </w:r>
    </w:p>
    <w:p w14:paraId="12E711CD" w14:textId="77777777" w:rsidR="00A52061" w:rsidRPr="00024916" w:rsidRDefault="00A52061" w:rsidP="00A52061">
      <w:pPr>
        <w:pStyle w:val="Brdtext"/>
        <w:spacing w:before="1"/>
      </w:pPr>
      <w:r w:rsidRPr="00024916">
        <w:t>Mikrokristallin cellulosa</w:t>
      </w:r>
      <w:r w:rsidR="00D00635" w:rsidRPr="00024916">
        <w:t xml:space="preserve"> PH102 (E460)</w:t>
      </w:r>
    </w:p>
    <w:p w14:paraId="45A29A13" w14:textId="77777777" w:rsidR="00D00635" w:rsidRPr="00024916" w:rsidRDefault="00B13606" w:rsidP="00A52061">
      <w:pPr>
        <w:pStyle w:val="Brdtext"/>
        <w:spacing w:before="1"/>
      </w:pPr>
      <w:r w:rsidRPr="00024916">
        <w:t xml:space="preserve">Natriumstärkelseglykolat </w:t>
      </w:r>
      <w:r w:rsidR="00A52061" w:rsidRPr="00024916">
        <w:t>(typ A)</w:t>
      </w:r>
    </w:p>
    <w:p w14:paraId="09FD9203" w14:textId="77777777" w:rsidR="00D00635" w:rsidRPr="00024916" w:rsidRDefault="00D00635" w:rsidP="00D00635">
      <w:pPr>
        <w:pStyle w:val="Brdtext"/>
      </w:pPr>
      <w:r w:rsidRPr="00024916">
        <w:t>Kiseldioxid</w:t>
      </w:r>
      <w:r w:rsidR="009C3058" w:rsidRPr="00024916">
        <w:t>,</w:t>
      </w:r>
      <w:r w:rsidRPr="00024916">
        <w:t xml:space="preserve"> kolloidal vattenfri</w:t>
      </w:r>
    </w:p>
    <w:p w14:paraId="5FD73F06" w14:textId="77777777" w:rsidR="00B13606" w:rsidRPr="00024916" w:rsidRDefault="00B13606" w:rsidP="00A52061">
      <w:pPr>
        <w:pStyle w:val="Brdtext"/>
        <w:spacing w:before="1"/>
      </w:pPr>
      <w:r w:rsidRPr="00024916">
        <w:t>Magnesiumstearat</w:t>
      </w:r>
      <w:r w:rsidR="009C3058" w:rsidRPr="00024916">
        <w:t xml:space="preserve"> (E470b)</w:t>
      </w:r>
    </w:p>
    <w:p w14:paraId="5F99C363" w14:textId="77777777" w:rsidR="00D00635" w:rsidRPr="00024916" w:rsidRDefault="00D00635" w:rsidP="00A52061">
      <w:pPr>
        <w:rPr>
          <w:i/>
        </w:rPr>
      </w:pPr>
    </w:p>
    <w:p w14:paraId="28E9909F" w14:textId="77777777" w:rsidR="00B13606" w:rsidRPr="00024916" w:rsidRDefault="00D00635" w:rsidP="00A52061">
      <w:pPr>
        <w:rPr>
          <w:i/>
        </w:rPr>
      </w:pPr>
      <w:r w:rsidRPr="00024916">
        <w:rPr>
          <w:i/>
        </w:rPr>
        <w:t>Film</w:t>
      </w:r>
      <w:r w:rsidR="00B13606" w:rsidRPr="00024916">
        <w:rPr>
          <w:i/>
        </w:rPr>
        <w:t>dragering:</w:t>
      </w:r>
    </w:p>
    <w:p w14:paraId="235DED91" w14:textId="77777777" w:rsidR="00D00635" w:rsidRPr="00024916" w:rsidRDefault="00D00635" w:rsidP="00A52061">
      <w:pPr>
        <w:pStyle w:val="Brdtext"/>
      </w:pPr>
      <w:r w:rsidRPr="00024916">
        <w:t>Polyvinylalkohol, delvis hydrolyserad (E1203)</w:t>
      </w:r>
    </w:p>
    <w:p w14:paraId="656FAA4A" w14:textId="77777777" w:rsidR="00D00635" w:rsidRPr="00024916" w:rsidRDefault="00B13606" w:rsidP="00A52061">
      <w:pPr>
        <w:pStyle w:val="Brdtext"/>
      </w:pPr>
      <w:r w:rsidRPr="00024916">
        <w:t xml:space="preserve">Titandioxid </w:t>
      </w:r>
      <w:r w:rsidR="00D00635" w:rsidRPr="00024916">
        <w:t>(E171)</w:t>
      </w:r>
    </w:p>
    <w:p w14:paraId="07E4D831" w14:textId="77777777" w:rsidR="00D00635" w:rsidRPr="00024916" w:rsidRDefault="00D00635" w:rsidP="00A52061">
      <w:pPr>
        <w:pStyle w:val="Brdtext"/>
      </w:pPr>
      <w:r w:rsidRPr="00024916">
        <w:t>Talk (E553b)</w:t>
      </w:r>
    </w:p>
    <w:p w14:paraId="71467437" w14:textId="77777777" w:rsidR="00B13606" w:rsidRPr="00024916" w:rsidRDefault="009C3058" w:rsidP="00A52061">
      <w:pPr>
        <w:pStyle w:val="Brdtext"/>
      </w:pPr>
      <w:r w:rsidRPr="00024916">
        <w:t>J</w:t>
      </w:r>
      <w:r w:rsidR="00B13606" w:rsidRPr="00024916">
        <w:t>ärnoxid (gul)</w:t>
      </w:r>
      <w:r w:rsidRPr="00024916">
        <w:t xml:space="preserve"> (E172)</w:t>
      </w:r>
    </w:p>
    <w:p w14:paraId="36E54676" w14:textId="77777777" w:rsidR="009C3058" w:rsidRPr="00024916" w:rsidRDefault="009C3058" w:rsidP="00A52061">
      <w:pPr>
        <w:pStyle w:val="Brdtext"/>
      </w:pPr>
      <w:r w:rsidRPr="00024916">
        <w:t>Makrogol (E1521)</w:t>
      </w:r>
    </w:p>
    <w:p w14:paraId="14CCE6AD" w14:textId="77777777" w:rsidR="00B13606" w:rsidRPr="00024916" w:rsidRDefault="00B13606" w:rsidP="00A52061">
      <w:pPr>
        <w:pStyle w:val="Brdtext"/>
      </w:pPr>
    </w:p>
    <w:p w14:paraId="13BA2B1B" w14:textId="77777777" w:rsidR="00B13606" w:rsidRPr="00024916" w:rsidRDefault="00B13606" w:rsidP="009C3058">
      <w:pPr>
        <w:pStyle w:val="Rubrik1"/>
        <w:keepNext w:val="0"/>
        <w:keepLines w:val="0"/>
        <w:numPr>
          <w:ilvl w:val="1"/>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Inkompatibiliteter</w:t>
      </w:r>
    </w:p>
    <w:p w14:paraId="68145D62" w14:textId="77777777" w:rsidR="00B13606" w:rsidRPr="00024916" w:rsidRDefault="00B13606" w:rsidP="00A52061">
      <w:pPr>
        <w:pStyle w:val="Brdtext"/>
        <w:rPr>
          <w:b/>
        </w:rPr>
      </w:pPr>
    </w:p>
    <w:p w14:paraId="704F69BE" w14:textId="77777777" w:rsidR="00B13606" w:rsidRPr="00024916" w:rsidRDefault="00B13606" w:rsidP="00A52061">
      <w:pPr>
        <w:pStyle w:val="Brdtext"/>
        <w:spacing w:before="1"/>
      </w:pPr>
      <w:r w:rsidRPr="00024916">
        <w:t>Ej relevant</w:t>
      </w:r>
    </w:p>
    <w:p w14:paraId="31988281" w14:textId="77777777" w:rsidR="00B13606" w:rsidRPr="00024916" w:rsidRDefault="00B13606" w:rsidP="00A52061">
      <w:pPr>
        <w:pStyle w:val="Brdtext"/>
        <w:spacing w:before="9"/>
      </w:pPr>
    </w:p>
    <w:p w14:paraId="42D358AB" w14:textId="77777777" w:rsidR="00B13606" w:rsidRPr="00024916" w:rsidRDefault="00B13606" w:rsidP="009C3058">
      <w:pPr>
        <w:pStyle w:val="Rubrik1"/>
        <w:keepNext w:val="0"/>
        <w:keepLines w:val="0"/>
        <w:numPr>
          <w:ilvl w:val="1"/>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Hållbarhet</w:t>
      </w:r>
    </w:p>
    <w:p w14:paraId="40FD6EBD" w14:textId="77777777" w:rsidR="00B13606" w:rsidRPr="00024916" w:rsidRDefault="00B13606" w:rsidP="00A52061">
      <w:pPr>
        <w:pStyle w:val="Brdtext"/>
        <w:rPr>
          <w:b/>
        </w:rPr>
      </w:pPr>
    </w:p>
    <w:p w14:paraId="558E2199" w14:textId="77777777" w:rsidR="00B13606" w:rsidRPr="00024916" w:rsidRDefault="009C3058" w:rsidP="00A52061">
      <w:pPr>
        <w:pStyle w:val="Brdtext"/>
      </w:pPr>
      <w:r w:rsidRPr="00024916">
        <w:t>2 </w:t>
      </w:r>
      <w:r w:rsidR="00B13606" w:rsidRPr="00024916">
        <w:t>år</w:t>
      </w:r>
    </w:p>
    <w:p w14:paraId="48ABDBB9" w14:textId="77777777" w:rsidR="00B13606" w:rsidRPr="00024916" w:rsidRDefault="00B13606" w:rsidP="00A52061">
      <w:pPr>
        <w:pStyle w:val="Brdtext"/>
      </w:pPr>
    </w:p>
    <w:p w14:paraId="04192CB1" w14:textId="77777777" w:rsidR="00B13606" w:rsidRPr="00024916" w:rsidRDefault="00B13606" w:rsidP="009C3058">
      <w:pPr>
        <w:pStyle w:val="Rubrik1"/>
        <w:keepNext w:val="0"/>
        <w:keepLines w:val="0"/>
        <w:numPr>
          <w:ilvl w:val="1"/>
          <w:numId w:val="2"/>
        </w:numPr>
        <w:tabs>
          <w:tab w:val="left" w:pos="567"/>
        </w:tabs>
        <w:spacing w:before="1"/>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Särskilda</w:t>
      </w:r>
      <w:r w:rsidRPr="00024916">
        <w:rPr>
          <w:rFonts w:ascii="Times New Roman" w:hAnsi="Times New Roman" w:cs="Times New Roman"/>
          <w:color w:val="auto"/>
          <w:spacing w:val="-4"/>
          <w:sz w:val="22"/>
          <w:szCs w:val="22"/>
        </w:rPr>
        <w:t xml:space="preserve"> </w:t>
      </w:r>
      <w:r w:rsidRPr="00024916">
        <w:rPr>
          <w:rFonts w:ascii="Times New Roman" w:hAnsi="Times New Roman" w:cs="Times New Roman"/>
          <w:color w:val="auto"/>
          <w:sz w:val="22"/>
          <w:szCs w:val="22"/>
        </w:rPr>
        <w:t>förvaringsanvisningar</w:t>
      </w:r>
    </w:p>
    <w:p w14:paraId="54D425AA" w14:textId="77777777" w:rsidR="00B13606" w:rsidRPr="00024916" w:rsidRDefault="00B13606" w:rsidP="00A52061">
      <w:pPr>
        <w:pStyle w:val="Brdtext"/>
        <w:rPr>
          <w:b/>
        </w:rPr>
      </w:pPr>
    </w:p>
    <w:p w14:paraId="69B5E0C5" w14:textId="77777777" w:rsidR="009C3058" w:rsidRPr="00024916" w:rsidRDefault="009C3058" w:rsidP="00A52061">
      <w:pPr>
        <w:pStyle w:val="Brdtext"/>
      </w:pPr>
      <w:r w:rsidRPr="00024916">
        <w:t>Inga särskild förvaringanvisningar.</w:t>
      </w:r>
    </w:p>
    <w:p w14:paraId="017CC2A2" w14:textId="77777777" w:rsidR="009C3058" w:rsidRPr="00024916" w:rsidRDefault="009C3058" w:rsidP="00A52061">
      <w:pPr>
        <w:pStyle w:val="Brdtext"/>
      </w:pPr>
    </w:p>
    <w:p w14:paraId="2A4364E5" w14:textId="77777777" w:rsidR="00B13606" w:rsidRPr="00024916" w:rsidRDefault="00B13606" w:rsidP="009C3058">
      <w:pPr>
        <w:pStyle w:val="Rubrik1"/>
        <w:keepNext w:val="0"/>
        <w:keepLines w:val="0"/>
        <w:numPr>
          <w:ilvl w:val="1"/>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Förpackningstyp och</w:t>
      </w:r>
      <w:r w:rsidRPr="00024916">
        <w:rPr>
          <w:rFonts w:ascii="Times New Roman" w:hAnsi="Times New Roman" w:cs="Times New Roman"/>
          <w:color w:val="auto"/>
          <w:spacing w:val="-5"/>
          <w:sz w:val="22"/>
          <w:szCs w:val="22"/>
        </w:rPr>
        <w:t xml:space="preserve"> </w:t>
      </w:r>
      <w:r w:rsidRPr="00024916">
        <w:rPr>
          <w:rFonts w:ascii="Times New Roman" w:hAnsi="Times New Roman" w:cs="Times New Roman"/>
          <w:color w:val="auto"/>
          <w:sz w:val="22"/>
          <w:szCs w:val="22"/>
        </w:rPr>
        <w:t>innehåll</w:t>
      </w:r>
    </w:p>
    <w:p w14:paraId="768266D4" w14:textId="77777777" w:rsidR="00B13606" w:rsidRPr="00024916" w:rsidRDefault="00B13606" w:rsidP="00A52061">
      <w:pPr>
        <w:pStyle w:val="Brdtext"/>
        <w:spacing w:before="10"/>
        <w:rPr>
          <w:b/>
        </w:rPr>
      </w:pPr>
    </w:p>
    <w:p w14:paraId="03AFBCDB" w14:textId="77777777" w:rsidR="00B13606" w:rsidRPr="00024916" w:rsidRDefault="009C3058" w:rsidP="00A52061">
      <w:pPr>
        <w:pStyle w:val="Brdtext"/>
      </w:pPr>
      <w:r w:rsidRPr="00024916">
        <w:t>Vitt ogenomskinligt blister av PVC</w:t>
      </w:r>
      <w:r w:rsidRPr="00024916">
        <w:noBreakHyphen/>
        <w:t xml:space="preserve">aluminium innehållande 30, </w:t>
      </w:r>
      <w:r w:rsidR="00B13606" w:rsidRPr="00024916">
        <w:t>60</w:t>
      </w:r>
      <w:r w:rsidRPr="00024916">
        <w:t>, 90 och 120 </w:t>
      </w:r>
      <w:r w:rsidR="00B13606" w:rsidRPr="00024916">
        <w:t>tabletter.</w:t>
      </w:r>
    </w:p>
    <w:p w14:paraId="07ECD3BC" w14:textId="77777777" w:rsidR="009C3058" w:rsidRPr="00024916" w:rsidRDefault="009C3058" w:rsidP="00A52061">
      <w:pPr>
        <w:pStyle w:val="Brdtext"/>
      </w:pPr>
      <w:r w:rsidRPr="00024916">
        <w:t>Blister av aluminium</w:t>
      </w:r>
      <w:r w:rsidRPr="00024916">
        <w:noBreakHyphen/>
        <w:t>aluminium innehållande 30, 60, 90 och 120 tabletter.</w:t>
      </w:r>
    </w:p>
    <w:p w14:paraId="2383934A" w14:textId="77777777" w:rsidR="009C3058" w:rsidRPr="00024916" w:rsidRDefault="009C3058" w:rsidP="00A52061">
      <w:pPr>
        <w:pStyle w:val="Brdtext"/>
      </w:pPr>
    </w:p>
    <w:p w14:paraId="09B63602" w14:textId="77777777" w:rsidR="009C3058" w:rsidRPr="00024916" w:rsidRDefault="009C3058" w:rsidP="00A52061">
      <w:pPr>
        <w:pStyle w:val="Brdtext"/>
      </w:pPr>
      <w:r w:rsidRPr="00024916">
        <w:t>Eventuellt kommer inte alla förpackningsstorlekar att marknadsföras.</w:t>
      </w:r>
    </w:p>
    <w:p w14:paraId="2E42A014" w14:textId="77777777" w:rsidR="009C3058" w:rsidRPr="00024916" w:rsidRDefault="009C3058" w:rsidP="00A52061">
      <w:pPr>
        <w:pStyle w:val="Brdtext"/>
      </w:pPr>
    </w:p>
    <w:p w14:paraId="4D03DF54" w14:textId="77777777" w:rsidR="00B13606" w:rsidRPr="00024916" w:rsidRDefault="00B13606" w:rsidP="00A52061">
      <w:pPr>
        <w:pStyle w:val="Brdtext"/>
      </w:pPr>
    </w:p>
    <w:p w14:paraId="289B7EF8" w14:textId="77777777" w:rsidR="00B13606" w:rsidRPr="00024916" w:rsidRDefault="00B13606" w:rsidP="009C3058">
      <w:pPr>
        <w:pStyle w:val="Rubrik1"/>
        <w:keepNext w:val="0"/>
        <w:keepLines w:val="0"/>
        <w:numPr>
          <w:ilvl w:val="1"/>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Särskilda anvisningar för</w:t>
      </w:r>
      <w:r w:rsidRPr="00024916">
        <w:rPr>
          <w:rFonts w:ascii="Times New Roman" w:hAnsi="Times New Roman" w:cs="Times New Roman"/>
          <w:color w:val="auto"/>
          <w:spacing w:val="-5"/>
          <w:sz w:val="22"/>
          <w:szCs w:val="22"/>
        </w:rPr>
        <w:t xml:space="preserve"> </w:t>
      </w:r>
      <w:r w:rsidRPr="00024916">
        <w:rPr>
          <w:rFonts w:ascii="Times New Roman" w:hAnsi="Times New Roman" w:cs="Times New Roman"/>
          <w:color w:val="auto"/>
          <w:sz w:val="22"/>
          <w:szCs w:val="22"/>
        </w:rPr>
        <w:t>destruktion</w:t>
      </w:r>
    </w:p>
    <w:p w14:paraId="7062C7AF" w14:textId="77777777" w:rsidR="00B13606" w:rsidRPr="00024916" w:rsidRDefault="00B13606" w:rsidP="00A52061">
      <w:pPr>
        <w:pStyle w:val="Brdtext"/>
        <w:rPr>
          <w:b/>
        </w:rPr>
      </w:pPr>
    </w:p>
    <w:p w14:paraId="18936B61" w14:textId="77777777" w:rsidR="00B13606" w:rsidRPr="00024916" w:rsidRDefault="00B13606" w:rsidP="00A52061">
      <w:pPr>
        <w:pStyle w:val="Brdtext"/>
      </w:pPr>
      <w:r w:rsidRPr="00024916">
        <w:t>Inga särskilda anvisningar för destruktion.</w:t>
      </w:r>
    </w:p>
    <w:p w14:paraId="6A8B23CE" w14:textId="77777777" w:rsidR="009C3058" w:rsidRPr="00024916" w:rsidRDefault="009C3058" w:rsidP="00A52061">
      <w:pPr>
        <w:pStyle w:val="Brdtext"/>
      </w:pPr>
    </w:p>
    <w:p w14:paraId="76E97F2F" w14:textId="77777777" w:rsidR="009C3058" w:rsidRPr="00024916" w:rsidRDefault="009C3058" w:rsidP="00A52061">
      <w:pPr>
        <w:pStyle w:val="Brdtext"/>
      </w:pPr>
    </w:p>
    <w:p w14:paraId="76C116BF" w14:textId="77777777" w:rsidR="00B13606" w:rsidRPr="00024916" w:rsidRDefault="00B13606" w:rsidP="009C3058">
      <w:pPr>
        <w:pStyle w:val="Rubrik1"/>
        <w:keepNext w:val="0"/>
        <w:keepLines w:val="0"/>
        <w:numPr>
          <w:ilvl w:val="0"/>
          <w:numId w:val="2"/>
        </w:numPr>
        <w:tabs>
          <w:tab w:val="left" w:pos="567"/>
        </w:tabs>
        <w:spacing w:before="73"/>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INNEHAVARE AV GODKÄNNANDE FÖR</w:t>
      </w:r>
      <w:r w:rsidRPr="00024916">
        <w:rPr>
          <w:rFonts w:ascii="Times New Roman" w:hAnsi="Times New Roman" w:cs="Times New Roman"/>
          <w:color w:val="auto"/>
          <w:spacing w:val="-9"/>
          <w:sz w:val="22"/>
          <w:szCs w:val="22"/>
        </w:rPr>
        <w:t xml:space="preserve"> </w:t>
      </w:r>
      <w:r w:rsidRPr="00024916">
        <w:rPr>
          <w:rFonts w:ascii="Times New Roman" w:hAnsi="Times New Roman" w:cs="Times New Roman"/>
          <w:color w:val="auto"/>
          <w:sz w:val="22"/>
          <w:szCs w:val="22"/>
        </w:rPr>
        <w:t>FÖRSÄLJNING</w:t>
      </w:r>
    </w:p>
    <w:p w14:paraId="68929425" w14:textId="77777777" w:rsidR="00B13606" w:rsidRPr="00024916" w:rsidRDefault="00B13606" w:rsidP="00A52061">
      <w:pPr>
        <w:pStyle w:val="Brdtext"/>
        <w:rPr>
          <w:b/>
        </w:rPr>
      </w:pPr>
    </w:p>
    <w:p w14:paraId="3EF20168" w14:textId="77777777" w:rsidR="00560584" w:rsidRPr="00024916" w:rsidRDefault="00560584" w:rsidP="00560584">
      <w:r w:rsidRPr="00024916">
        <w:t>Accord Healthcare B.V.</w:t>
      </w:r>
    </w:p>
    <w:p w14:paraId="652CDB28" w14:textId="77777777" w:rsidR="00560584" w:rsidRPr="00024916" w:rsidRDefault="00560584" w:rsidP="00560584">
      <w:r w:rsidRPr="00024916">
        <w:t>Winthontlaan 200</w:t>
      </w:r>
    </w:p>
    <w:p w14:paraId="04E06859" w14:textId="77777777" w:rsidR="00560584" w:rsidRPr="00024916" w:rsidRDefault="00560584" w:rsidP="00560584">
      <w:r w:rsidRPr="00024916">
        <w:t>3526 KV Utrecht</w:t>
      </w:r>
    </w:p>
    <w:p w14:paraId="30C386D4" w14:textId="2FE720D4" w:rsidR="009C3058" w:rsidRPr="00024916" w:rsidRDefault="00560584" w:rsidP="00560584">
      <w:r w:rsidRPr="00024916">
        <w:t>Nederländerna</w:t>
      </w:r>
    </w:p>
    <w:p w14:paraId="58183553" w14:textId="77777777" w:rsidR="00B13606" w:rsidRPr="00024916" w:rsidRDefault="00B13606" w:rsidP="00A52061">
      <w:pPr>
        <w:pStyle w:val="Brdtext"/>
        <w:spacing w:before="1"/>
      </w:pPr>
    </w:p>
    <w:p w14:paraId="33C2A7D7" w14:textId="77777777" w:rsidR="00B13606" w:rsidRPr="00024916" w:rsidRDefault="00B13606" w:rsidP="009C3058">
      <w:pPr>
        <w:pStyle w:val="Rubrik1"/>
        <w:keepNext w:val="0"/>
        <w:keepLines w:val="0"/>
        <w:numPr>
          <w:ilvl w:val="0"/>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NUMMER PÅ GODKÄNNANDE FÖR</w:t>
      </w:r>
      <w:r w:rsidRPr="00024916">
        <w:rPr>
          <w:rFonts w:ascii="Times New Roman" w:hAnsi="Times New Roman" w:cs="Times New Roman"/>
          <w:color w:val="auto"/>
          <w:spacing w:val="-8"/>
          <w:sz w:val="22"/>
          <w:szCs w:val="22"/>
        </w:rPr>
        <w:t xml:space="preserve"> </w:t>
      </w:r>
      <w:r w:rsidRPr="00024916">
        <w:rPr>
          <w:rFonts w:ascii="Times New Roman" w:hAnsi="Times New Roman" w:cs="Times New Roman"/>
          <w:color w:val="auto"/>
          <w:sz w:val="22"/>
          <w:szCs w:val="22"/>
        </w:rPr>
        <w:t>FÖRSÄLJNING</w:t>
      </w:r>
    </w:p>
    <w:p w14:paraId="4DADB228" w14:textId="77777777" w:rsidR="00B13606" w:rsidRPr="00024916" w:rsidRDefault="00B13606" w:rsidP="00A52061">
      <w:pPr>
        <w:pStyle w:val="Brdtext"/>
        <w:rPr>
          <w:b/>
        </w:rPr>
      </w:pPr>
    </w:p>
    <w:p w14:paraId="42AF00A0" w14:textId="029817F6" w:rsidR="00B13606" w:rsidRPr="00024916" w:rsidRDefault="00A745AC" w:rsidP="00A52061">
      <w:pPr>
        <w:pStyle w:val="Brdtext"/>
      </w:pPr>
      <w:r w:rsidRPr="00024916">
        <w:t>59643</w:t>
      </w:r>
    </w:p>
    <w:p w14:paraId="4EB7DF21" w14:textId="180BFABA" w:rsidR="009C3058" w:rsidRDefault="009C3058" w:rsidP="00A52061">
      <w:pPr>
        <w:pStyle w:val="Brdtext"/>
      </w:pPr>
    </w:p>
    <w:p w14:paraId="1E9E6E44" w14:textId="77777777" w:rsidR="00024916" w:rsidRPr="00024916" w:rsidRDefault="00024916" w:rsidP="00A52061">
      <w:pPr>
        <w:pStyle w:val="Brdtext"/>
      </w:pPr>
    </w:p>
    <w:p w14:paraId="7EF7C921" w14:textId="77777777" w:rsidR="00B13606" w:rsidRPr="00024916" w:rsidRDefault="00B13606" w:rsidP="009C3058">
      <w:pPr>
        <w:pStyle w:val="Rubrik1"/>
        <w:keepNext w:val="0"/>
        <w:keepLines w:val="0"/>
        <w:numPr>
          <w:ilvl w:val="0"/>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DATUM FÖR FÖRSTA GODKÄNNANDE/FÖRNYAT</w:t>
      </w:r>
      <w:r w:rsidRPr="00024916">
        <w:rPr>
          <w:rFonts w:ascii="Times New Roman" w:hAnsi="Times New Roman" w:cs="Times New Roman"/>
          <w:color w:val="auto"/>
          <w:spacing w:val="-12"/>
          <w:sz w:val="22"/>
          <w:szCs w:val="22"/>
        </w:rPr>
        <w:t xml:space="preserve"> </w:t>
      </w:r>
      <w:r w:rsidRPr="00024916">
        <w:rPr>
          <w:rFonts w:ascii="Times New Roman" w:hAnsi="Times New Roman" w:cs="Times New Roman"/>
          <w:color w:val="auto"/>
          <w:sz w:val="22"/>
          <w:szCs w:val="22"/>
        </w:rPr>
        <w:t>GODKÄNNANDE</w:t>
      </w:r>
    </w:p>
    <w:p w14:paraId="02EBF685" w14:textId="77777777" w:rsidR="00B13606" w:rsidRPr="00024916" w:rsidRDefault="00B13606" w:rsidP="00A52061">
      <w:pPr>
        <w:pStyle w:val="Brdtext"/>
        <w:rPr>
          <w:b/>
        </w:rPr>
      </w:pPr>
    </w:p>
    <w:p w14:paraId="315D05CA" w14:textId="0C476C57" w:rsidR="009C3058" w:rsidRPr="00024916" w:rsidRDefault="00024916" w:rsidP="00A52061">
      <w:pPr>
        <w:pStyle w:val="Brdtext"/>
      </w:pPr>
      <w:r>
        <w:t>2020-06-22</w:t>
      </w:r>
      <w:r w:rsidR="00115093">
        <w:t>/2021-07-25</w:t>
      </w:r>
    </w:p>
    <w:p w14:paraId="58B3D613" w14:textId="77777777" w:rsidR="00B13606" w:rsidRPr="00024916" w:rsidRDefault="00B13606" w:rsidP="00A52061">
      <w:pPr>
        <w:pStyle w:val="Brdtext"/>
        <w:spacing w:before="1"/>
      </w:pPr>
    </w:p>
    <w:p w14:paraId="06287085" w14:textId="77777777" w:rsidR="009C3058" w:rsidRPr="00024916" w:rsidRDefault="009C3058" w:rsidP="00A52061">
      <w:pPr>
        <w:pStyle w:val="Brdtext"/>
        <w:spacing w:before="1"/>
      </w:pPr>
    </w:p>
    <w:p w14:paraId="58715B15" w14:textId="77777777" w:rsidR="00B13606" w:rsidRPr="00024916" w:rsidRDefault="00B13606" w:rsidP="009C3058">
      <w:pPr>
        <w:pStyle w:val="Rubrik1"/>
        <w:keepNext w:val="0"/>
        <w:keepLines w:val="0"/>
        <w:numPr>
          <w:ilvl w:val="0"/>
          <w:numId w:val="2"/>
        </w:numPr>
        <w:tabs>
          <w:tab w:val="left" w:pos="567"/>
        </w:tabs>
        <w:spacing w:before="0"/>
        <w:ind w:left="0" w:firstLine="0"/>
        <w:rPr>
          <w:rFonts w:ascii="Times New Roman" w:hAnsi="Times New Roman" w:cs="Times New Roman"/>
          <w:color w:val="auto"/>
          <w:sz w:val="22"/>
          <w:szCs w:val="22"/>
        </w:rPr>
      </w:pPr>
      <w:r w:rsidRPr="00024916">
        <w:rPr>
          <w:rFonts w:ascii="Times New Roman" w:hAnsi="Times New Roman" w:cs="Times New Roman"/>
          <w:color w:val="auto"/>
          <w:sz w:val="22"/>
          <w:szCs w:val="22"/>
        </w:rPr>
        <w:t>DATUM FÖR ÖVERSYN AV</w:t>
      </w:r>
      <w:r w:rsidRPr="00024916">
        <w:rPr>
          <w:rFonts w:ascii="Times New Roman" w:hAnsi="Times New Roman" w:cs="Times New Roman"/>
          <w:color w:val="auto"/>
          <w:spacing w:val="-7"/>
          <w:sz w:val="22"/>
          <w:szCs w:val="22"/>
        </w:rPr>
        <w:t xml:space="preserve"> </w:t>
      </w:r>
      <w:r w:rsidRPr="00024916">
        <w:rPr>
          <w:rFonts w:ascii="Times New Roman" w:hAnsi="Times New Roman" w:cs="Times New Roman"/>
          <w:color w:val="auto"/>
          <w:sz w:val="22"/>
          <w:szCs w:val="22"/>
        </w:rPr>
        <w:t>PRODUKTRESUMÉN</w:t>
      </w:r>
    </w:p>
    <w:p w14:paraId="0FC01A63" w14:textId="157C229C" w:rsidR="00B13606" w:rsidRDefault="00B13606" w:rsidP="00A52061">
      <w:pPr>
        <w:pStyle w:val="Brdtext"/>
        <w:spacing w:before="9"/>
        <w:rPr>
          <w:b/>
        </w:rPr>
      </w:pPr>
    </w:p>
    <w:p w14:paraId="5648806E" w14:textId="3AC09744" w:rsidR="00024916" w:rsidRPr="00024916" w:rsidRDefault="00024916" w:rsidP="00A52061">
      <w:pPr>
        <w:pStyle w:val="Brdtext"/>
        <w:spacing w:before="9"/>
        <w:rPr>
          <w:bCs/>
        </w:rPr>
      </w:pPr>
      <w:r w:rsidRPr="00024916">
        <w:rPr>
          <w:bCs/>
        </w:rPr>
        <w:t>2020-</w:t>
      </w:r>
      <w:r w:rsidR="00115093">
        <w:rPr>
          <w:bCs/>
        </w:rPr>
        <w:t>12-22</w:t>
      </w:r>
    </w:p>
    <w:p w14:paraId="4906BD20" w14:textId="2292500B" w:rsidR="00024916" w:rsidRDefault="00024916" w:rsidP="00A52061">
      <w:pPr>
        <w:pStyle w:val="Brdtext"/>
        <w:spacing w:before="9"/>
        <w:rPr>
          <w:b/>
        </w:rPr>
      </w:pPr>
    </w:p>
    <w:p w14:paraId="62157130" w14:textId="77777777" w:rsidR="00024916" w:rsidRPr="00024916" w:rsidRDefault="00024916" w:rsidP="00A52061">
      <w:pPr>
        <w:pStyle w:val="Brdtext"/>
        <w:spacing w:before="9"/>
        <w:rPr>
          <w:b/>
        </w:rPr>
      </w:pPr>
    </w:p>
    <w:p w14:paraId="75BCEF0E" w14:textId="20A665C4" w:rsidR="00B13606" w:rsidRPr="00024916" w:rsidRDefault="00454630" w:rsidP="00550AC0">
      <w:r w:rsidRPr="00024916">
        <w:t xml:space="preserve">Ytterligare information om detta läkemedel finns på Läkemedelsverkets webbplats </w:t>
      </w:r>
      <w:hyperlink r:id="rId9" w:history="1">
        <w:r w:rsidRPr="00024916">
          <w:rPr>
            <w:rStyle w:val="Hyperlnk"/>
          </w:rPr>
          <w:t>www.lakemedelsverket.se</w:t>
        </w:r>
      </w:hyperlink>
      <w:r w:rsidRPr="00024916">
        <w:t xml:space="preserve"> </w:t>
      </w:r>
    </w:p>
    <w:sectPr w:rsidR="00B13606" w:rsidRPr="000249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64167" w14:textId="77777777" w:rsidR="00EB6B8B" w:rsidRDefault="00EB6B8B">
      <w:r>
        <w:separator/>
      </w:r>
    </w:p>
  </w:endnote>
  <w:endnote w:type="continuationSeparator" w:id="0">
    <w:p w14:paraId="28BF7B85" w14:textId="77777777" w:rsidR="00EB6B8B" w:rsidRDefault="00EB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D84C" w14:textId="77777777" w:rsidR="00DA6084" w:rsidRDefault="00DA6084">
    <w:pPr>
      <w:pStyle w:val="Brdtext"/>
      <w:spacing w:line="14" w:lineRule="auto"/>
      <w:rPr>
        <w:sz w:val="20"/>
      </w:rPr>
    </w:pPr>
    <w:r>
      <w:rPr>
        <w:noProof/>
        <w:lang w:val="en-GB" w:eastAsia="en-GB" w:bidi="ar-SA"/>
      </w:rPr>
      <mc:AlternateContent>
        <mc:Choice Requires="wps">
          <w:drawing>
            <wp:anchor distT="0" distB="0" distL="114300" distR="114300" simplePos="0" relativeHeight="251659264" behindDoc="1" locked="0" layoutInCell="1" allowOverlap="1" wp14:anchorId="38FC4A85" wp14:editId="41C3B3F9">
              <wp:simplePos x="0" y="0"/>
              <wp:positionH relativeFrom="page">
                <wp:posOffset>3684905</wp:posOffset>
              </wp:positionH>
              <wp:positionV relativeFrom="page">
                <wp:posOffset>9936480</wp:posOffset>
              </wp:positionV>
              <wp:extent cx="189230" cy="139700"/>
              <wp:effectExtent l="0" t="1905" r="2540" b="1270"/>
              <wp:wrapNone/>
              <wp:docPr id="13" name="Textruta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C2144" w14:textId="743F60A5" w:rsidR="00DA6084" w:rsidRDefault="00DA6084">
                          <w:pPr>
                            <w:spacing w:before="15"/>
                            <w:ind w:left="60"/>
                            <w:rPr>
                              <w:rFonts w:ascii="Arial"/>
                              <w:sz w:val="16"/>
                            </w:rPr>
                          </w:pPr>
                          <w:r>
                            <w:fldChar w:fldCharType="begin"/>
                          </w:r>
                          <w:r>
                            <w:rPr>
                              <w:rFonts w:ascii="Arial"/>
                              <w:sz w:val="16"/>
                            </w:rPr>
                            <w:instrText xml:space="preserve"> PAGE </w:instrText>
                          </w:r>
                          <w:r>
                            <w:fldChar w:fldCharType="separate"/>
                          </w:r>
                          <w:r w:rsidR="00084A5A">
                            <w:rPr>
                              <w:rFonts w:ascii="Arial"/>
                              <w:noProof/>
                              <w:sz w:val="1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C4A85" id="_x0000_t202" coordsize="21600,21600" o:spt="202" path="m,l,21600r21600,l21600,xe">
              <v:stroke joinstyle="miter"/>
              <v:path gradientshapeok="t" o:connecttype="rect"/>
            </v:shapetype>
            <v:shape id="Textruta 13" o:spid="_x0000_s1026" type="#_x0000_t202" style="position:absolute;margin-left:290.15pt;margin-top:782.4pt;width:14.9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" filled="f" stroked="f">
              <v:textbox inset="0,0,0,0">
                <w:txbxContent>
                  <w:p w14:paraId="0BDC2144" w14:textId="743F60A5" w:rsidR="00DA6084" w:rsidRDefault="00DA6084">
                    <w:pPr>
                      <w:spacing w:before="15"/>
                      <w:ind w:left="60"/>
                      <w:rPr>
                        <w:rFonts w:ascii="Arial"/>
                        <w:sz w:val="16"/>
                      </w:rPr>
                    </w:pPr>
                    <w:r>
                      <w:fldChar w:fldCharType="begin"/>
                    </w:r>
                    <w:r>
                      <w:rPr>
                        <w:rFonts w:ascii="Arial"/>
                        <w:sz w:val="16"/>
                      </w:rPr>
                      <w:instrText xml:space="preserve"> PAGE </w:instrText>
                    </w:r>
                    <w:r>
                      <w:fldChar w:fldCharType="separate"/>
                    </w:r>
                    <w:r w:rsidR="00084A5A">
                      <w:rPr>
                        <w:rFonts w:ascii="Arial"/>
                        <w:noProof/>
                        <w:sz w:val="16"/>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1308C" w14:textId="77777777" w:rsidR="00EB6B8B" w:rsidRDefault="00EB6B8B">
      <w:r>
        <w:separator/>
      </w:r>
    </w:p>
  </w:footnote>
  <w:footnote w:type="continuationSeparator" w:id="0">
    <w:p w14:paraId="32A19BF3" w14:textId="77777777" w:rsidR="00EB6B8B" w:rsidRDefault="00EB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202D"/>
    <w:multiLevelType w:val="multilevel"/>
    <w:tmpl w:val="84BA3BC8"/>
    <w:lvl w:ilvl="0">
      <w:start w:val="1"/>
      <w:numFmt w:val="decimal"/>
      <w:lvlText w:val="%1."/>
      <w:lvlJc w:val="left"/>
      <w:pPr>
        <w:ind w:left="784" w:hanging="567"/>
      </w:pPr>
      <w:rPr>
        <w:rFonts w:ascii="Times New Roman" w:eastAsia="Times New Roman" w:hAnsi="Times New Roman" w:cs="Times New Roman" w:hint="default"/>
        <w:b/>
        <w:bCs/>
        <w:w w:val="100"/>
        <w:sz w:val="22"/>
        <w:szCs w:val="22"/>
        <w:lang w:val="sv-SE" w:eastAsia="sv-SE" w:bidi="sv-SE"/>
      </w:rPr>
    </w:lvl>
    <w:lvl w:ilvl="1">
      <w:start w:val="1"/>
      <w:numFmt w:val="decimal"/>
      <w:lvlText w:val="%1.%2"/>
      <w:lvlJc w:val="left"/>
      <w:pPr>
        <w:ind w:left="784" w:hanging="567"/>
      </w:pPr>
      <w:rPr>
        <w:rFonts w:ascii="Times New Roman" w:eastAsia="Times New Roman" w:hAnsi="Times New Roman" w:cs="Times New Roman" w:hint="default"/>
        <w:b/>
        <w:bCs/>
        <w:w w:val="100"/>
        <w:sz w:val="22"/>
        <w:szCs w:val="22"/>
        <w:lang w:val="sv-SE" w:eastAsia="sv-SE" w:bidi="sv-SE"/>
      </w:rPr>
    </w:lvl>
    <w:lvl w:ilvl="2">
      <w:numFmt w:val="bullet"/>
      <w:lvlText w:val="•"/>
      <w:lvlJc w:val="left"/>
      <w:pPr>
        <w:ind w:left="2525" w:hanging="567"/>
      </w:pPr>
      <w:rPr>
        <w:rFonts w:hint="default"/>
        <w:lang w:val="sv-SE" w:eastAsia="sv-SE" w:bidi="sv-SE"/>
      </w:rPr>
    </w:lvl>
    <w:lvl w:ilvl="3">
      <w:numFmt w:val="bullet"/>
      <w:lvlText w:val="•"/>
      <w:lvlJc w:val="left"/>
      <w:pPr>
        <w:ind w:left="3397" w:hanging="567"/>
      </w:pPr>
      <w:rPr>
        <w:rFonts w:hint="default"/>
        <w:lang w:val="sv-SE" w:eastAsia="sv-SE" w:bidi="sv-SE"/>
      </w:rPr>
    </w:lvl>
    <w:lvl w:ilvl="4">
      <w:numFmt w:val="bullet"/>
      <w:lvlText w:val="•"/>
      <w:lvlJc w:val="left"/>
      <w:pPr>
        <w:ind w:left="4270" w:hanging="567"/>
      </w:pPr>
      <w:rPr>
        <w:rFonts w:hint="default"/>
        <w:lang w:val="sv-SE" w:eastAsia="sv-SE" w:bidi="sv-SE"/>
      </w:rPr>
    </w:lvl>
    <w:lvl w:ilvl="5">
      <w:numFmt w:val="bullet"/>
      <w:lvlText w:val="•"/>
      <w:lvlJc w:val="left"/>
      <w:pPr>
        <w:ind w:left="5143" w:hanging="567"/>
      </w:pPr>
      <w:rPr>
        <w:rFonts w:hint="default"/>
        <w:lang w:val="sv-SE" w:eastAsia="sv-SE" w:bidi="sv-SE"/>
      </w:rPr>
    </w:lvl>
    <w:lvl w:ilvl="6">
      <w:numFmt w:val="bullet"/>
      <w:lvlText w:val="•"/>
      <w:lvlJc w:val="left"/>
      <w:pPr>
        <w:ind w:left="6015" w:hanging="567"/>
      </w:pPr>
      <w:rPr>
        <w:rFonts w:hint="default"/>
        <w:lang w:val="sv-SE" w:eastAsia="sv-SE" w:bidi="sv-SE"/>
      </w:rPr>
    </w:lvl>
    <w:lvl w:ilvl="7">
      <w:numFmt w:val="bullet"/>
      <w:lvlText w:val="•"/>
      <w:lvlJc w:val="left"/>
      <w:pPr>
        <w:ind w:left="6888" w:hanging="567"/>
      </w:pPr>
      <w:rPr>
        <w:rFonts w:hint="default"/>
        <w:lang w:val="sv-SE" w:eastAsia="sv-SE" w:bidi="sv-SE"/>
      </w:rPr>
    </w:lvl>
    <w:lvl w:ilvl="8">
      <w:numFmt w:val="bullet"/>
      <w:lvlText w:val="•"/>
      <w:lvlJc w:val="left"/>
      <w:pPr>
        <w:ind w:left="7761" w:hanging="567"/>
      </w:pPr>
      <w:rPr>
        <w:rFonts w:hint="default"/>
        <w:lang w:val="sv-SE" w:eastAsia="sv-SE" w:bidi="sv-SE"/>
      </w:rPr>
    </w:lvl>
  </w:abstractNum>
  <w:abstractNum w:abstractNumId="1" w15:restartNumberingAfterBreak="0">
    <w:nsid w:val="1D434561"/>
    <w:multiLevelType w:val="multilevel"/>
    <w:tmpl w:val="DE948FC8"/>
    <w:lvl w:ilvl="0">
      <w:start w:val="1"/>
      <w:numFmt w:val="decimal"/>
      <w:lvlText w:val="%1."/>
      <w:lvlJc w:val="left"/>
      <w:pPr>
        <w:ind w:left="784" w:hanging="567"/>
      </w:pPr>
      <w:rPr>
        <w:rFonts w:ascii="Times New Roman" w:eastAsia="Times New Roman" w:hAnsi="Times New Roman" w:cs="Times New Roman" w:hint="default"/>
        <w:b/>
        <w:bCs/>
        <w:w w:val="100"/>
        <w:sz w:val="22"/>
        <w:szCs w:val="22"/>
        <w:lang w:val="sv-SE" w:eastAsia="sv-SE" w:bidi="sv-SE"/>
      </w:rPr>
    </w:lvl>
    <w:lvl w:ilvl="1">
      <w:start w:val="1"/>
      <w:numFmt w:val="decimal"/>
      <w:lvlText w:val="%1.%2"/>
      <w:lvlJc w:val="left"/>
      <w:pPr>
        <w:ind w:left="784" w:hanging="567"/>
      </w:pPr>
      <w:rPr>
        <w:rFonts w:ascii="Times New Roman" w:eastAsia="Times New Roman" w:hAnsi="Times New Roman" w:cs="Times New Roman" w:hint="default"/>
        <w:b/>
        <w:bCs/>
        <w:w w:val="100"/>
        <w:sz w:val="22"/>
        <w:szCs w:val="22"/>
        <w:lang w:val="sv-SE" w:eastAsia="sv-SE" w:bidi="sv-SE"/>
      </w:rPr>
    </w:lvl>
    <w:lvl w:ilvl="2">
      <w:numFmt w:val="bullet"/>
      <w:lvlText w:val="•"/>
      <w:lvlJc w:val="left"/>
      <w:pPr>
        <w:ind w:left="2525" w:hanging="567"/>
      </w:pPr>
      <w:rPr>
        <w:rFonts w:hint="default"/>
        <w:lang w:val="sv-SE" w:eastAsia="sv-SE" w:bidi="sv-SE"/>
      </w:rPr>
    </w:lvl>
    <w:lvl w:ilvl="3">
      <w:numFmt w:val="bullet"/>
      <w:lvlText w:val="•"/>
      <w:lvlJc w:val="left"/>
      <w:pPr>
        <w:ind w:left="3397" w:hanging="567"/>
      </w:pPr>
      <w:rPr>
        <w:rFonts w:hint="default"/>
        <w:lang w:val="sv-SE" w:eastAsia="sv-SE" w:bidi="sv-SE"/>
      </w:rPr>
    </w:lvl>
    <w:lvl w:ilvl="4">
      <w:numFmt w:val="bullet"/>
      <w:lvlText w:val="•"/>
      <w:lvlJc w:val="left"/>
      <w:pPr>
        <w:ind w:left="4270" w:hanging="567"/>
      </w:pPr>
      <w:rPr>
        <w:rFonts w:hint="default"/>
        <w:lang w:val="sv-SE" w:eastAsia="sv-SE" w:bidi="sv-SE"/>
      </w:rPr>
    </w:lvl>
    <w:lvl w:ilvl="5">
      <w:numFmt w:val="bullet"/>
      <w:lvlText w:val="•"/>
      <w:lvlJc w:val="left"/>
      <w:pPr>
        <w:ind w:left="5143" w:hanging="567"/>
      </w:pPr>
      <w:rPr>
        <w:rFonts w:hint="default"/>
        <w:lang w:val="sv-SE" w:eastAsia="sv-SE" w:bidi="sv-SE"/>
      </w:rPr>
    </w:lvl>
    <w:lvl w:ilvl="6">
      <w:numFmt w:val="bullet"/>
      <w:lvlText w:val="•"/>
      <w:lvlJc w:val="left"/>
      <w:pPr>
        <w:ind w:left="6015" w:hanging="567"/>
      </w:pPr>
      <w:rPr>
        <w:rFonts w:hint="default"/>
        <w:lang w:val="sv-SE" w:eastAsia="sv-SE" w:bidi="sv-SE"/>
      </w:rPr>
    </w:lvl>
    <w:lvl w:ilvl="7">
      <w:numFmt w:val="bullet"/>
      <w:lvlText w:val="•"/>
      <w:lvlJc w:val="left"/>
      <w:pPr>
        <w:ind w:left="6888" w:hanging="567"/>
      </w:pPr>
      <w:rPr>
        <w:rFonts w:hint="default"/>
        <w:lang w:val="sv-SE" w:eastAsia="sv-SE" w:bidi="sv-SE"/>
      </w:rPr>
    </w:lvl>
    <w:lvl w:ilvl="8">
      <w:numFmt w:val="bullet"/>
      <w:lvlText w:val="•"/>
      <w:lvlJc w:val="left"/>
      <w:pPr>
        <w:ind w:left="7761" w:hanging="567"/>
      </w:pPr>
      <w:rPr>
        <w:rFonts w:hint="default"/>
        <w:lang w:val="sv-SE" w:eastAsia="sv-SE" w:bidi="sv-SE"/>
      </w:rPr>
    </w:lvl>
  </w:abstractNum>
  <w:abstractNum w:abstractNumId="2" w15:restartNumberingAfterBreak="0">
    <w:nsid w:val="32BD405E"/>
    <w:multiLevelType w:val="hybridMultilevel"/>
    <w:tmpl w:val="096E2338"/>
    <w:lvl w:ilvl="0" w:tplc="5EA2DBC4">
      <w:numFmt w:val="bullet"/>
      <w:lvlText w:val=""/>
      <w:lvlJc w:val="left"/>
      <w:pPr>
        <w:ind w:left="784" w:hanging="567"/>
      </w:pPr>
      <w:rPr>
        <w:rFonts w:ascii="Symbol" w:eastAsia="Symbol" w:hAnsi="Symbol" w:cs="Symbol" w:hint="default"/>
        <w:w w:val="100"/>
        <w:sz w:val="22"/>
        <w:szCs w:val="22"/>
        <w:lang w:val="sv-SE" w:eastAsia="sv-SE" w:bidi="sv-SE"/>
      </w:rPr>
    </w:lvl>
    <w:lvl w:ilvl="1" w:tplc="82A42E16">
      <w:numFmt w:val="bullet"/>
      <w:lvlText w:val=""/>
      <w:lvlJc w:val="left"/>
      <w:pPr>
        <w:ind w:left="1145" w:hanging="361"/>
      </w:pPr>
      <w:rPr>
        <w:rFonts w:ascii="Symbol" w:eastAsia="Symbol" w:hAnsi="Symbol" w:cs="Symbol" w:hint="default"/>
        <w:w w:val="100"/>
        <w:sz w:val="22"/>
        <w:szCs w:val="22"/>
        <w:lang w:val="sv-SE" w:eastAsia="sv-SE" w:bidi="sv-SE"/>
      </w:rPr>
    </w:lvl>
    <w:lvl w:ilvl="2" w:tplc="560C65C6">
      <w:numFmt w:val="bullet"/>
      <w:lvlText w:val="•"/>
      <w:lvlJc w:val="left"/>
      <w:pPr>
        <w:ind w:left="1140" w:hanging="361"/>
      </w:pPr>
      <w:rPr>
        <w:rFonts w:hint="default"/>
        <w:lang w:val="sv-SE" w:eastAsia="sv-SE" w:bidi="sv-SE"/>
      </w:rPr>
    </w:lvl>
    <w:lvl w:ilvl="3" w:tplc="EDBCD8E4">
      <w:numFmt w:val="bullet"/>
      <w:lvlText w:val="•"/>
      <w:lvlJc w:val="left"/>
      <w:pPr>
        <w:ind w:left="2185" w:hanging="361"/>
      </w:pPr>
      <w:rPr>
        <w:rFonts w:hint="default"/>
        <w:lang w:val="sv-SE" w:eastAsia="sv-SE" w:bidi="sv-SE"/>
      </w:rPr>
    </w:lvl>
    <w:lvl w:ilvl="4" w:tplc="3EE2ED54">
      <w:numFmt w:val="bullet"/>
      <w:lvlText w:val="•"/>
      <w:lvlJc w:val="left"/>
      <w:pPr>
        <w:ind w:left="3231" w:hanging="361"/>
      </w:pPr>
      <w:rPr>
        <w:rFonts w:hint="default"/>
        <w:lang w:val="sv-SE" w:eastAsia="sv-SE" w:bidi="sv-SE"/>
      </w:rPr>
    </w:lvl>
    <w:lvl w:ilvl="5" w:tplc="6C322970">
      <w:numFmt w:val="bullet"/>
      <w:lvlText w:val="•"/>
      <w:lvlJc w:val="left"/>
      <w:pPr>
        <w:ind w:left="4277" w:hanging="361"/>
      </w:pPr>
      <w:rPr>
        <w:rFonts w:hint="default"/>
        <w:lang w:val="sv-SE" w:eastAsia="sv-SE" w:bidi="sv-SE"/>
      </w:rPr>
    </w:lvl>
    <w:lvl w:ilvl="6" w:tplc="19FA1340">
      <w:numFmt w:val="bullet"/>
      <w:lvlText w:val="•"/>
      <w:lvlJc w:val="left"/>
      <w:pPr>
        <w:ind w:left="5323" w:hanging="361"/>
      </w:pPr>
      <w:rPr>
        <w:rFonts w:hint="default"/>
        <w:lang w:val="sv-SE" w:eastAsia="sv-SE" w:bidi="sv-SE"/>
      </w:rPr>
    </w:lvl>
    <w:lvl w:ilvl="7" w:tplc="D3669D4E">
      <w:numFmt w:val="bullet"/>
      <w:lvlText w:val="•"/>
      <w:lvlJc w:val="left"/>
      <w:pPr>
        <w:ind w:left="6369" w:hanging="361"/>
      </w:pPr>
      <w:rPr>
        <w:rFonts w:hint="default"/>
        <w:lang w:val="sv-SE" w:eastAsia="sv-SE" w:bidi="sv-SE"/>
      </w:rPr>
    </w:lvl>
    <w:lvl w:ilvl="8" w:tplc="254E6A58">
      <w:numFmt w:val="bullet"/>
      <w:lvlText w:val="•"/>
      <w:lvlJc w:val="left"/>
      <w:pPr>
        <w:ind w:left="7414" w:hanging="361"/>
      </w:pPr>
      <w:rPr>
        <w:rFonts w:hint="default"/>
        <w:lang w:val="sv-SE" w:eastAsia="sv-SE" w:bidi="sv-SE"/>
      </w:rPr>
    </w:lvl>
  </w:abstractNum>
  <w:abstractNum w:abstractNumId="3" w15:restartNumberingAfterBreak="0">
    <w:nsid w:val="4D586E47"/>
    <w:multiLevelType w:val="multilevel"/>
    <w:tmpl w:val="E12C01A4"/>
    <w:lvl w:ilvl="0">
      <w:start w:val="6"/>
      <w:numFmt w:val="decimal"/>
      <w:lvlText w:val="%1."/>
      <w:lvlJc w:val="left"/>
      <w:pPr>
        <w:ind w:left="784" w:hanging="567"/>
      </w:pPr>
      <w:rPr>
        <w:rFonts w:ascii="Times New Roman" w:eastAsia="Times New Roman" w:hAnsi="Times New Roman" w:cs="Times New Roman" w:hint="default"/>
        <w:b/>
        <w:bCs/>
        <w:w w:val="100"/>
        <w:sz w:val="22"/>
        <w:szCs w:val="22"/>
        <w:lang w:val="sv-SE" w:eastAsia="sv-SE" w:bidi="sv-SE"/>
      </w:rPr>
    </w:lvl>
    <w:lvl w:ilvl="1">
      <w:start w:val="1"/>
      <w:numFmt w:val="decimal"/>
      <w:lvlText w:val="%1.%2"/>
      <w:lvlJc w:val="left"/>
      <w:pPr>
        <w:ind w:left="784" w:hanging="567"/>
      </w:pPr>
      <w:rPr>
        <w:rFonts w:ascii="Times New Roman" w:eastAsia="Times New Roman" w:hAnsi="Times New Roman" w:cs="Times New Roman" w:hint="default"/>
        <w:b/>
        <w:bCs/>
        <w:w w:val="100"/>
        <w:sz w:val="22"/>
        <w:szCs w:val="22"/>
        <w:lang w:val="sv-SE" w:eastAsia="sv-SE" w:bidi="sv-SE"/>
      </w:rPr>
    </w:lvl>
    <w:lvl w:ilvl="2">
      <w:numFmt w:val="bullet"/>
      <w:lvlText w:val="•"/>
      <w:lvlJc w:val="left"/>
      <w:pPr>
        <w:ind w:left="2525" w:hanging="567"/>
      </w:pPr>
      <w:rPr>
        <w:rFonts w:hint="default"/>
        <w:lang w:val="sv-SE" w:eastAsia="sv-SE" w:bidi="sv-SE"/>
      </w:rPr>
    </w:lvl>
    <w:lvl w:ilvl="3">
      <w:numFmt w:val="bullet"/>
      <w:lvlText w:val="•"/>
      <w:lvlJc w:val="left"/>
      <w:pPr>
        <w:ind w:left="3397" w:hanging="567"/>
      </w:pPr>
      <w:rPr>
        <w:rFonts w:hint="default"/>
        <w:lang w:val="sv-SE" w:eastAsia="sv-SE" w:bidi="sv-SE"/>
      </w:rPr>
    </w:lvl>
    <w:lvl w:ilvl="4">
      <w:numFmt w:val="bullet"/>
      <w:lvlText w:val="•"/>
      <w:lvlJc w:val="left"/>
      <w:pPr>
        <w:ind w:left="4270" w:hanging="567"/>
      </w:pPr>
      <w:rPr>
        <w:rFonts w:hint="default"/>
        <w:lang w:val="sv-SE" w:eastAsia="sv-SE" w:bidi="sv-SE"/>
      </w:rPr>
    </w:lvl>
    <w:lvl w:ilvl="5">
      <w:numFmt w:val="bullet"/>
      <w:lvlText w:val="•"/>
      <w:lvlJc w:val="left"/>
      <w:pPr>
        <w:ind w:left="5143" w:hanging="567"/>
      </w:pPr>
      <w:rPr>
        <w:rFonts w:hint="default"/>
        <w:lang w:val="sv-SE" w:eastAsia="sv-SE" w:bidi="sv-SE"/>
      </w:rPr>
    </w:lvl>
    <w:lvl w:ilvl="6">
      <w:numFmt w:val="bullet"/>
      <w:lvlText w:val="•"/>
      <w:lvlJc w:val="left"/>
      <w:pPr>
        <w:ind w:left="6015" w:hanging="567"/>
      </w:pPr>
      <w:rPr>
        <w:rFonts w:hint="default"/>
        <w:lang w:val="sv-SE" w:eastAsia="sv-SE" w:bidi="sv-SE"/>
      </w:rPr>
    </w:lvl>
    <w:lvl w:ilvl="7">
      <w:numFmt w:val="bullet"/>
      <w:lvlText w:val="•"/>
      <w:lvlJc w:val="left"/>
      <w:pPr>
        <w:ind w:left="6888" w:hanging="567"/>
      </w:pPr>
      <w:rPr>
        <w:rFonts w:hint="default"/>
        <w:lang w:val="sv-SE" w:eastAsia="sv-SE" w:bidi="sv-SE"/>
      </w:rPr>
    </w:lvl>
    <w:lvl w:ilvl="8">
      <w:numFmt w:val="bullet"/>
      <w:lvlText w:val="•"/>
      <w:lvlJc w:val="left"/>
      <w:pPr>
        <w:ind w:left="7761" w:hanging="567"/>
      </w:pPr>
      <w:rPr>
        <w:rFonts w:hint="default"/>
        <w:lang w:val="sv-SE" w:eastAsia="sv-SE" w:bidi="sv-SE"/>
      </w:rPr>
    </w:lvl>
  </w:abstractNum>
  <w:abstractNum w:abstractNumId="4" w15:restartNumberingAfterBreak="0">
    <w:nsid w:val="68084BBE"/>
    <w:multiLevelType w:val="hybridMultilevel"/>
    <w:tmpl w:val="DB0E6014"/>
    <w:lvl w:ilvl="0" w:tplc="322E8378">
      <w:start w:val="1"/>
      <w:numFmt w:val="decimal"/>
      <w:lvlText w:val="%1."/>
      <w:lvlJc w:val="left"/>
      <w:pPr>
        <w:ind w:left="439" w:hanging="221"/>
      </w:pPr>
      <w:rPr>
        <w:rFonts w:ascii="Times New Roman" w:eastAsia="Times New Roman" w:hAnsi="Times New Roman" w:cs="Times New Roman" w:hint="default"/>
        <w:w w:val="100"/>
        <w:sz w:val="22"/>
        <w:szCs w:val="22"/>
        <w:lang w:val="sv-SE" w:eastAsia="sv-SE" w:bidi="sv-SE"/>
      </w:rPr>
    </w:lvl>
    <w:lvl w:ilvl="1" w:tplc="3A6E0CB4">
      <w:numFmt w:val="bullet"/>
      <w:lvlText w:val="•"/>
      <w:lvlJc w:val="left"/>
      <w:pPr>
        <w:ind w:left="1346" w:hanging="221"/>
      </w:pPr>
      <w:rPr>
        <w:rFonts w:hint="default"/>
        <w:lang w:val="sv-SE" w:eastAsia="sv-SE" w:bidi="sv-SE"/>
      </w:rPr>
    </w:lvl>
    <w:lvl w:ilvl="2" w:tplc="AD288E36">
      <w:numFmt w:val="bullet"/>
      <w:lvlText w:val="•"/>
      <w:lvlJc w:val="left"/>
      <w:pPr>
        <w:ind w:left="2253" w:hanging="221"/>
      </w:pPr>
      <w:rPr>
        <w:rFonts w:hint="default"/>
        <w:lang w:val="sv-SE" w:eastAsia="sv-SE" w:bidi="sv-SE"/>
      </w:rPr>
    </w:lvl>
    <w:lvl w:ilvl="3" w:tplc="1616C6F6">
      <w:numFmt w:val="bullet"/>
      <w:lvlText w:val="•"/>
      <w:lvlJc w:val="left"/>
      <w:pPr>
        <w:ind w:left="3159" w:hanging="221"/>
      </w:pPr>
      <w:rPr>
        <w:rFonts w:hint="default"/>
        <w:lang w:val="sv-SE" w:eastAsia="sv-SE" w:bidi="sv-SE"/>
      </w:rPr>
    </w:lvl>
    <w:lvl w:ilvl="4" w:tplc="76982FAC">
      <w:numFmt w:val="bullet"/>
      <w:lvlText w:val="•"/>
      <w:lvlJc w:val="left"/>
      <w:pPr>
        <w:ind w:left="4066" w:hanging="221"/>
      </w:pPr>
      <w:rPr>
        <w:rFonts w:hint="default"/>
        <w:lang w:val="sv-SE" w:eastAsia="sv-SE" w:bidi="sv-SE"/>
      </w:rPr>
    </w:lvl>
    <w:lvl w:ilvl="5" w:tplc="29F05178">
      <w:numFmt w:val="bullet"/>
      <w:lvlText w:val="•"/>
      <w:lvlJc w:val="left"/>
      <w:pPr>
        <w:ind w:left="4973" w:hanging="221"/>
      </w:pPr>
      <w:rPr>
        <w:rFonts w:hint="default"/>
        <w:lang w:val="sv-SE" w:eastAsia="sv-SE" w:bidi="sv-SE"/>
      </w:rPr>
    </w:lvl>
    <w:lvl w:ilvl="6" w:tplc="E474BC5C">
      <w:numFmt w:val="bullet"/>
      <w:lvlText w:val="•"/>
      <w:lvlJc w:val="left"/>
      <w:pPr>
        <w:ind w:left="5879" w:hanging="221"/>
      </w:pPr>
      <w:rPr>
        <w:rFonts w:hint="default"/>
        <w:lang w:val="sv-SE" w:eastAsia="sv-SE" w:bidi="sv-SE"/>
      </w:rPr>
    </w:lvl>
    <w:lvl w:ilvl="7" w:tplc="C9F8DCF8">
      <w:numFmt w:val="bullet"/>
      <w:lvlText w:val="•"/>
      <w:lvlJc w:val="left"/>
      <w:pPr>
        <w:ind w:left="6786" w:hanging="221"/>
      </w:pPr>
      <w:rPr>
        <w:rFonts w:hint="default"/>
        <w:lang w:val="sv-SE" w:eastAsia="sv-SE" w:bidi="sv-SE"/>
      </w:rPr>
    </w:lvl>
    <w:lvl w:ilvl="8" w:tplc="CD664C52">
      <w:numFmt w:val="bullet"/>
      <w:lvlText w:val="•"/>
      <w:lvlJc w:val="left"/>
      <w:pPr>
        <w:ind w:left="7693" w:hanging="221"/>
      </w:pPr>
      <w:rPr>
        <w:rFonts w:hint="default"/>
        <w:lang w:val="sv-SE" w:eastAsia="sv-SE" w:bidi="sv-S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06"/>
    <w:rsid w:val="0000191F"/>
    <w:rsid w:val="00024916"/>
    <w:rsid w:val="00084A5A"/>
    <w:rsid w:val="000B4FAC"/>
    <w:rsid w:val="001059D2"/>
    <w:rsid w:val="00115093"/>
    <w:rsid w:val="00190543"/>
    <w:rsid w:val="001D68E4"/>
    <w:rsid w:val="00207D05"/>
    <w:rsid w:val="00266902"/>
    <w:rsid w:val="002D1087"/>
    <w:rsid w:val="002E4B88"/>
    <w:rsid w:val="003A0DB8"/>
    <w:rsid w:val="00427C5B"/>
    <w:rsid w:val="00435DC8"/>
    <w:rsid w:val="00454630"/>
    <w:rsid w:val="004E144B"/>
    <w:rsid w:val="004E3AB2"/>
    <w:rsid w:val="00526675"/>
    <w:rsid w:val="0052764C"/>
    <w:rsid w:val="00550AC0"/>
    <w:rsid w:val="00560584"/>
    <w:rsid w:val="00643CDC"/>
    <w:rsid w:val="007A2167"/>
    <w:rsid w:val="00834FFD"/>
    <w:rsid w:val="008F3B12"/>
    <w:rsid w:val="00983BFC"/>
    <w:rsid w:val="009C3058"/>
    <w:rsid w:val="009D0682"/>
    <w:rsid w:val="00A06216"/>
    <w:rsid w:val="00A401A5"/>
    <w:rsid w:val="00A52061"/>
    <w:rsid w:val="00A745AC"/>
    <w:rsid w:val="00AB4EFA"/>
    <w:rsid w:val="00B13606"/>
    <w:rsid w:val="00B337BA"/>
    <w:rsid w:val="00B5399F"/>
    <w:rsid w:val="00B76C85"/>
    <w:rsid w:val="00B823BA"/>
    <w:rsid w:val="00C0585E"/>
    <w:rsid w:val="00C52264"/>
    <w:rsid w:val="00D00635"/>
    <w:rsid w:val="00D22313"/>
    <w:rsid w:val="00D707F0"/>
    <w:rsid w:val="00DA6084"/>
    <w:rsid w:val="00DA65C9"/>
    <w:rsid w:val="00E16CAA"/>
    <w:rsid w:val="00E928E7"/>
    <w:rsid w:val="00EB6B8B"/>
    <w:rsid w:val="00EE30E9"/>
    <w:rsid w:val="00EE7190"/>
    <w:rsid w:val="00F4635E"/>
    <w:rsid w:val="00F763B2"/>
    <w:rsid w:val="00FB0F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84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3606"/>
    <w:pPr>
      <w:widowControl w:val="0"/>
      <w:autoSpaceDE w:val="0"/>
      <w:autoSpaceDN w:val="0"/>
      <w:spacing w:after="0" w:line="240" w:lineRule="auto"/>
    </w:pPr>
    <w:rPr>
      <w:rFonts w:ascii="Times New Roman" w:eastAsia="Times New Roman" w:hAnsi="Times New Roman" w:cs="Times New Roman"/>
      <w:lang w:bidi="sv-SE"/>
    </w:rPr>
  </w:style>
  <w:style w:type="paragraph" w:styleId="Rubrik1">
    <w:name w:val="heading 1"/>
    <w:basedOn w:val="Normal"/>
    <w:next w:val="Normal"/>
    <w:link w:val="Rubrik1Char"/>
    <w:uiPriority w:val="1"/>
    <w:qFormat/>
    <w:rsid w:val="000B4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semiHidden/>
    <w:unhideWhenUsed/>
    <w:qFormat/>
    <w:rsid w:val="000B4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0B4FA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B4FAC"/>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B4FAC"/>
    <w:pPr>
      <w:keepNext/>
      <w:keepLines/>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B4FAC"/>
    <w:pPr>
      <w:keepNext/>
      <w:keepLines/>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B4FAC"/>
    <w:pPr>
      <w:keepNext/>
      <w:keepLines/>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B4FAC"/>
    <w:pPr>
      <w:keepNext/>
      <w:keepLines/>
      <w:spacing w:before="20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B4F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4F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semiHidden/>
    <w:rsid w:val="000B4FAC"/>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semiHidden/>
    <w:rsid w:val="000B4FA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B4FA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B4FA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B4FA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B4FA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B4FAC"/>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B4FAC"/>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0B4FAC"/>
    <w:rPr>
      <w:b/>
      <w:bCs/>
      <w:color w:val="4F81BD" w:themeColor="accent1"/>
      <w:sz w:val="18"/>
      <w:szCs w:val="18"/>
    </w:rPr>
  </w:style>
  <w:style w:type="paragraph" w:styleId="Rubrik">
    <w:name w:val="Title"/>
    <w:basedOn w:val="Normal"/>
    <w:next w:val="Normal"/>
    <w:link w:val="RubrikChar"/>
    <w:uiPriority w:val="10"/>
    <w:qFormat/>
    <w:rsid w:val="000B4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B4FAC"/>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B4F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B4FAC"/>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0B4FAC"/>
    <w:rPr>
      <w:b/>
      <w:bCs/>
    </w:rPr>
  </w:style>
  <w:style w:type="character" w:styleId="Betoning">
    <w:name w:val="Emphasis"/>
    <w:basedOn w:val="Standardstycketeckensnitt"/>
    <w:uiPriority w:val="20"/>
    <w:qFormat/>
    <w:rsid w:val="000B4FAC"/>
    <w:rPr>
      <w:i/>
      <w:iCs/>
    </w:rPr>
  </w:style>
  <w:style w:type="paragraph" w:styleId="Ingetavstnd">
    <w:name w:val="No Spacing"/>
    <w:uiPriority w:val="1"/>
    <w:qFormat/>
    <w:rsid w:val="000B4FAC"/>
    <w:pPr>
      <w:spacing w:after="0" w:line="240" w:lineRule="auto"/>
    </w:pPr>
  </w:style>
  <w:style w:type="paragraph" w:styleId="Liststycke">
    <w:name w:val="List Paragraph"/>
    <w:basedOn w:val="Normal"/>
    <w:uiPriority w:val="1"/>
    <w:qFormat/>
    <w:rsid w:val="000B4FAC"/>
    <w:pPr>
      <w:ind w:left="720"/>
      <w:contextualSpacing/>
    </w:pPr>
  </w:style>
  <w:style w:type="paragraph" w:styleId="Citat">
    <w:name w:val="Quote"/>
    <w:basedOn w:val="Normal"/>
    <w:next w:val="Normal"/>
    <w:link w:val="CitatChar"/>
    <w:uiPriority w:val="29"/>
    <w:qFormat/>
    <w:rsid w:val="000B4FAC"/>
    <w:rPr>
      <w:i/>
      <w:iCs/>
      <w:color w:val="000000" w:themeColor="text1"/>
    </w:rPr>
  </w:style>
  <w:style w:type="character" w:customStyle="1" w:styleId="CitatChar">
    <w:name w:val="Citat Char"/>
    <w:basedOn w:val="Standardstycketeckensnitt"/>
    <w:link w:val="Citat"/>
    <w:uiPriority w:val="29"/>
    <w:rsid w:val="000B4FAC"/>
    <w:rPr>
      <w:i/>
      <w:iCs/>
      <w:color w:val="000000" w:themeColor="text1"/>
    </w:rPr>
  </w:style>
  <w:style w:type="paragraph" w:styleId="Starktcitat">
    <w:name w:val="Intense Quote"/>
    <w:basedOn w:val="Normal"/>
    <w:next w:val="Normal"/>
    <w:link w:val="StarktcitatChar"/>
    <w:uiPriority w:val="30"/>
    <w:qFormat/>
    <w:rsid w:val="000B4FAC"/>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B4FAC"/>
    <w:rPr>
      <w:b/>
      <w:bCs/>
      <w:i/>
      <w:iCs/>
      <w:color w:val="4F81BD" w:themeColor="accent1"/>
    </w:rPr>
  </w:style>
  <w:style w:type="character" w:styleId="Diskretbetoning">
    <w:name w:val="Subtle Emphasis"/>
    <w:basedOn w:val="Standardstycketeckensnitt"/>
    <w:uiPriority w:val="19"/>
    <w:qFormat/>
    <w:rsid w:val="000B4FAC"/>
    <w:rPr>
      <w:i/>
      <w:iCs/>
      <w:color w:val="808080" w:themeColor="text1" w:themeTint="7F"/>
    </w:rPr>
  </w:style>
  <w:style w:type="character" w:styleId="Starkbetoning">
    <w:name w:val="Intense Emphasis"/>
    <w:basedOn w:val="Standardstycketeckensnitt"/>
    <w:uiPriority w:val="21"/>
    <w:qFormat/>
    <w:rsid w:val="000B4FAC"/>
    <w:rPr>
      <w:b/>
      <w:bCs/>
      <w:i/>
      <w:iCs/>
      <w:color w:val="4F81BD" w:themeColor="accent1"/>
    </w:rPr>
  </w:style>
  <w:style w:type="character" w:styleId="Diskretreferens">
    <w:name w:val="Subtle Reference"/>
    <w:basedOn w:val="Standardstycketeckensnitt"/>
    <w:uiPriority w:val="31"/>
    <w:qFormat/>
    <w:rsid w:val="000B4FAC"/>
    <w:rPr>
      <w:smallCaps/>
      <w:color w:val="C0504D" w:themeColor="accent2"/>
      <w:u w:val="single"/>
    </w:rPr>
  </w:style>
  <w:style w:type="character" w:styleId="Starkreferens">
    <w:name w:val="Intense Reference"/>
    <w:basedOn w:val="Standardstycketeckensnitt"/>
    <w:uiPriority w:val="32"/>
    <w:qFormat/>
    <w:rsid w:val="000B4FAC"/>
    <w:rPr>
      <w:b/>
      <w:bCs/>
      <w:smallCaps/>
      <w:color w:val="C0504D" w:themeColor="accent2"/>
      <w:spacing w:val="5"/>
      <w:u w:val="single"/>
    </w:rPr>
  </w:style>
  <w:style w:type="character" w:styleId="Bokenstitel">
    <w:name w:val="Book Title"/>
    <w:basedOn w:val="Standardstycketeckensnitt"/>
    <w:uiPriority w:val="33"/>
    <w:qFormat/>
    <w:rsid w:val="000B4FAC"/>
    <w:rPr>
      <w:b/>
      <w:bCs/>
      <w:smallCaps/>
      <w:spacing w:val="5"/>
    </w:rPr>
  </w:style>
  <w:style w:type="paragraph" w:styleId="Innehllsfrteckningsrubrik">
    <w:name w:val="TOC Heading"/>
    <w:basedOn w:val="Rubrik1"/>
    <w:next w:val="Normal"/>
    <w:uiPriority w:val="39"/>
    <w:semiHidden/>
    <w:unhideWhenUsed/>
    <w:qFormat/>
    <w:rsid w:val="000B4FAC"/>
    <w:pPr>
      <w:outlineLvl w:val="9"/>
    </w:pPr>
  </w:style>
  <w:style w:type="table" w:customStyle="1" w:styleId="TableNormal1">
    <w:name w:val="Table Normal1"/>
    <w:uiPriority w:val="2"/>
    <w:semiHidden/>
    <w:unhideWhenUsed/>
    <w:qFormat/>
    <w:rsid w:val="00B13606"/>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B13606"/>
  </w:style>
  <w:style w:type="character" w:customStyle="1" w:styleId="BrdtextChar">
    <w:name w:val="Brödtext Char"/>
    <w:basedOn w:val="Standardstycketeckensnitt"/>
    <w:link w:val="Brdtext"/>
    <w:uiPriority w:val="1"/>
    <w:rsid w:val="00B13606"/>
    <w:rPr>
      <w:rFonts w:ascii="Times New Roman" w:eastAsia="Times New Roman" w:hAnsi="Times New Roman" w:cs="Times New Roman"/>
      <w:lang w:bidi="sv-SE"/>
    </w:rPr>
  </w:style>
  <w:style w:type="paragraph" w:customStyle="1" w:styleId="TableParagraph">
    <w:name w:val="Table Paragraph"/>
    <w:basedOn w:val="Normal"/>
    <w:uiPriority w:val="1"/>
    <w:qFormat/>
    <w:rsid w:val="00B13606"/>
    <w:pPr>
      <w:jc w:val="center"/>
    </w:pPr>
  </w:style>
  <w:style w:type="paragraph" w:customStyle="1" w:styleId="Default">
    <w:name w:val="Default"/>
    <w:rsid w:val="003A0DB8"/>
    <w:pPr>
      <w:autoSpaceDE w:val="0"/>
      <w:autoSpaceDN w:val="0"/>
      <w:adjustRightInd w:val="0"/>
      <w:spacing w:after="0" w:line="240" w:lineRule="auto"/>
    </w:pPr>
    <w:rPr>
      <w:rFonts w:ascii="Times New Roman" w:eastAsia="Calibri" w:hAnsi="Times New Roman" w:cs="Times New Roman"/>
      <w:color w:val="000000"/>
      <w:sz w:val="24"/>
      <w:szCs w:val="24"/>
      <w:lang w:val="es-ES" w:eastAsia="en-US"/>
    </w:rPr>
  </w:style>
  <w:style w:type="character" w:styleId="Kommentarsreferens">
    <w:name w:val="annotation reference"/>
    <w:basedOn w:val="Standardstycketeckensnitt"/>
    <w:uiPriority w:val="99"/>
    <w:semiHidden/>
    <w:unhideWhenUsed/>
    <w:rsid w:val="003A0DB8"/>
    <w:rPr>
      <w:sz w:val="16"/>
      <w:szCs w:val="16"/>
    </w:rPr>
  </w:style>
  <w:style w:type="paragraph" w:styleId="Kommentarer">
    <w:name w:val="annotation text"/>
    <w:basedOn w:val="Normal"/>
    <w:link w:val="KommentarerChar"/>
    <w:uiPriority w:val="99"/>
    <w:semiHidden/>
    <w:unhideWhenUsed/>
    <w:rsid w:val="003A0DB8"/>
    <w:rPr>
      <w:sz w:val="20"/>
      <w:szCs w:val="20"/>
    </w:rPr>
  </w:style>
  <w:style w:type="character" w:customStyle="1" w:styleId="KommentarerChar">
    <w:name w:val="Kommentarer Char"/>
    <w:basedOn w:val="Standardstycketeckensnitt"/>
    <w:link w:val="Kommentarer"/>
    <w:uiPriority w:val="99"/>
    <w:semiHidden/>
    <w:rsid w:val="003A0DB8"/>
    <w:rPr>
      <w:rFonts w:ascii="Times New Roman" w:eastAsia="Times New Roman" w:hAnsi="Times New Roman" w:cs="Times New Roman"/>
      <w:sz w:val="20"/>
      <w:szCs w:val="20"/>
      <w:lang w:bidi="sv-SE"/>
    </w:rPr>
  </w:style>
  <w:style w:type="paragraph" w:styleId="Kommentarsmne">
    <w:name w:val="annotation subject"/>
    <w:basedOn w:val="Kommentarer"/>
    <w:next w:val="Kommentarer"/>
    <w:link w:val="KommentarsmneChar"/>
    <w:uiPriority w:val="99"/>
    <w:semiHidden/>
    <w:unhideWhenUsed/>
    <w:rsid w:val="003A0DB8"/>
    <w:rPr>
      <w:b/>
      <w:bCs/>
    </w:rPr>
  </w:style>
  <w:style w:type="character" w:customStyle="1" w:styleId="KommentarsmneChar">
    <w:name w:val="Kommentarsämne Char"/>
    <w:basedOn w:val="KommentarerChar"/>
    <w:link w:val="Kommentarsmne"/>
    <w:uiPriority w:val="99"/>
    <w:semiHidden/>
    <w:rsid w:val="003A0DB8"/>
    <w:rPr>
      <w:rFonts w:ascii="Times New Roman" w:eastAsia="Times New Roman" w:hAnsi="Times New Roman" w:cs="Times New Roman"/>
      <w:b/>
      <w:bCs/>
      <w:sz w:val="20"/>
      <w:szCs w:val="20"/>
      <w:lang w:bidi="sv-SE"/>
    </w:rPr>
  </w:style>
  <w:style w:type="paragraph" w:styleId="Ballongtext">
    <w:name w:val="Balloon Text"/>
    <w:basedOn w:val="Normal"/>
    <w:link w:val="BallongtextChar"/>
    <w:uiPriority w:val="99"/>
    <w:semiHidden/>
    <w:unhideWhenUsed/>
    <w:rsid w:val="003A0DB8"/>
    <w:rPr>
      <w:rFonts w:ascii="Tahoma" w:hAnsi="Tahoma" w:cs="Tahoma"/>
      <w:sz w:val="16"/>
      <w:szCs w:val="16"/>
    </w:rPr>
  </w:style>
  <w:style w:type="character" w:customStyle="1" w:styleId="BallongtextChar">
    <w:name w:val="Ballongtext Char"/>
    <w:basedOn w:val="Standardstycketeckensnitt"/>
    <w:link w:val="Ballongtext"/>
    <w:uiPriority w:val="99"/>
    <w:semiHidden/>
    <w:rsid w:val="003A0DB8"/>
    <w:rPr>
      <w:rFonts w:ascii="Tahoma" w:eastAsia="Times New Roman" w:hAnsi="Tahoma" w:cs="Tahoma"/>
      <w:sz w:val="16"/>
      <w:szCs w:val="16"/>
      <w:lang w:bidi="sv-SE"/>
    </w:rPr>
  </w:style>
  <w:style w:type="character" w:customStyle="1" w:styleId="Hyperlnk1">
    <w:name w:val="Hyperlänk1"/>
    <w:uiPriority w:val="99"/>
    <w:rsid w:val="009C3058"/>
    <w:rPr>
      <w:color w:val="0000FF"/>
      <w:u w:val="single"/>
    </w:rPr>
  </w:style>
  <w:style w:type="character" w:styleId="Hyperlnk">
    <w:name w:val="Hyperlink"/>
    <w:basedOn w:val="Standardstycketeckensnitt"/>
    <w:uiPriority w:val="99"/>
    <w:unhideWhenUsed/>
    <w:rsid w:val="001D68E4"/>
    <w:rPr>
      <w:color w:val="0000FF" w:themeColor="hyperlink"/>
      <w:u w:val="single"/>
    </w:rPr>
  </w:style>
  <w:style w:type="paragraph" w:styleId="Sidhuvud">
    <w:name w:val="header"/>
    <w:basedOn w:val="Normal"/>
    <w:link w:val="SidhuvudChar"/>
    <w:uiPriority w:val="99"/>
    <w:unhideWhenUsed/>
    <w:rsid w:val="00024916"/>
    <w:pPr>
      <w:tabs>
        <w:tab w:val="center" w:pos="4536"/>
        <w:tab w:val="right" w:pos="9072"/>
      </w:tabs>
    </w:pPr>
  </w:style>
  <w:style w:type="character" w:customStyle="1" w:styleId="SidhuvudChar">
    <w:name w:val="Sidhuvud Char"/>
    <w:basedOn w:val="Standardstycketeckensnitt"/>
    <w:link w:val="Sidhuvud"/>
    <w:uiPriority w:val="99"/>
    <w:rsid w:val="00024916"/>
    <w:rPr>
      <w:rFonts w:ascii="Times New Roman" w:eastAsia="Times New Roman" w:hAnsi="Times New Roman" w:cs="Times New Roman"/>
      <w:lang w:bidi="sv-SE"/>
    </w:rPr>
  </w:style>
  <w:style w:type="paragraph" w:styleId="Sidfot">
    <w:name w:val="footer"/>
    <w:basedOn w:val="Normal"/>
    <w:link w:val="SidfotChar"/>
    <w:uiPriority w:val="99"/>
    <w:unhideWhenUsed/>
    <w:rsid w:val="00024916"/>
    <w:pPr>
      <w:tabs>
        <w:tab w:val="center" w:pos="4536"/>
        <w:tab w:val="right" w:pos="9072"/>
      </w:tabs>
    </w:pPr>
  </w:style>
  <w:style w:type="character" w:customStyle="1" w:styleId="SidfotChar">
    <w:name w:val="Sidfot Char"/>
    <w:basedOn w:val="Standardstycketeckensnitt"/>
    <w:link w:val="Sidfot"/>
    <w:uiPriority w:val="99"/>
    <w:rsid w:val="00024916"/>
    <w:rPr>
      <w:rFonts w:ascii="Times New Roman" w:eastAsia="Times New Roman" w:hAnsi="Times New Roman" w:cs="Times New Roman"/>
      <w:lang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kemedelsverket.se"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kemedelsverket.se" TargetMode="External"/><Relationship Id="rId14"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D323E-E9FE-48C8-8182-A01CF483E732}"/>
</file>

<file path=customXml/itemProps2.xml><?xml version="1.0" encoding="utf-8"?>
<ds:datastoreItem xmlns:ds="http://schemas.openxmlformats.org/officeDocument/2006/customXml" ds:itemID="{A4B7ECFA-1CA8-41BF-884A-ED84886C7683}"/>
</file>

<file path=customXml/itemProps3.xml><?xml version="1.0" encoding="utf-8"?>
<ds:datastoreItem xmlns:ds="http://schemas.openxmlformats.org/officeDocument/2006/customXml" ds:itemID="{075A44B3-C4AD-46DB-BD05-D5E87F41D829}"/>
</file>

<file path=docProps/app.xml><?xml version="1.0" encoding="utf-8"?>
<Properties xmlns="http://schemas.openxmlformats.org/officeDocument/2006/extended-properties" xmlns:vt="http://schemas.openxmlformats.org/officeDocument/2006/docPropsVTypes">
  <Template>Normal</Template>
  <TotalTime>0</TotalTime>
  <Pages>16</Pages>
  <Words>8288</Words>
  <Characters>43932</Characters>
  <Application>Microsoft Office Word</Application>
  <DocSecurity>4</DocSecurity>
  <Lines>366</Lines>
  <Paragraphs>104</Paragraphs>
  <ScaleCrop>false</ScaleCrop>
  <Company/>
  <LinksUpToDate>false</LinksUpToDate>
  <CharactersWithSpaces>52116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2021-03-05T07:19:00Z</dcterms:created>
  <dcterms:modified xsi:type="dcterms:W3CDTF">2021-03-05T07:19:00Z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