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D415D" w14:textId="77777777" w:rsidR="00124AD4" w:rsidRPr="00C56B34" w:rsidRDefault="00124AD4" w:rsidP="00124AD4">
      <w:pPr>
        <w:spacing w:line="240" w:lineRule="auto"/>
        <w:outlineLvl w:val="0"/>
        <w:rPr>
          <w:b/>
          <w:noProof/>
          <w:szCs w:val="22"/>
        </w:rPr>
      </w:pPr>
      <w:bookmarkStart w:id="0" w:name="_GoBack"/>
      <w:bookmarkEnd w:id="0"/>
    </w:p>
    <w:p w14:paraId="2CD1505F" w14:textId="77777777" w:rsidR="00124AD4" w:rsidRPr="001B0805" w:rsidRDefault="00124AD4" w:rsidP="00124AD4">
      <w:pPr>
        <w:spacing w:line="240" w:lineRule="auto"/>
        <w:outlineLvl w:val="0"/>
        <w:rPr>
          <w:b/>
          <w:noProof/>
          <w:szCs w:val="22"/>
        </w:rPr>
      </w:pPr>
    </w:p>
    <w:p w14:paraId="75052034" w14:textId="77777777" w:rsidR="00124AD4" w:rsidRPr="001B0805" w:rsidRDefault="00124AD4" w:rsidP="00124AD4">
      <w:pPr>
        <w:spacing w:line="240" w:lineRule="auto"/>
        <w:outlineLvl w:val="0"/>
        <w:rPr>
          <w:b/>
          <w:noProof/>
          <w:szCs w:val="22"/>
        </w:rPr>
      </w:pPr>
    </w:p>
    <w:p w14:paraId="60B166F8" w14:textId="77777777" w:rsidR="00124AD4" w:rsidRPr="001B0805" w:rsidRDefault="00124AD4" w:rsidP="00124AD4">
      <w:pPr>
        <w:spacing w:line="240" w:lineRule="auto"/>
        <w:outlineLvl w:val="0"/>
        <w:rPr>
          <w:b/>
          <w:noProof/>
          <w:szCs w:val="22"/>
        </w:rPr>
      </w:pPr>
    </w:p>
    <w:p w14:paraId="10C83082" w14:textId="77777777" w:rsidR="00124AD4" w:rsidRPr="001B0805" w:rsidRDefault="00124AD4" w:rsidP="00124AD4">
      <w:pPr>
        <w:spacing w:line="240" w:lineRule="auto"/>
        <w:outlineLvl w:val="0"/>
        <w:rPr>
          <w:b/>
          <w:noProof/>
          <w:szCs w:val="22"/>
        </w:rPr>
      </w:pPr>
    </w:p>
    <w:p w14:paraId="6AF99ABB" w14:textId="77777777" w:rsidR="00124AD4" w:rsidRPr="001B0805" w:rsidRDefault="00124AD4" w:rsidP="00124AD4">
      <w:pPr>
        <w:spacing w:line="240" w:lineRule="auto"/>
        <w:outlineLvl w:val="0"/>
        <w:rPr>
          <w:b/>
          <w:noProof/>
          <w:szCs w:val="22"/>
        </w:rPr>
      </w:pPr>
    </w:p>
    <w:p w14:paraId="04B1D7EC" w14:textId="77777777" w:rsidR="00124AD4" w:rsidRPr="001B0805" w:rsidRDefault="00124AD4" w:rsidP="00124AD4">
      <w:pPr>
        <w:spacing w:line="240" w:lineRule="auto"/>
        <w:outlineLvl w:val="0"/>
        <w:rPr>
          <w:b/>
          <w:noProof/>
          <w:szCs w:val="22"/>
        </w:rPr>
      </w:pPr>
    </w:p>
    <w:p w14:paraId="35B52013" w14:textId="77777777" w:rsidR="00124AD4" w:rsidRPr="001B0805" w:rsidRDefault="00124AD4" w:rsidP="00124AD4">
      <w:pPr>
        <w:spacing w:line="240" w:lineRule="auto"/>
        <w:outlineLvl w:val="0"/>
        <w:rPr>
          <w:b/>
          <w:noProof/>
          <w:szCs w:val="22"/>
        </w:rPr>
      </w:pPr>
    </w:p>
    <w:p w14:paraId="009C3A3E" w14:textId="77777777" w:rsidR="00124AD4" w:rsidRPr="001B0805" w:rsidRDefault="00124AD4" w:rsidP="00124AD4">
      <w:pPr>
        <w:spacing w:line="240" w:lineRule="auto"/>
        <w:outlineLvl w:val="0"/>
        <w:rPr>
          <w:b/>
          <w:noProof/>
          <w:szCs w:val="22"/>
        </w:rPr>
      </w:pPr>
    </w:p>
    <w:p w14:paraId="04731EFD" w14:textId="77777777" w:rsidR="00124AD4" w:rsidRPr="001B0805" w:rsidRDefault="00124AD4" w:rsidP="00124AD4">
      <w:pPr>
        <w:spacing w:line="240" w:lineRule="auto"/>
        <w:outlineLvl w:val="0"/>
        <w:rPr>
          <w:b/>
          <w:noProof/>
          <w:szCs w:val="22"/>
        </w:rPr>
      </w:pPr>
    </w:p>
    <w:p w14:paraId="4F7887CF" w14:textId="77777777" w:rsidR="00124AD4" w:rsidRPr="001B0805" w:rsidRDefault="00124AD4" w:rsidP="00124AD4">
      <w:pPr>
        <w:spacing w:line="240" w:lineRule="auto"/>
        <w:outlineLvl w:val="0"/>
        <w:rPr>
          <w:b/>
          <w:noProof/>
          <w:szCs w:val="22"/>
        </w:rPr>
      </w:pPr>
    </w:p>
    <w:p w14:paraId="5DFEE280" w14:textId="77777777" w:rsidR="00124AD4" w:rsidRPr="001B0805" w:rsidRDefault="00124AD4" w:rsidP="00124AD4">
      <w:pPr>
        <w:spacing w:line="240" w:lineRule="auto"/>
        <w:outlineLvl w:val="0"/>
        <w:rPr>
          <w:b/>
          <w:noProof/>
          <w:szCs w:val="22"/>
        </w:rPr>
      </w:pPr>
    </w:p>
    <w:p w14:paraId="16444256" w14:textId="77777777" w:rsidR="00124AD4" w:rsidRPr="001B0805" w:rsidRDefault="00124AD4" w:rsidP="00124AD4">
      <w:pPr>
        <w:spacing w:line="240" w:lineRule="auto"/>
        <w:outlineLvl w:val="0"/>
        <w:rPr>
          <w:b/>
          <w:noProof/>
          <w:szCs w:val="22"/>
        </w:rPr>
      </w:pPr>
    </w:p>
    <w:p w14:paraId="53B19E0E" w14:textId="77777777" w:rsidR="00124AD4" w:rsidRPr="001B0805" w:rsidRDefault="00124AD4" w:rsidP="00124AD4">
      <w:pPr>
        <w:spacing w:line="240" w:lineRule="auto"/>
        <w:outlineLvl w:val="0"/>
        <w:rPr>
          <w:b/>
          <w:noProof/>
          <w:szCs w:val="22"/>
        </w:rPr>
      </w:pPr>
    </w:p>
    <w:p w14:paraId="60095D7E" w14:textId="77777777" w:rsidR="00124AD4" w:rsidRPr="001B0805" w:rsidRDefault="00124AD4" w:rsidP="00124AD4">
      <w:pPr>
        <w:spacing w:line="240" w:lineRule="auto"/>
        <w:outlineLvl w:val="0"/>
        <w:rPr>
          <w:b/>
          <w:noProof/>
          <w:szCs w:val="22"/>
        </w:rPr>
      </w:pPr>
    </w:p>
    <w:p w14:paraId="6254A5E1" w14:textId="77777777" w:rsidR="00124AD4" w:rsidRPr="001B0805" w:rsidRDefault="00124AD4" w:rsidP="00124AD4">
      <w:pPr>
        <w:spacing w:line="240" w:lineRule="auto"/>
        <w:outlineLvl w:val="0"/>
        <w:rPr>
          <w:b/>
          <w:noProof/>
          <w:szCs w:val="22"/>
        </w:rPr>
      </w:pPr>
    </w:p>
    <w:p w14:paraId="646C9349" w14:textId="77777777" w:rsidR="00124AD4" w:rsidRPr="001B0805" w:rsidRDefault="00124AD4" w:rsidP="00124AD4">
      <w:pPr>
        <w:spacing w:line="240" w:lineRule="auto"/>
        <w:outlineLvl w:val="0"/>
        <w:rPr>
          <w:b/>
          <w:noProof/>
          <w:szCs w:val="22"/>
        </w:rPr>
      </w:pPr>
    </w:p>
    <w:p w14:paraId="345B3C99" w14:textId="77777777" w:rsidR="00124AD4" w:rsidRPr="001B0805" w:rsidRDefault="00124AD4" w:rsidP="00124AD4">
      <w:pPr>
        <w:spacing w:line="240" w:lineRule="auto"/>
        <w:outlineLvl w:val="0"/>
        <w:rPr>
          <w:b/>
          <w:szCs w:val="22"/>
        </w:rPr>
      </w:pPr>
    </w:p>
    <w:p w14:paraId="2B3094B2" w14:textId="77777777" w:rsidR="00124AD4" w:rsidRPr="001B0805" w:rsidRDefault="00124AD4" w:rsidP="00124AD4">
      <w:pPr>
        <w:spacing w:line="240" w:lineRule="auto"/>
        <w:outlineLvl w:val="0"/>
        <w:rPr>
          <w:b/>
          <w:szCs w:val="22"/>
        </w:rPr>
      </w:pPr>
    </w:p>
    <w:p w14:paraId="01C545B6" w14:textId="77777777" w:rsidR="00124AD4" w:rsidRPr="001B0805" w:rsidRDefault="00124AD4" w:rsidP="00124AD4">
      <w:pPr>
        <w:spacing w:line="240" w:lineRule="auto"/>
        <w:outlineLvl w:val="0"/>
        <w:rPr>
          <w:b/>
          <w:szCs w:val="22"/>
        </w:rPr>
      </w:pPr>
    </w:p>
    <w:p w14:paraId="081010D1" w14:textId="77777777" w:rsidR="00124AD4" w:rsidRPr="001B0805" w:rsidRDefault="00124AD4" w:rsidP="00124AD4">
      <w:pPr>
        <w:spacing w:line="240" w:lineRule="auto"/>
        <w:outlineLvl w:val="0"/>
        <w:rPr>
          <w:b/>
          <w:szCs w:val="22"/>
        </w:rPr>
      </w:pPr>
    </w:p>
    <w:p w14:paraId="6B61D028" w14:textId="77777777" w:rsidR="00124AD4" w:rsidRPr="001B0805" w:rsidRDefault="00124AD4" w:rsidP="00124AD4">
      <w:pPr>
        <w:spacing w:line="240" w:lineRule="auto"/>
        <w:outlineLvl w:val="0"/>
        <w:rPr>
          <w:b/>
          <w:szCs w:val="22"/>
        </w:rPr>
      </w:pPr>
    </w:p>
    <w:p w14:paraId="227B8223" w14:textId="77777777" w:rsidR="00124AD4" w:rsidRPr="001B0805" w:rsidRDefault="00124AD4" w:rsidP="00124AD4">
      <w:pPr>
        <w:spacing w:line="240" w:lineRule="auto"/>
        <w:jc w:val="center"/>
        <w:outlineLvl w:val="0"/>
        <w:rPr>
          <w:b/>
          <w:bCs/>
          <w:szCs w:val="22"/>
        </w:rPr>
      </w:pPr>
    </w:p>
    <w:p w14:paraId="773C4DC1" w14:textId="77777777" w:rsidR="00124AD4" w:rsidRPr="00476DE6" w:rsidRDefault="001D0951" w:rsidP="00124AD4">
      <w:pPr>
        <w:spacing w:line="240" w:lineRule="auto"/>
        <w:jc w:val="center"/>
        <w:outlineLvl w:val="0"/>
      </w:pPr>
      <w:r w:rsidRPr="5F2EC82B">
        <w:rPr>
          <w:b/>
          <w:bCs/>
        </w:rPr>
        <w:t>ANNEX I</w:t>
      </w:r>
    </w:p>
    <w:p w14:paraId="5F7FEB88" w14:textId="77777777" w:rsidR="00124AD4" w:rsidRPr="00662578" w:rsidRDefault="00124AD4">
      <w:pPr>
        <w:spacing w:line="240" w:lineRule="auto"/>
        <w:jc w:val="center"/>
        <w:outlineLvl w:val="0"/>
        <w:rPr>
          <w:szCs w:val="22"/>
        </w:rPr>
      </w:pPr>
    </w:p>
    <w:p w14:paraId="497BBB83" w14:textId="77777777" w:rsidR="00124AD4" w:rsidRPr="000207A1" w:rsidRDefault="001D0951" w:rsidP="00B077AC">
      <w:pPr>
        <w:pStyle w:val="TitleA"/>
      </w:pPr>
      <w:r w:rsidRPr="000207A1">
        <w:t>SUMMARY OF PRODUCT CHARACTERISTICS</w:t>
      </w:r>
    </w:p>
    <w:p w14:paraId="2AD57B24" w14:textId="77777777" w:rsidR="00124AD4" w:rsidRPr="00E52698" w:rsidRDefault="00124AD4">
      <w:pPr>
        <w:spacing w:line="240" w:lineRule="auto"/>
        <w:rPr>
          <w:szCs w:val="22"/>
        </w:rPr>
      </w:pPr>
    </w:p>
    <w:p w14:paraId="5AE1D2CB" w14:textId="77777777" w:rsidR="00124AD4" w:rsidRPr="00662578" w:rsidRDefault="00124AD4" w:rsidP="00124AD4">
      <w:pPr>
        <w:spacing w:line="240" w:lineRule="auto"/>
        <w:rPr>
          <w:szCs w:val="22"/>
        </w:rPr>
      </w:pPr>
    </w:p>
    <w:p w14:paraId="246090DC" w14:textId="77777777" w:rsidR="00124AD4" w:rsidRPr="00662578" w:rsidRDefault="00124AD4" w:rsidP="00124AD4">
      <w:pPr>
        <w:spacing w:line="240" w:lineRule="auto"/>
        <w:rPr>
          <w:szCs w:val="22"/>
        </w:rPr>
      </w:pPr>
    </w:p>
    <w:p w14:paraId="27A21CF8" w14:textId="77777777" w:rsidR="00124AD4" w:rsidRPr="00662578" w:rsidRDefault="00124AD4" w:rsidP="00124AD4">
      <w:pPr>
        <w:spacing w:line="240" w:lineRule="auto"/>
        <w:rPr>
          <w:szCs w:val="22"/>
        </w:rPr>
      </w:pPr>
    </w:p>
    <w:p w14:paraId="113E0FCB" w14:textId="77777777" w:rsidR="00124AD4" w:rsidRPr="00B96FD0" w:rsidRDefault="00124AD4">
      <w:pPr>
        <w:spacing w:line="240" w:lineRule="auto"/>
        <w:rPr>
          <w:szCs w:val="22"/>
        </w:rPr>
      </w:pPr>
    </w:p>
    <w:p w14:paraId="14F08CFB" w14:textId="77777777" w:rsidR="00124AD4" w:rsidRPr="00B96FD0" w:rsidRDefault="00124AD4">
      <w:pPr>
        <w:tabs>
          <w:tab w:val="clear" w:pos="567"/>
          <w:tab w:val="left" w:pos="3705"/>
        </w:tabs>
        <w:spacing w:line="240" w:lineRule="auto"/>
        <w:rPr>
          <w:szCs w:val="22"/>
        </w:rPr>
      </w:pPr>
    </w:p>
    <w:p w14:paraId="6B5D2F6E" w14:textId="77777777" w:rsidR="00124AD4" w:rsidRPr="00B96FD0" w:rsidRDefault="001D0951" w:rsidP="50BD9E82">
      <w:pPr>
        <w:spacing w:line="240" w:lineRule="auto"/>
        <w:rPr>
          <w:szCs w:val="22"/>
        </w:rPr>
      </w:pPr>
      <w:r>
        <w:br w:type="page"/>
      </w:r>
      <w:r>
        <w:rPr>
          <w:noProof/>
          <w:lang w:val="en-US" w:eastAsia="zh-CN"/>
        </w:rPr>
        <w:lastRenderedPageBreak/>
        <w:drawing>
          <wp:inline distT="0" distB="0" distL="0" distR="0" wp14:anchorId="26402941" wp14:editId="067B5C9D">
            <wp:extent cx="200025" cy="171450"/>
            <wp:effectExtent l="0" t="0" r="0" b="0"/>
            <wp:docPr id="1596901419" name="picture" descr="BT_1000x85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006549" name="picture"/>
                    <pic:cNvPicPr/>
                  </pic:nvPicPr>
                  <pic:blipFill>
                    <a:blip r:embed="rId11">
                      <a:extLst>
                        <a:ext uri="{28A0092B-C50C-407E-A947-70E740481C1C}">
                          <a14:useLocalDpi xmlns:a14="http://schemas.microsoft.com/office/drawing/2010/main" val="0"/>
                        </a:ext>
                      </a:extLst>
                    </a:blip>
                    <a:stretch>
                      <a:fillRect/>
                    </a:stretch>
                  </pic:blipFill>
                  <pic:spPr>
                    <a:xfrm>
                      <a:off x="0" y="0"/>
                      <a:ext cx="200025" cy="171450"/>
                    </a:xfrm>
                    <a:prstGeom prst="rect">
                      <a:avLst/>
                    </a:prstGeom>
                  </pic:spPr>
                </pic:pic>
              </a:graphicData>
            </a:graphic>
          </wp:inline>
        </w:drawing>
      </w:r>
      <w:r w:rsidR="5F2EC82B">
        <w:t>This medicinal product is subject to additional monitoring. This will allow quick identification of new safety information. Healthcare professionals are asked to report any suspected adverse reactions. See section 4.8 for how to report adverse reactions.</w:t>
      </w:r>
    </w:p>
    <w:p w14:paraId="70F17C47" w14:textId="77777777" w:rsidR="00124AD4" w:rsidRPr="00C56B34" w:rsidRDefault="00124AD4">
      <w:pPr>
        <w:spacing w:line="240" w:lineRule="auto"/>
        <w:rPr>
          <w:szCs w:val="22"/>
        </w:rPr>
      </w:pPr>
    </w:p>
    <w:p w14:paraId="7B39B097" w14:textId="77777777" w:rsidR="00124AD4" w:rsidRPr="00C56B34" w:rsidRDefault="00124AD4">
      <w:pPr>
        <w:spacing w:line="240" w:lineRule="auto"/>
        <w:rPr>
          <w:szCs w:val="22"/>
        </w:rPr>
      </w:pPr>
    </w:p>
    <w:p w14:paraId="6F389A59" w14:textId="77777777" w:rsidR="00124AD4" w:rsidRPr="00662578" w:rsidRDefault="001D0951" w:rsidP="50BD9E82">
      <w:pPr>
        <w:suppressAutoHyphens/>
        <w:spacing w:line="240" w:lineRule="auto"/>
        <w:ind w:left="567" w:hanging="567"/>
        <w:rPr>
          <w:szCs w:val="22"/>
        </w:rPr>
      </w:pPr>
      <w:r w:rsidRPr="00595956">
        <w:rPr>
          <w:b/>
          <w:bCs/>
          <w:noProof/>
        </w:rPr>
        <w:t>1.</w:t>
      </w:r>
      <w:r w:rsidRPr="00C56B34">
        <w:rPr>
          <w:b/>
          <w:noProof/>
          <w:szCs w:val="22"/>
        </w:rPr>
        <w:tab/>
      </w:r>
      <w:r w:rsidRPr="00595956">
        <w:rPr>
          <w:b/>
          <w:bCs/>
        </w:rPr>
        <w:t>NAME OF THE MEDICINAL PRODUCT</w:t>
      </w:r>
      <w:r w:rsidRPr="00E52698">
        <w:rPr>
          <w:rStyle w:val="CommentReference"/>
          <w:sz w:val="22"/>
          <w:szCs w:val="22"/>
        </w:rPr>
        <w:t xml:space="preserve"> </w:t>
      </w:r>
    </w:p>
    <w:p w14:paraId="69862E28" w14:textId="77777777" w:rsidR="00124AD4" w:rsidRPr="00C56B34" w:rsidRDefault="00124AD4">
      <w:pPr>
        <w:spacing w:line="240" w:lineRule="auto"/>
        <w:rPr>
          <w:iCs/>
          <w:noProof/>
          <w:szCs w:val="22"/>
        </w:rPr>
      </w:pPr>
    </w:p>
    <w:p w14:paraId="5BA5AF0A" w14:textId="77777777" w:rsidR="00124AD4" w:rsidRPr="00C56B34" w:rsidRDefault="001D0951" w:rsidP="50BD9E82">
      <w:pPr>
        <w:widowControl w:val="0"/>
        <w:spacing w:line="240" w:lineRule="auto"/>
        <w:rPr>
          <w:szCs w:val="22"/>
        </w:rPr>
      </w:pPr>
      <w:r>
        <w:t>CRYSVITA 10 mg solution for injection</w:t>
      </w:r>
    </w:p>
    <w:p w14:paraId="7E38EBCB" w14:textId="77777777" w:rsidR="00124AD4" w:rsidRPr="00C56B34" w:rsidRDefault="00124AD4" w:rsidP="00124AD4">
      <w:pPr>
        <w:widowControl w:val="0"/>
        <w:spacing w:line="240" w:lineRule="auto"/>
        <w:rPr>
          <w:noProof/>
          <w:szCs w:val="22"/>
        </w:rPr>
      </w:pPr>
    </w:p>
    <w:p w14:paraId="68BAD0CA" w14:textId="77777777" w:rsidR="00124AD4" w:rsidRPr="00C56B34" w:rsidRDefault="001D0951" w:rsidP="07120F5B">
      <w:pPr>
        <w:widowControl w:val="0"/>
        <w:spacing w:line="240" w:lineRule="auto"/>
        <w:rPr>
          <w:noProof/>
        </w:rPr>
      </w:pPr>
      <w:r w:rsidRPr="07120F5B">
        <w:rPr>
          <w:noProof/>
        </w:rPr>
        <w:t xml:space="preserve">CRYSVITA 20 mg solution for injection </w:t>
      </w:r>
    </w:p>
    <w:p w14:paraId="61E8D3EF" w14:textId="77777777" w:rsidR="00124AD4" w:rsidRPr="00C56B34" w:rsidRDefault="00124AD4" w:rsidP="00124AD4">
      <w:pPr>
        <w:widowControl w:val="0"/>
        <w:spacing w:line="240" w:lineRule="auto"/>
        <w:rPr>
          <w:noProof/>
          <w:szCs w:val="22"/>
        </w:rPr>
      </w:pPr>
    </w:p>
    <w:p w14:paraId="3C177002" w14:textId="77777777" w:rsidR="00124AD4" w:rsidRPr="00C56B34" w:rsidRDefault="001D0951" w:rsidP="07120F5B">
      <w:pPr>
        <w:widowControl w:val="0"/>
        <w:spacing w:line="240" w:lineRule="auto"/>
        <w:rPr>
          <w:noProof/>
        </w:rPr>
      </w:pPr>
      <w:r w:rsidRPr="07120F5B">
        <w:rPr>
          <w:noProof/>
        </w:rPr>
        <w:t xml:space="preserve">CRYSVITA 30 mg solution for injection </w:t>
      </w:r>
    </w:p>
    <w:p w14:paraId="6A30E40D" w14:textId="77777777" w:rsidR="00124AD4" w:rsidRPr="00C56B34" w:rsidRDefault="00124AD4">
      <w:pPr>
        <w:spacing w:line="240" w:lineRule="auto"/>
        <w:rPr>
          <w:iCs/>
          <w:noProof/>
          <w:szCs w:val="22"/>
        </w:rPr>
      </w:pPr>
    </w:p>
    <w:p w14:paraId="70A9B311" w14:textId="77777777" w:rsidR="00124AD4" w:rsidRPr="00C56B34" w:rsidRDefault="00124AD4">
      <w:pPr>
        <w:spacing w:line="240" w:lineRule="auto"/>
        <w:rPr>
          <w:iCs/>
          <w:noProof/>
          <w:szCs w:val="22"/>
        </w:rPr>
      </w:pPr>
    </w:p>
    <w:p w14:paraId="3947860B" w14:textId="77777777" w:rsidR="00124AD4" w:rsidRPr="00C56B34" w:rsidRDefault="001D0951">
      <w:pPr>
        <w:suppressAutoHyphens/>
        <w:spacing w:line="240" w:lineRule="auto"/>
        <w:ind w:left="567" w:hanging="567"/>
        <w:rPr>
          <w:noProof/>
          <w:szCs w:val="22"/>
        </w:rPr>
      </w:pPr>
      <w:r w:rsidRPr="00C56B34">
        <w:rPr>
          <w:b/>
          <w:noProof/>
          <w:szCs w:val="22"/>
        </w:rPr>
        <w:t>2.</w:t>
      </w:r>
      <w:r w:rsidRPr="00C56B34">
        <w:rPr>
          <w:b/>
          <w:noProof/>
          <w:szCs w:val="22"/>
        </w:rPr>
        <w:tab/>
        <w:t>QUALITATIVE AND QUANTITATIVE COMPOSITION</w:t>
      </w:r>
    </w:p>
    <w:p w14:paraId="07EE1902" w14:textId="77777777" w:rsidR="00124AD4" w:rsidRPr="00C56B34" w:rsidRDefault="00124AD4">
      <w:pPr>
        <w:spacing w:line="240" w:lineRule="auto"/>
        <w:rPr>
          <w:iCs/>
          <w:noProof/>
          <w:szCs w:val="22"/>
        </w:rPr>
      </w:pPr>
    </w:p>
    <w:p w14:paraId="5442205E" w14:textId="77777777" w:rsidR="00124AD4" w:rsidRPr="00BA4BF5" w:rsidRDefault="001D0951" w:rsidP="5F2EC82B">
      <w:pPr>
        <w:spacing w:line="240" w:lineRule="auto"/>
        <w:rPr>
          <w:u w:val="single"/>
        </w:rPr>
      </w:pPr>
      <w:r>
        <w:rPr>
          <w:u w:val="single"/>
        </w:rPr>
        <w:t>CRYSVITA</w:t>
      </w:r>
      <w:r w:rsidR="004F0533" w:rsidRPr="5F2EC82B">
        <w:rPr>
          <w:u w:val="single"/>
        </w:rPr>
        <w:t xml:space="preserve"> 10 mg solution for injection</w:t>
      </w:r>
    </w:p>
    <w:p w14:paraId="07E08A4C" w14:textId="77777777" w:rsidR="00124AD4" w:rsidRDefault="00124AD4" w:rsidP="00124AD4">
      <w:pPr>
        <w:spacing w:line="240" w:lineRule="auto"/>
      </w:pPr>
    </w:p>
    <w:p w14:paraId="4C263869" w14:textId="77777777" w:rsidR="00124AD4" w:rsidRPr="00B96FD0" w:rsidRDefault="001D0951" w:rsidP="50BD9E82">
      <w:pPr>
        <w:spacing w:line="240" w:lineRule="auto"/>
        <w:rPr>
          <w:szCs w:val="22"/>
        </w:rPr>
      </w:pPr>
      <w:r>
        <w:t xml:space="preserve">Each vial contains 10 mg of </w:t>
      </w:r>
      <w:proofErr w:type="spellStart"/>
      <w:r>
        <w:t>burosumab</w:t>
      </w:r>
      <w:proofErr w:type="spellEnd"/>
      <w:r>
        <w:t xml:space="preserve"> in 1 ml solution.</w:t>
      </w:r>
    </w:p>
    <w:p w14:paraId="714EF3D3" w14:textId="77777777" w:rsidR="00124AD4" w:rsidRPr="00B96FD0" w:rsidRDefault="00124AD4">
      <w:pPr>
        <w:spacing w:line="240" w:lineRule="auto"/>
        <w:rPr>
          <w:szCs w:val="22"/>
        </w:rPr>
      </w:pPr>
    </w:p>
    <w:p w14:paraId="7CECE421" w14:textId="77777777" w:rsidR="00124AD4" w:rsidRPr="00BA4BF5" w:rsidRDefault="001D0951" w:rsidP="5F2EC82B">
      <w:pPr>
        <w:spacing w:line="240" w:lineRule="auto"/>
        <w:rPr>
          <w:u w:val="single"/>
        </w:rPr>
      </w:pPr>
      <w:r>
        <w:rPr>
          <w:u w:val="single"/>
        </w:rPr>
        <w:t>CRYSVITA</w:t>
      </w:r>
      <w:r w:rsidR="004F0533" w:rsidRPr="5F2EC82B">
        <w:rPr>
          <w:u w:val="single"/>
        </w:rPr>
        <w:t xml:space="preserve"> 20 mg solution for injection </w:t>
      </w:r>
    </w:p>
    <w:p w14:paraId="26F8B735" w14:textId="77777777" w:rsidR="00124AD4" w:rsidRDefault="00124AD4" w:rsidP="00124AD4">
      <w:pPr>
        <w:widowControl w:val="0"/>
        <w:spacing w:line="240" w:lineRule="auto"/>
      </w:pPr>
    </w:p>
    <w:p w14:paraId="2E99316A" w14:textId="77777777" w:rsidR="00124AD4" w:rsidRPr="00C56B34" w:rsidRDefault="001D0951" w:rsidP="50BD9E82">
      <w:pPr>
        <w:widowControl w:val="0"/>
        <w:spacing w:line="240" w:lineRule="auto"/>
        <w:rPr>
          <w:szCs w:val="22"/>
        </w:rPr>
      </w:pPr>
      <w:r>
        <w:t xml:space="preserve">Each vial contains 20 mg of </w:t>
      </w:r>
      <w:proofErr w:type="spellStart"/>
      <w:r>
        <w:t>burosumab</w:t>
      </w:r>
      <w:proofErr w:type="spellEnd"/>
      <w:r>
        <w:t xml:space="preserve"> in 1 ml solution.</w:t>
      </w:r>
    </w:p>
    <w:p w14:paraId="46097C16" w14:textId="77777777" w:rsidR="00124AD4" w:rsidRPr="00C56B34" w:rsidRDefault="00124AD4">
      <w:pPr>
        <w:widowControl w:val="0"/>
        <w:spacing w:line="240" w:lineRule="auto"/>
        <w:rPr>
          <w:szCs w:val="22"/>
        </w:rPr>
      </w:pPr>
    </w:p>
    <w:p w14:paraId="74EA23E4" w14:textId="77777777" w:rsidR="00124AD4" w:rsidRPr="00BA4BF5" w:rsidRDefault="001D0951" w:rsidP="5F2EC82B">
      <w:pPr>
        <w:spacing w:line="240" w:lineRule="auto"/>
        <w:rPr>
          <w:u w:val="single"/>
        </w:rPr>
      </w:pPr>
      <w:r>
        <w:rPr>
          <w:u w:val="single"/>
        </w:rPr>
        <w:t>CRYSVITA</w:t>
      </w:r>
      <w:r w:rsidR="004F0533" w:rsidRPr="5F2EC82B">
        <w:rPr>
          <w:u w:val="single"/>
        </w:rPr>
        <w:t xml:space="preserve"> 30 mg solution for injection</w:t>
      </w:r>
    </w:p>
    <w:p w14:paraId="556FE21B" w14:textId="77777777" w:rsidR="00124AD4" w:rsidRDefault="00124AD4" w:rsidP="00124AD4">
      <w:pPr>
        <w:spacing w:line="240" w:lineRule="auto"/>
      </w:pPr>
    </w:p>
    <w:p w14:paraId="4041FE73" w14:textId="77777777" w:rsidR="00124AD4" w:rsidRPr="00C56B34" w:rsidRDefault="001D0951" w:rsidP="50BD9E82">
      <w:pPr>
        <w:spacing w:line="240" w:lineRule="auto"/>
        <w:rPr>
          <w:szCs w:val="22"/>
        </w:rPr>
      </w:pPr>
      <w:r>
        <w:t xml:space="preserve">Each vial contains 30 mg of </w:t>
      </w:r>
      <w:proofErr w:type="spellStart"/>
      <w:r>
        <w:t>burosumab</w:t>
      </w:r>
      <w:proofErr w:type="spellEnd"/>
      <w:r>
        <w:t xml:space="preserve"> in 1 ml solution.</w:t>
      </w:r>
    </w:p>
    <w:p w14:paraId="3ECB570C" w14:textId="77777777" w:rsidR="00124AD4" w:rsidRPr="00C56B34" w:rsidRDefault="00124AD4">
      <w:pPr>
        <w:widowControl w:val="0"/>
        <w:spacing w:line="240" w:lineRule="auto"/>
        <w:rPr>
          <w:szCs w:val="22"/>
        </w:rPr>
      </w:pPr>
    </w:p>
    <w:p w14:paraId="19D735F6" w14:textId="77777777" w:rsidR="00124AD4" w:rsidRPr="00B96FD0" w:rsidRDefault="001D0951" w:rsidP="50BD9E82">
      <w:pPr>
        <w:widowControl w:val="0"/>
        <w:spacing w:line="240" w:lineRule="auto"/>
        <w:rPr>
          <w:szCs w:val="22"/>
        </w:rPr>
      </w:pPr>
      <w:proofErr w:type="spellStart"/>
      <w:r>
        <w:t>Burosumab</w:t>
      </w:r>
      <w:proofErr w:type="spellEnd"/>
      <w:r w:rsidR="004F0533">
        <w:t xml:space="preserve"> is a recombinant human monoclonal IgG1 antibody for FGF23 and is produced by recombinant DNA technology using Chinese hamster ovary (CHO) mammalian cell culture.</w:t>
      </w:r>
    </w:p>
    <w:p w14:paraId="703DE698" w14:textId="77777777" w:rsidR="00124AD4" w:rsidRPr="00C56B34" w:rsidRDefault="00124AD4">
      <w:pPr>
        <w:widowControl w:val="0"/>
        <w:spacing w:line="240" w:lineRule="auto"/>
        <w:rPr>
          <w:szCs w:val="22"/>
        </w:rPr>
      </w:pPr>
    </w:p>
    <w:p w14:paraId="11C45952" w14:textId="77777777" w:rsidR="00124AD4" w:rsidRPr="00BA4BF5" w:rsidRDefault="001D0951" w:rsidP="5F2EC82B">
      <w:pPr>
        <w:widowControl w:val="0"/>
        <w:spacing w:line="240" w:lineRule="auto"/>
        <w:rPr>
          <w:u w:val="single"/>
        </w:rPr>
      </w:pPr>
      <w:r w:rsidRPr="5F2EC82B">
        <w:rPr>
          <w:u w:val="single"/>
        </w:rPr>
        <w:t>Excipient with known effect</w:t>
      </w:r>
    </w:p>
    <w:p w14:paraId="34A35B42" w14:textId="77777777" w:rsidR="00124AD4" w:rsidRDefault="00124AD4" w:rsidP="00124AD4">
      <w:pPr>
        <w:widowControl w:val="0"/>
        <w:spacing w:line="240" w:lineRule="auto"/>
      </w:pPr>
    </w:p>
    <w:p w14:paraId="79F0BCDA" w14:textId="77777777" w:rsidR="00124AD4" w:rsidRDefault="001D0951" w:rsidP="00124AD4">
      <w:pPr>
        <w:widowControl w:val="0"/>
        <w:spacing w:line="240" w:lineRule="auto"/>
      </w:pPr>
      <w:r>
        <w:t>Each vial contains 45.91 mg sorbitol.</w:t>
      </w:r>
    </w:p>
    <w:p w14:paraId="2389FB25" w14:textId="77777777" w:rsidR="00124AD4" w:rsidRDefault="00124AD4" w:rsidP="00124AD4">
      <w:pPr>
        <w:widowControl w:val="0"/>
        <w:spacing w:line="240" w:lineRule="auto"/>
      </w:pPr>
    </w:p>
    <w:p w14:paraId="7F748F55" w14:textId="77777777" w:rsidR="00124AD4" w:rsidRPr="00662578" w:rsidRDefault="001D0951" w:rsidP="50BD9E82">
      <w:pPr>
        <w:widowControl w:val="0"/>
        <w:spacing w:line="240" w:lineRule="auto"/>
        <w:rPr>
          <w:szCs w:val="22"/>
        </w:rPr>
      </w:pPr>
      <w:r>
        <w:t>For the full list of excipients, see section 6.1</w:t>
      </w:r>
      <w:r w:rsidRPr="5F2EC82B">
        <w:rPr>
          <w:noProof/>
        </w:rPr>
        <w:t>.</w:t>
      </w:r>
    </w:p>
    <w:p w14:paraId="35ABA85D" w14:textId="77777777" w:rsidR="00124AD4" w:rsidRPr="00C56B34" w:rsidRDefault="00124AD4">
      <w:pPr>
        <w:spacing w:line="240" w:lineRule="auto"/>
        <w:rPr>
          <w:noProof/>
          <w:szCs w:val="22"/>
        </w:rPr>
      </w:pPr>
    </w:p>
    <w:p w14:paraId="1566D4A0" w14:textId="77777777" w:rsidR="00124AD4" w:rsidRPr="00C56B34" w:rsidRDefault="00124AD4">
      <w:pPr>
        <w:spacing w:line="240" w:lineRule="auto"/>
        <w:rPr>
          <w:noProof/>
          <w:szCs w:val="22"/>
        </w:rPr>
      </w:pPr>
    </w:p>
    <w:p w14:paraId="24F7B3A0" w14:textId="77777777" w:rsidR="00124AD4" w:rsidRPr="00C56B34" w:rsidRDefault="001D0951">
      <w:pPr>
        <w:suppressAutoHyphens/>
        <w:spacing w:line="240" w:lineRule="auto"/>
        <w:ind w:left="567" w:hanging="567"/>
        <w:rPr>
          <w:caps/>
          <w:noProof/>
          <w:szCs w:val="22"/>
        </w:rPr>
      </w:pPr>
      <w:r w:rsidRPr="00C56B34">
        <w:rPr>
          <w:b/>
          <w:noProof/>
          <w:szCs w:val="22"/>
        </w:rPr>
        <w:t>3.</w:t>
      </w:r>
      <w:r w:rsidRPr="00C56B34">
        <w:rPr>
          <w:b/>
          <w:noProof/>
          <w:szCs w:val="22"/>
        </w:rPr>
        <w:tab/>
        <w:t>PHARMACEUTICAL FORM</w:t>
      </w:r>
    </w:p>
    <w:p w14:paraId="4DB2CF20" w14:textId="77777777" w:rsidR="00124AD4" w:rsidRPr="00C56B34" w:rsidRDefault="00124AD4">
      <w:pPr>
        <w:spacing w:line="240" w:lineRule="auto"/>
        <w:rPr>
          <w:noProof/>
          <w:szCs w:val="22"/>
        </w:rPr>
      </w:pPr>
    </w:p>
    <w:p w14:paraId="5FC0DBD6" w14:textId="77777777" w:rsidR="00124AD4" w:rsidRPr="00662578" w:rsidRDefault="001D0951" w:rsidP="50BD9E82">
      <w:pPr>
        <w:spacing w:line="240" w:lineRule="auto"/>
        <w:rPr>
          <w:szCs w:val="22"/>
        </w:rPr>
      </w:pPr>
      <w:r>
        <w:t>Solution for injection (injection).</w:t>
      </w:r>
    </w:p>
    <w:p w14:paraId="04BE7916" w14:textId="77777777" w:rsidR="00124AD4" w:rsidRPr="00C56B34" w:rsidRDefault="00124AD4">
      <w:pPr>
        <w:spacing w:line="240" w:lineRule="auto"/>
        <w:rPr>
          <w:szCs w:val="22"/>
        </w:rPr>
      </w:pPr>
    </w:p>
    <w:p w14:paraId="1A37FA64" w14:textId="77777777" w:rsidR="00124AD4" w:rsidRPr="00BA4BF5" w:rsidRDefault="001D0951" w:rsidP="5F2EC82B">
      <w:pPr>
        <w:spacing w:line="240" w:lineRule="auto"/>
        <w:rPr>
          <w:noProof/>
        </w:rPr>
      </w:pPr>
      <w:r>
        <w:t>Clear to slightly opalescent, colourless to pale brownish-yellowish solution</w:t>
      </w:r>
      <w:r w:rsidRPr="5F2EC82B">
        <w:rPr>
          <w:noProof/>
        </w:rPr>
        <w:t>.</w:t>
      </w:r>
    </w:p>
    <w:p w14:paraId="708D870C" w14:textId="77777777" w:rsidR="00124AD4" w:rsidRPr="00C56B34" w:rsidRDefault="00124AD4">
      <w:pPr>
        <w:spacing w:line="240" w:lineRule="auto"/>
        <w:rPr>
          <w:noProof/>
          <w:szCs w:val="22"/>
        </w:rPr>
      </w:pPr>
    </w:p>
    <w:p w14:paraId="0082C476" w14:textId="77777777" w:rsidR="00124AD4" w:rsidRPr="00C56B34" w:rsidRDefault="00124AD4">
      <w:pPr>
        <w:spacing w:line="240" w:lineRule="auto"/>
        <w:rPr>
          <w:noProof/>
          <w:szCs w:val="22"/>
        </w:rPr>
      </w:pPr>
    </w:p>
    <w:p w14:paraId="33B781F7" w14:textId="77777777" w:rsidR="00124AD4" w:rsidRPr="00C56B34" w:rsidRDefault="001D0951">
      <w:pPr>
        <w:suppressAutoHyphens/>
        <w:spacing w:line="240" w:lineRule="auto"/>
        <w:ind w:left="567" w:hanging="567"/>
        <w:rPr>
          <w:caps/>
          <w:noProof/>
          <w:szCs w:val="22"/>
        </w:rPr>
      </w:pPr>
      <w:r w:rsidRPr="00C56B34">
        <w:rPr>
          <w:b/>
          <w:caps/>
          <w:noProof/>
          <w:szCs w:val="22"/>
        </w:rPr>
        <w:t>4.</w:t>
      </w:r>
      <w:r w:rsidRPr="00C56B34">
        <w:rPr>
          <w:b/>
          <w:caps/>
          <w:noProof/>
          <w:szCs w:val="22"/>
        </w:rPr>
        <w:tab/>
      </w:r>
      <w:r w:rsidRPr="00C56B34">
        <w:rPr>
          <w:b/>
          <w:noProof/>
          <w:szCs w:val="22"/>
        </w:rPr>
        <w:t>CLINICAL PARTICULARS</w:t>
      </w:r>
    </w:p>
    <w:p w14:paraId="2201A2D2" w14:textId="77777777" w:rsidR="00124AD4" w:rsidRPr="00C56B34" w:rsidRDefault="00124AD4">
      <w:pPr>
        <w:spacing w:line="240" w:lineRule="auto"/>
        <w:rPr>
          <w:noProof/>
          <w:szCs w:val="22"/>
        </w:rPr>
      </w:pPr>
    </w:p>
    <w:p w14:paraId="33D01936" w14:textId="77777777" w:rsidR="00124AD4" w:rsidRPr="00C56B34" w:rsidRDefault="001D0951">
      <w:pPr>
        <w:spacing w:line="240" w:lineRule="auto"/>
        <w:ind w:left="567" w:hanging="567"/>
        <w:outlineLvl w:val="0"/>
        <w:rPr>
          <w:noProof/>
          <w:szCs w:val="22"/>
        </w:rPr>
      </w:pPr>
      <w:r w:rsidRPr="00C56B34">
        <w:rPr>
          <w:b/>
          <w:noProof/>
          <w:szCs w:val="22"/>
        </w:rPr>
        <w:t>4.1</w:t>
      </w:r>
      <w:r w:rsidRPr="00C56B34">
        <w:rPr>
          <w:b/>
          <w:noProof/>
          <w:szCs w:val="22"/>
        </w:rPr>
        <w:tab/>
        <w:t>Therapeutic indications</w:t>
      </w:r>
    </w:p>
    <w:p w14:paraId="5163F050" w14:textId="77777777" w:rsidR="00124AD4" w:rsidRPr="00C56B34" w:rsidRDefault="00124AD4">
      <w:pPr>
        <w:spacing w:line="240" w:lineRule="auto"/>
        <w:rPr>
          <w:noProof/>
          <w:szCs w:val="22"/>
        </w:rPr>
      </w:pPr>
    </w:p>
    <w:p w14:paraId="02071E65" w14:textId="4F8F502A" w:rsidR="00124AD4" w:rsidRDefault="001D0951" w:rsidP="00124AD4">
      <w:pPr>
        <w:spacing w:line="240" w:lineRule="auto"/>
      </w:pPr>
      <w:bookmarkStart w:id="1" w:name="_Hlk41380362"/>
      <w:r w:rsidRPr="5F2EC82B">
        <w:rPr>
          <w:noProof/>
        </w:rPr>
        <w:t xml:space="preserve">CRYSVITA is indicated for </w:t>
      </w:r>
      <w:r>
        <w:t xml:space="preserve">the treatment of X-linked </w:t>
      </w:r>
      <w:proofErr w:type="spellStart"/>
      <w:r>
        <w:t>hypophosphat</w:t>
      </w:r>
      <w:r w:rsidR="004C6B55">
        <w:t>a</w:t>
      </w:r>
      <w:r>
        <w:t>emia</w:t>
      </w:r>
      <w:proofErr w:type="spellEnd"/>
      <w:r w:rsidR="006E6C7C">
        <w:t>, in children</w:t>
      </w:r>
      <w:r w:rsidR="008F1C91">
        <w:t xml:space="preserve"> and adolescents aged</w:t>
      </w:r>
      <w:r w:rsidR="006E6C7C">
        <w:t xml:space="preserve"> 1 </w:t>
      </w:r>
      <w:r w:rsidR="008F1C91">
        <w:t>to 1</w:t>
      </w:r>
      <w:r w:rsidR="00167E9C">
        <w:t>7</w:t>
      </w:r>
      <w:r w:rsidR="008F1C91">
        <w:t xml:space="preserve"> </w:t>
      </w:r>
      <w:r w:rsidR="006E6C7C">
        <w:t>year</w:t>
      </w:r>
      <w:r w:rsidR="008F1C91">
        <w:t>s</w:t>
      </w:r>
      <w:r w:rsidR="006E6C7C">
        <w:t xml:space="preserve"> with radiographic evidence of bone disease, and in adults.</w:t>
      </w:r>
      <w:bookmarkEnd w:id="1"/>
    </w:p>
    <w:p w14:paraId="6625C515" w14:textId="77777777" w:rsidR="00124AD4" w:rsidRPr="00C56B34" w:rsidRDefault="00124AD4">
      <w:pPr>
        <w:spacing w:line="240" w:lineRule="auto"/>
        <w:rPr>
          <w:noProof/>
          <w:szCs w:val="22"/>
        </w:rPr>
      </w:pPr>
    </w:p>
    <w:p w14:paraId="52069FE8" w14:textId="77777777" w:rsidR="00124AD4" w:rsidRPr="00662578" w:rsidRDefault="001D0951" w:rsidP="50BD9E82">
      <w:pPr>
        <w:keepNext/>
        <w:spacing w:line="240" w:lineRule="auto"/>
        <w:outlineLvl w:val="0"/>
        <w:rPr>
          <w:szCs w:val="22"/>
        </w:rPr>
      </w:pPr>
      <w:r w:rsidRPr="00595956">
        <w:rPr>
          <w:b/>
          <w:bCs/>
          <w:noProof/>
        </w:rPr>
        <w:t>4.2</w:t>
      </w:r>
      <w:r w:rsidRPr="00C56B34">
        <w:rPr>
          <w:b/>
          <w:noProof/>
          <w:szCs w:val="22"/>
        </w:rPr>
        <w:tab/>
      </w:r>
      <w:r w:rsidRPr="00595956">
        <w:rPr>
          <w:b/>
          <w:bCs/>
        </w:rPr>
        <w:t>Posology and method of administration</w:t>
      </w:r>
    </w:p>
    <w:p w14:paraId="633159A0" w14:textId="77777777" w:rsidR="00124AD4" w:rsidRPr="00C56B34" w:rsidRDefault="00124AD4">
      <w:pPr>
        <w:keepNext/>
        <w:spacing w:line="240" w:lineRule="auto"/>
        <w:rPr>
          <w:szCs w:val="22"/>
        </w:rPr>
      </w:pPr>
    </w:p>
    <w:p w14:paraId="774840DD" w14:textId="77777777" w:rsidR="00124AD4" w:rsidRPr="00C56B34" w:rsidRDefault="001D0951" w:rsidP="00124AD4">
      <w:pPr>
        <w:spacing w:line="240" w:lineRule="auto"/>
        <w:rPr>
          <w:szCs w:val="22"/>
          <w:u w:val="single"/>
        </w:rPr>
      </w:pPr>
      <w:r>
        <w:t>Treatment should be initiated by a physician experienced in the management of patients with metabolic</w:t>
      </w:r>
      <w:r w:rsidR="0019219C">
        <w:t xml:space="preserve"> bone diseases</w:t>
      </w:r>
      <w:r>
        <w:t xml:space="preserve">. </w:t>
      </w:r>
    </w:p>
    <w:p w14:paraId="29ED5426" w14:textId="77777777" w:rsidR="00124AD4" w:rsidRPr="00B96FD0" w:rsidRDefault="00124AD4" w:rsidP="00124AD4">
      <w:pPr>
        <w:spacing w:line="240" w:lineRule="auto"/>
        <w:rPr>
          <w:szCs w:val="22"/>
        </w:rPr>
      </w:pPr>
    </w:p>
    <w:p w14:paraId="10C20502" w14:textId="77777777" w:rsidR="002F08A6" w:rsidRDefault="001D0951" w:rsidP="5F2EC82B">
      <w:pPr>
        <w:keepNext/>
        <w:spacing w:line="240" w:lineRule="auto"/>
        <w:rPr>
          <w:u w:val="single"/>
        </w:rPr>
      </w:pPr>
      <w:r w:rsidRPr="5F2EC82B">
        <w:rPr>
          <w:u w:val="single"/>
        </w:rPr>
        <w:lastRenderedPageBreak/>
        <w:t>Posology</w:t>
      </w:r>
    </w:p>
    <w:p w14:paraId="7E46D0F9" w14:textId="77777777" w:rsidR="00694D84" w:rsidRDefault="00694D84" w:rsidP="5F2EC82B">
      <w:pPr>
        <w:keepNext/>
        <w:spacing w:line="240" w:lineRule="auto"/>
        <w:rPr>
          <w:u w:val="single"/>
        </w:rPr>
      </w:pPr>
    </w:p>
    <w:p w14:paraId="7DCBE9F2" w14:textId="77777777" w:rsidR="00124AD4" w:rsidRPr="00694D84" w:rsidRDefault="001D0951" w:rsidP="00694D84">
      <w:pPr>
        <w:spacing w:line="240" w:lineRule="auto"/>
        <w:rPr>
          <w:iCs/>
          <w:u w:val="single"/>
        </w:rPr>
      </w:pPr>
      <w:r w:rsidRPr="00DE4873">
        <w:t xml:space="preserve">Oral phosphate and </w:t>
      </w:r>
      <w:r w:rsidR="00CD14FA" w:rsidRPr="00DE4873">
        <w:t xml:space="preserve">active </w:t>
      </w:r>
      <w:r w:rsidRPr="00DE4873">
        <w:t>vitamin D analogues</w:t>
      </w:r>
      <w:r w:rsidR="00CD14FA" w:rsidRPr="00DE4873">
        <w:t xml:space="preserve"> (</w:t>
      </w:r>
      <w:r w:rsidR="002556D4" w:rsidRPr="00DE4873">
        <w:t>e.g.</w:t>
      </w:r>
      <w:r w:rsidR="00CD14FA" w:rsidRPr="00DE4873">
        <w:t xml:space="preserve"> calcitriol)</w:t>
      </w:r>
      <w:r w:rsidRPr="00DE4873">
        <w:t xml:space="preserve"> should</w:t>
      </w:r>
      <w:r>
        <w:t xml:space="preserve"> be discontinued 1 week prior to initiation of treatment. </w:t>
      </w:r>
      <w:bookmarkStart w:id="2" w:name="_Hlk5180694"/>
      <w:r w:rsidR="00CD14FA" w:rsidRPr="009609B4">
        <w:t xml:space="preserve">Vitamin D replacement or supplementation </w:t>
      </w:r>
      <w:r w:rsidR="00911CF3" w:rsidRPr="009609B4">
        <w:t xml:space="preserve">with inactive forms </w:t>
      </w:r>
      <w:r w:rsidR="00CD14FA" w:rsidRPr="009609B4">
        <w:t>may be started or continued as per local guidelines</w:t>
      </w:r>
      <w:bookmarkEnd w:id="2"/>
      <w:r w:rsidR="005C35A8" w:rsidRPr="009609B4">
        <w:t xml:space="preserve"> under monitoring of serum calcium and phosphate</w:t>
      </w:r>
      <w:r w:rsidR="00CD14FA" w:rsidRPr="009609B4">
        <w:t>.</w:t>
      </w:r>
      <w:r w:rsidR="00CD14FA" w:rsidRPr="005C35A8">
        <w:t xml:space="preserve"> </w:t>
      </w:r>
      <w:r w:rsidRPr="005C35A8">
        <w:t>At initiation, fasting serum phosphate concentration should be below the reference range for age (see section 4.3).</w:t>
      </w:r>
      <w:r>
        <w:t xml:space="preserve"> </w:t>
      </w:r>
    </w:p>
    <w:p w14:paraId="12DAF51C" w14:textId="77777777" w:rsidR="00694D84" w:rsidRDefault="00694D84" w:rsidP="5F2EC82B">
      <w:pPr>
        <w:keepNext/>
        <w:spacing w:line="240" w:lineRule="auto"/>
        <w:rPr>
          <w:i/>
          <w:iCs/>
          <w:u w:val="single"/>
        </w:rPr>
      </w:pPr>
    </w:p>
    <w:p w14:paraId="74F9E0F3" w14:textId="58E61E9D" w:rsidR="006E6C7C" w:rsidRPr="00D564AF" w:rsidRDefault="006E6C7C" w:rsidP="5F2EC82B">
      <w:pPr>
        <w:keepNext/>
        <w:spacing w:line="240" w:lineRule="auto"/>
        <w:rPr>
          <w:i/>
          <w:iCs/>
          <w:u w:val="single"/>
        </w:rPr>
      </w:pPr>
      <w:r>
        <w:rPr>
          <w:b/>
          <w:i/>
          <w:iCs/>
          <w:u w:val="single"/>
        </w:rPr>
        <w:t xml:space="preserve">Dosing in </w:t>
      </w:r>
      <w:r w:rsidRPr="00D564AF">
        <w:rPr>
          <w:b/>
          <w:i/>
          <w:iCs/>
          <w:u w:val="single"/>
        </w:rPr>
        <w:t>Children</w:t>
      </w:r>
      <w:r w:rsidR="00D34F42" w:rsidRPr="00D564AF">
        <w:rPr>
          <w:b/>
          <w:i/>
          <w:iCs/>
          <w:u w:val="single"/>
        </w:rPr>
        <w:t xml:space="preserve"> </w:t>
      </w:r>
      <w:r w:rsidR="008F1C91">
        <w:rPr>
          <w:b/>
          <w:i/>
          <w:iCs/>
          <w:u w:val="single"/>
        </w:rPr>
        <w:t xml:space="preserve">and </w:t>
      </w:r>
      <w:r w:rsidR="00153E15">
        <w:rPr>
          <w:b/>
          <w:i/>
          <w:iCs/>
          <w:u w:val="single"/>
        </w:rPr>
        <w:t>A</w:t>
      </w:r>
      <w:r w:rsidR="008F1C91">
        <w:rPr>
          <w:b/>
          <w:i/>
          <w:iCs/>
          <w:u w:val="single"/>
        </w:rPr>
        <w:t xml:space="preserve">dolescents aged </w:t>
      </w:r>
      <w:r w:rsidR="00D34F42" w:rsidRPr="006456FA">
        <w:rPr>
          <w:b/>
          <w:i/>
          <w:iCs/>
          <w:u w:val="single"/>
        </w:rPr>
        <w:t xml:space="preserve">1 </w:t>
      </w:r>
      <w:r w:rsidR="008F1C91">
        <w:rPr>
          <w:b/>
          <w:i/>
          <w:iCs/>
          <w:u w:val="single"/>
        </w:rPr>
        <w:t xml:space="preserve">to </w:t>
      </w:r>
      <w:r w:rsidR="00902603">
        <w:rPr>
          <w:b/>
          <w:i/>
          <w:iCs/>
          <w:u w:val="single"/>
        </w:rPr>
        <w:t>17</w:t>
      </w:r>
      <w:r w:rsidR="008F1C91">
        <w:rPr>
          <w:b/>
          <w:i/>
          <w:iCs/>
          <w:u w:val="single"/>
        </w:rPr>
        <w:t xml:space="preserve"> years </w:t>
      </w:r>
    </w:p>
    <w:p w14:paraId="3137C9CE" w14:textId="69A4FCED" w:rsidR="00124AD4" w:rsidRPr="00B96FD0" w:rsidRDefault="001D0951" w:rsidP="50BD9E82">
      <w:pPr>
        <w:spacing w:line="240" w:lineRule="auto"/>
        <w:rPr>
          <w:szCs w:val="22"/>
        </w:rPr>
      </w:pPr>
      <w:r w:rsidRPr="00D564AF">
        <w:t>The recommended starting dose</w:t>
      </w:r>
      <w:r w:rsidR="006E6C7C" w:rsidRPr="00D564AF">
        <w:t xml:space="preserve"> in children</w:t>
      </w:r>
      <w:r w:rsidRPr="00D564AF">
        <w:t xml:space="preserve"> </w:t>
      </w:r>
      <w:r w:rsidR="008F1C91">
        <w:t xml:space="preserve">and adolescents aged 1 to </w:t>
      </w:r>
      <w:r w:rsidR="00902603">
        <w:t>17</w:t>
      </w:r>
      <w:r w:rsidR="008F1C91">
        <w:t xml:space="preserve"> years</w:t>
      </w:r>
      <w:r w:rsidR="008F1C91" w:rsidRPr="006456FA" w:rsidDel="008F1C91">
        <w:rPr>
          <w:szCs w:val="22"/>
        </w:rPr>
        <w:t xml:space="preserve"> </w:t>
      </w:r>
      <w:r>
        <w:t>is 0.</w:t>
      </w:r>
      <w:r w:rsidR="00F64209" w:rsidRPr="00DE4873">
        <w:t>8</w:t>
      </w:r>
      <w:r>
        <w:t xml:space="preserve"> mg/kg of body weight </w:t>
      </w:r>
      <w:r w:rsidRPr="00DE4873">
        <w:t>g</w:t>
      </w:r>
      <w:r>
        <w:t xml:space="preserve">iven every two weeks. </w:t>
      </w:r>
      <w:r w:rsidR="00391F27" w:rsidRPr="00DE4873">
        <w:t>D</w:t>
      </w:r>
      <w:r w:rsidRPr="00C11DDD">
        <w:t>oses should</w:t>
      </w:r>
      <w:r>
        <w:t xml:space="preserve"> be rounded to the nearest 10 mg.</w:t>
      </w:r>
      <w:r w:rsidR="002C58B4">
        <w:t xml:space="preserve"> </w:t>
      </w:r>
      <w:r w:rsidR="002C58B4" w:rsidRPr="00DE4873">
        <w:t>The maximum dose is 90 mg.</w:t>
      </w:r>
    </w:p>
    <w:p w14:paraId="4445C3AB" w14:textId="77777777" w:rsidR="00124AD4" w:rsidRPr="00B96FD0" w:rsidRDefault="00124AD4" w:rsidP="00124AD4">
      <w:pPr>
        <w:spacing w:line="240" w:lineRule="auto"/>
        <w:rPr>
          <w:szCs w:val="22"/>
        </w:rPr>
      </w:pPr>
    </w:p>
    <w:p w14:paraId="43705D2C" w14:textId="77777777" w:rsidR="00124AD4" w:rsidRPr="00F31AD6" w:rsidRDefault="001D0951" w:rsidP="00124AD4">
      <w:pPr>
        <w:spacing w:line="240" w:lineRule="auto"/>
      </w:pPr>
      <w:r>
        <w:t xml:space="preserve">After initiation of treatment with </w:t>
      </w:r>
      <w:proofErr w:type="spellStart"/>
      <w:r w:rsidR="007D2B85">
        <w:t>burosumab</w:t>
      </w:r>
      <w:proofErr w:type="spellEnd"/>
      <w:r>
        <w:t>, fasting serum phosphate should be measured every 2 weeks for the first month of treatment, every 4 weeks for the following 2 months and thereafter as appropriate. Fasting serum phosphate should also be measured 4 weeks after any dose adjustment. If fasting serum phosphate is within the reference range for age, the same dose</w:t>
      </w:r>
      <w:r w:rsidR="002F08A6">
        <w:t xml:space="preserve"> should be maintained</w:t>
      </w:r>
      <w:r>
        <w:t>.</w:t>
      </w:r>
    </w:p>
    <w:p w14:paraId="48B349F5" w14:textId="77777777" w:rsidR="00F31AD6" w:rsidRDefault="00F31AD6" w:rsidP="00124AD4">
      <w:pPr>
        <w:spacing w:line="240" w:lineRule="auto"/>
        <w:rPr>
          <w:szCs w:val="22"/>
        </w:rPr>
      </w:pPr>
    </w:p>
    <w:p w14:paraId="41C282AE" w14:textId="77777777" w:rsidR="00124AD4" w:rsidRPr="001F1B4C" w:rsidRDefault="001D0951" w:rsidP="5F2EC82B">
      <w:pPr>
        <w:spacing w:line="240" w:lineRule="auto"/>
        <w:rPr>
          <w:i/>
          <w:iCs/>
        </w:rPr>
      </w:pPr>
      <w:r w:rsidRPr="5F2EC82B">
        <w:rPr>
          <w:i/>
          <w:iCs/>
        </w:rPr>
        <w:t>Dose increase</w:t>
      </w:r>
    </w:p>
    <w:p w14:paraId="5E1C2A7F" w14:textId="77777777" w:rsidR="00124AD4" w:rsidRPr="001E3BF6" w:rsidRDefault="001D0951" w:rsidP="50BD9E82">
      <w:pPr>
        <w:spacing w:line="240" w:lineRule="auto"/>
        <w:rPr>
          <w:szCs w:val="22"/>
        </w:rPr>
      </w:pPr>
      <w:r>
        <w:t xml:space="preserve">If fasting serum phosphate is below the reference range for age, the dose may be increased stepwise by 0.4 mg/kg up to a maximum dose of 2.0 mg/kg (maximum dose of 90 mg). Fasting serum phosphate should be measured 4 weeks after dose adjustment. </w:t>
      </w:r>
      <w:proofErr w:type="spellStart"/>
      <w:r w:rsidR="008C7C4F">
        <w:t>B</w:t>
      </w:r>
      <w:r w:rsidR="007D2B85">
        <w:t>urosumab</w:t>
      </w:r>
      <w:proofErr w:type="spellEnd"/>
      <w:r w:rsidR="003B337D">
        <w:t xml:space="preserve"> </w:t>
      </w:r>
      <w:r w:rsidR="00353DE7">
        <w:t xml:space="preserve">should not be adjusted </w:t>
      </w:r>
      <w:r>
        <w:t>more frequently than every 4 weeks.</w:t>
      </w:r>
    </w:p>
    <w:p w14:paraId="79972971" w14:textId="77777777" w:rsidR="00124AD4" w:rsidRPr="00662578" w:rsidRDefault="00124AD4" w:rsidP="00124AD4">
      <w:pPr>
        <w:spacing w:line="240" w:lineRule="auto"/>
        <w:rPr>
          <w:szCs w:val="22"/>
        </w:rPr>
      </w:pPr>
    </w:p>
    <w:p w14:paraId="371DD60D" w14:textId="77777777" w:rsidR="00124AD4" w:rsidRPr="001F1B4C" w:rsidRDefault="001D0951" w:rsidP="5F2EC82B">
      <w:pPr>
        <w:keepNext/>
        <w:spacing w:line="240" w:lineRule="auto"/>
        <w:rPr>
          <w:i/>
          <w:iCs/>
        </w:rPr>
      </w:pPr>
      <w:r w:rsidRPr="5F2EC82B">
        <w:rPr>
          <w:i/>
          <w:iCs/>
        </w:rPr>
        <w:t xml:space="preserve">Dose decrease </w:t>
      </w:r>
    </w:p>
    <w:p w14:paraId="1A0FFE29" w14:textId="3DCB353F" w:rsidR="00124AD4" w:rsidRPr="00B96FD0" w:rsidRDefault="001D0951" w:rsidP="00124AD4">
      <w:pPr>
        <w:spacing w:line="240" w:lineRule="auto"/>
        <w:rPr>
          <w:szCs w:val="22"/>
        </w:rPr>
      </w:pPr>
      <w:r>
        <w:t xml:space="preserve">If fasting serum phosphate is above the reference range for age, the next dose should be </w:t>
      </w:r>
      <w:proofErr w:type="gramStart"/>
      <w:r>
        <w:t>withheld</w:t>
      </w:r>
      <w:proofErr w:type="gramEnd"/>
      <w:r>
        <w:t xml:space="preserve"> and the fasting serum phosphate reassessed within 4 weeks. The patient must have fasting serum phosphate below the reference range for age to restart </w:t>
      </w:r>
      <w:proofErr w:type="spellStart"/>
      <w:r w:rsidR="007D2B85">
        <w:t>burosumab</w:t>
      </w:r>
      <w:proofErr w:type="spellEnd"/>
      <w:r w:rsidR="00AB4CA4">
        <w:t xml:space="preserve"> </w:t>
      </w:r>
      <w:r w:rsidRPr="00DE4873">
        <w:t>at half of the previous dose</w:t>
      </w:r>
      <w:r w:rsidR="00F64209" w:rsidRPr="00DE4873">
        <w:t>, rounding the amount</w:t>
      </w:r>
      <w:r w:rsidR="009306FA" w:rsidRPr="00DE4873">
        <w:t xml:space="preserve"> </w:t>
      </w:r>
      <w:r w:rsidR="00F64209" w:rsidRPr="00DE4873">
        <w:t>as described above</w:t>
      </w:r>
      <w:r w:rsidRPr="00DE4873">
        <w:t>.</w:t>
      </w:r>
      <w:r>
        <w:t xml:space="preserve"> </w:t>
      </w:r>
    </w:p>
    <w:p w14:paraId="3E4AEFC8" w14:textId="77777777" w:rsidR="00B13C1C" w:rsidRPr="00762C70" w:rsidRDefault="00B13C1C" w:rsidP="009A5BF5">
      <w:pPr>
        <w:keepNext/>
        <w:spacing w:line="240" w:lineRule="auto"/>
      </w:pPr>
    </w:p>
    <w:p w14:paraId="2A5BF19E" w14:textId="5802A933" w:rsidR="005C28BD" w:rsidRDefault="007C192D" w:rsidP="07120F5B">
      <w:pPr>
        <w:keepNext/>
        <w:spacing w:line="240" w:lineRule="auto"/>
        <w:rPr>
          <w:i/>
          <w:iCs/>
        </w:rPr>
      </w:pPr>
      <w:r>
        <w:rPr>
          <w:i/>
          <w:iCs/>
        </w:rPr>
        <w:t>Dose Conversion</w:t>
      </w:r>
      <w:r w:rsidR="005C28BD">
        <w:rPr>
          <w:i/>
          <w:iCs/>
        </w:rPr>
        <w:t xml:space="preserve"> at age 18</w:t>
      </w:r>
      <w:r>
        <w:rPr>
          <w:i/>
          <w:iCs/>
        </w:rPr>
        <w:t xml:space="preserve"> years</w:t>
      </w:r>
    </w:p>
    <w:p w14:paraId="6A0940AB" w14:textId="14B19558" w:rsidR="00D564AF" w:rsidRDefault="00153E15" w:rsidP="07120F5B">
      <w:pPr>
        <w:keepNext/>
        <w:spacing w:line="240" w:lineRule="auto"/>
      </w:pPr>
      <w:r>
        <w:t>Children and a</w:t>
      </w:r>
      <w:r w:rsidR="005C28BD" w:rsidRPr="005C28BD">
        <w:t xml:space="preserve">dolescents </w:t>
      </w:r>
      <w:r w:rsidR="00541B5A">
        <w:t>age</w:t>
      </w:r>
      <w:r>
        <w:t>d</w:t>
      </w:r>
      <w:r w:rsidR="00541B5A">
        <w:t xml:space="preserve"> 1 </w:t>
      </w:r>
      <w:r w:rsidR="00CC0BDE">
        <w:t xml:space="preserve">to </w:t>
      </w:r>
      <w:r w:rsidR="00541B5A">
        <w:t xml:space="preserve">17 years </w:t>
      </w:r>
      <w:r w:rsidR="005C28BD" w:rsidRPr="005C28BD">
        <w:t xml:space="preserve">should </w:t>
      </w:r>
      <w:r w:rsidR="005C28BD">
        <w:t xml:space="preserve">be treated </w:t>
      </w:r>
      <w:r w:rsidR="005C28BD" w:rsidRPr="005C28BD">
        <w:t>us</w:t>
      </w:r>
      <w:r w:rsidR="005C28BD">
        <w:t>ing</w:t>
      </w:r>
      <w:r w:rsidR="005C28BD" w:rsidRPr="005C28BD">
        <w:t xml:space="preserve"> the dosing guidance outlined above</w:t>
      </w:r>
      <w:r w:rsidR="00464D73">
        <w:t xml:space="preserve">. </w:t>
      </w:r>
      <w:r w:rsidR="005C28BD" w:rsidRPr="005C28BD">
        <w:t xml:space="preserve">At 18 years of age the patient should </w:t>
      </w:r>
      <w:r w:rsidR="007C192D">
        <w:t xml:space="preserve">convert to the adult dose </w:t>
      </w:r>
      <w:r w:rsidR="00950A7D">
        <w:t xml:space="preserve">and dosing regimen </w:t>
      </w:r>
      <w:r w:rsidR="007C192D">
        <w:t>as outlined below.</w:t>
      </w:r>
    </w:p>
    <w:p w14:paraId="613E4E4D" w14:textId="77777777" w:rsidR="006E6C7C" w:rsidRPr="00BA4BF5" w:rsidRDefault="006E6C7C" w:rsidP="07120F5B">
      <w:pPr>
        <w:keepNext/>
        <w:spacing w:line="240" w:lineRule="auto"/>
        <w:rPr>
          <w:u w:val="single"/>
        </w:rPr>
      </w:pPr>
    </w:p>
    <w:p w14:paraId="2E4ED936" w14:textId="77777777" w:rsidR="006E6C7C" w:rsidRDefault="006E6C7C" w:rsidP="006E6C7C">
      <w:pPr>
        <w:keepNext/>
        <w:spacing w:line="240" w:lineRule="auto"/>
        <w:rPr>
          <w:b/>
          <w:i/>
          <w:iCs/>
          <w:u w:val="single"/>
        </w:rPr>
      </w:pPr>
      <w:r>
        <w:rPr>
          <w:b/>
          <w:i/>
          <w:iCs/>
          <w:u w:val="single"/>
        </w:rPr>
        <w:t>Dosing in Adults</w:t>
      </w:r>
    </w:p>
    <w:p w14:paraId="21EFB30D" w14:textId="77777777" w:rsidR="006E6C7C" w:rsidRDefault="006E6C7C" w:rsidP="006E6C7C">
      <w:pPr>
        <w:pStyle w:val="BodyText"/>
        <w:rPr>
          <w:i w:val="0"/>
          <w:color w:val="000000" w:themeColor="text1"/>
          <w:szCs w:val="24"/>
        </w:rPr>
      </w:pPr>
      <w:r>
        <w:rPr>
          <w:i w:val="0"/>
          <w:color w:val="000000" w:themeColor="text1"/>
          <w:szCs w:val="24"/>
        </w:rPr>
        <w:t xml:space="preserve">The recommended starting dose in adults is 1.0 mg/kg of body weight, rounded to the nearest 10 mg up to a maximum dose of 90 mg, given every 4 weeks. </w:t>
      </w:r>
    </w:p>
    <w:p w14:paraId="03B4C9AD" w14:textId="77777777" w:rsidR="006E6C7C" w:rsidRDefault="006E6C7C" w:rsidP="006E6C7C">
      <w:pPr>
        <w:pStyle w:val="BodyText"/>
        <w:rPr>
          <w:i w:val="0"/>
          <w:color w:val="000000" w:themeColor="text1"/>
          <w:szCs w:val="24"/>
        </w:rPr>
      </w:pPr>
    </w:p>
    <w:p w14:paraId="49A99E0E" w14:textId="52444876" w:rsidR="006E6C7C" w:rsidRPr="00F31AD6" w:rsidRDefault="006E6C7C" w:rsidP="006E6C7C">
      <w:pPr>
        <w:spacing w:line="240" w:lineRule="auto"/>
      </w:pPr>
      <w:r>
        <w:rPr>
          <w:rFonts w:cs="Arial"/>
          <w:color w:val="000000" w:themeColor="text1"/>
          <w:szCs w:val="24"/>
        </w:rPr>
        <w:t xml:space="preserve">After initiation of treatment with </w:t>
      </w:r>
      <w:proofErr w:type="spellStart"/>
      <w:r>
        <w:rPr>
          <w:rFonts w:cs="Arial"/>
          <w:color w:val="000000" w:themeColor="text1"/>
          <w:szCs w:val="24"/>
        </w:rPr>
        <w:t>burosumab</w:t>
      </w:r>
      <w:proofErr w:type="spellEnd"/>
      <w:r>
        <w:rPr>
          <w:rFonts w:cs="Arial"/>
          <w:color w:val="000000" w:themeColor="text1"/>
          <w:szCs w:val="24"/>
        </w:rPr>
        <w:t>, fasting serum phosphate</w:t>
      </w:r>
      <w:r w:rsidR="00F93860">
        <w:rPr>
          <w:rFonts w:cs="Arial"/>
          <w:color w:val="000000" w:themeColor="text1"/>
          <w:szCs w:val="24"/>
        </w:rPr>
        <w:t xml:space="preserve"> should be measured</w:t>
      </w:r>
      <w:r>
        <w:rPr>
          <w:rFonts w:cs="Arial"/>
          <w:color w:val="000000" w:themeColor="text1"/>
          <w:szCs w:val="24"/>
        </w:rPr>
        <w:t xml:space="preserve"> </w:t>
      </w:r>
      <w:r w:rsidR="00D34F42">
        <w:t>every 2 weeks for the first month of treatment, every 4 weeks for the following 2 months and thereafter as appropriate.</w:t>
      </w:r>
      <w:r>
        <w:rPr>
          <w:rFonts w:cs="Arial"/>
          <w:color w:val="000000" w:themeColor="text1"/>
          <w:szCs w:val="24"/>
        </w:rPr>
        <w:t xml:space="preserve"> </w:t>
      </w:r>
      <w:bookmarkStart w:id="3" w:name="_Hlk14772542"/>
      <w:r w:rsidR="00D34F42">
        <w:rPr>
          <w:rFonts w:cs="Arial"/>
          <w:color w:val="000000" w:themeColor="text1"/>
          <w:szCs w:val="24"/>
        </w:rPr>
        <w:t xml:space="preserve"> </w:t>
      </w:r>
      <w:r w:rsidR="00F93860">
        <w:rPr>
          <w:rFonts w:cs="Arial"/>
          <w:color w:val="000000" w:themeColor="text1"/>
          <w:szCs w:val="24"/>
        </w:rPr>
        <w:t>F</w:t>
      </w:r>
      <w:r w:rsidR="00950A7D">
        <w:rPr>
          <w:rFonts w:cs="Arial"/>
          <w:color w:val="000000" w:themeColor="text1"/>
          <w:szCs w:val="24"/>
        </w:rPr>
        <w:t xml:space="preserve">asting serum phosphate </w:t>
      </w:r>
      <w:r w:rsidR="00F93860">
        <w:rPr>
          <w:rFonts w:cs="Arial"/>
          <w:color w:val="000000" w:themeColor="text1"/>
          <w:szCs w:val="24"/>
        </w:rPr>
        <w:t xml:space="preserve">should be measured </w:t>
      </w:r>
      <w:r w:rsidR="00BE7922">
        <w:rPr>
          <w:rFonts w:cs="Arial"/>
          <w:color w:val="000000" w:themeColor="text1"/>
          <w:szCs w:val="24"/>
        </w:rPr>
        <w:t>2</w:t>
      </w:r>
      <w:r w:rsidR="00D34F42">
        <w:rPr>
          <w:rFonts w:cs="Arial"/>
          <w:color w:val="000000" w:themeColor="text1"/>
          <w:szCs w:val="24"/>
        </w:rPr>
        <w:t xml:space="preserve"> weeks after the previous dose</w:t>
      </w:r>
      <w:r w:rsidR="00950A7D">
        <w:rPr>
          <w:rFonts w:cs="Arial"/>
          <w:color w:val="000000" w:themeColor="text1"/>
          <w:szCs w:val="24"/>
        </w:rPr>
        <w:t xml:space="preserve"> of </w:t>
      </w:r>
      <w:proofErr w:type="spellStart"/>
      <w:r w:rsidR="00950A7D">
        <w:rPr>
          <w:rFonts w:cs="Arial"/>
          <w:color w:val="000000" w:themeColor="text1"/>
          <w:szCs w:val="24"/>
        </w:rPr>
        <w:t>burosumab</w:t>
      </w:r>
      <w:proofErr w:type="spellEnd"/>
      <w:r w:rsidR="00D34F42">
        <w:rPr>
          <w:rFonts w:cs="Arial"/>
          <w:color w:val="000000" w:themeColor="text1"/>
          <w:szCs w:val="24"/>
        </w:rPr>
        <w:t xml:space="preserve">. </w:t>
      </w:r>
      <w:r>
        <w:rPr>
          <w:rFonts w:cs="Arial"/>
          <w:color w:val="000000" w:themeColor="text1"/>
          <w:szCs w:val="24"/>
        </w:rPr>
        <w:t xml:space="preserve">If serum phosphate is within the normal range, </w:t>
      </w:r>
      <w:r w:rsidRPr="00FE0030">
        <w:t>the same dose</w:t>
      </w:r>
      <w:r w:rsidR="00F93860">
        <w:t xml:space="preserve"> should be continued. </w:t>
      </w:r>
      <w:bookmarkEnd w:id="3"/>
    </w:p>
    <w:p w14:paraId="0B215F5F" w14:textId="77777777" w:rsidR="006E6C7C" w:rsidRDefault="006E6C7C" w:rsidP="006E6C7C">
      <w:pPr>
        <w:pStyle w:val="BodyText"/>
        <w:rPr>
          <w:rFonts w:cs="Arial"/>
          <w:i w:val="0"/>
          <w:color w:val="000000" w:themeColor="text1"/>
          <w:szCs w:val="24"/>
        </w:rPr>
      </w:pPr>
    </w:p>
    <w:p w14:paraId="1A5482A6" w14:textId="1DBBBC4F" w:rsidR="006E6C7C" w:rsidRDefault="006E6C7C" w:rsidP="006E6C7C">
      <w:pPr>
        <w:pStyle w:val="BodyText"/>
        <w:rPr>
          <w:rFonts w:cs="Arial"/>
          <w:color w:val="000000" w:themeColor="text1"/>
          <w:szCs w:val="24"/>
        </w:rPr>
      </w:pPr>
      <w:r>
        <w:rPr>
          <w:rFonts w:cs="Arial"/>
          <w:color w:val="000000" w:themeColor="text1"/>
          <w:szCs w:val="24"/>
        </w:rPr>
        <w:t xml:space="preserve">Dose </w:t>
      </w:r>
      <w:r w:rsidR="001C3007">
        <w:rPr>
          <w:rFonts w:cs="Arial"/>
          <w:color w:val="000000" w:themeColor="text1"/>
          <w:szCs w:val="24"/>
        </w:rPr>
        <w:t>decrease</w:t>
      </w:r>
    </w:p>
    <w:p w14:paraId="3724EA8E" w14:textId="24DADC5C" w:rsidR="006E6C7C" w:rsidRDefault="006E6C7C" w:rsidP="006E6C7C">
      <w:pPr>
        <w:spacing w:line="240" w:lineRule="auto"/>
        <w:rPr>
          <w:rFonts w:cs="Arial"/>
          <w:color w:val="000000" w:themeColor="text1"/>
          <w:szCs w:val="24"/>
        </w:rPr>
      </w:pPr>
      <w:r>
        <w:rPr>
          <w:rFonts w:cs="Arial"/>
          <w:color w:val="000000" w:themeColor="text1"/>
          <w:szCs w:val="24"/>
        </w:rPr>
        <w:t xml:space="preserve">If serum phosphate is above the </w:t>
      </w:r>
      <w:r w:rsidR="00ED4397">
        <w:rPr>
          <w:rFonts w:cs="Arial"/>
          <w:color w:val="000000" w:themeColor="text1"/>
          <w:szCs w:val="24"/>
        </w:rPr>
        <w:t xml:space="preserve">upper limit of </w:t>
      </w:r>
      <w:r>
        <w:rPr>
          <w:rFonts w:cs="Arial"/>
          <w:color w:val="000000" w:themeColor="text1"/>
          <w:szCs w:val="24"/>
        </w:rPr>
        <w:t>normal range, the next dose</w:t>
      </w:r>
      <w:r w:rsidR="00F93860">
        <w:rPr>
          <w:rFonts w:cs="Arial"/>
          <w:color w:val="000000" w:themeColor="text1"/>
          <w:szCs w:val="24"/>
        </w:rPr>
        <w:t xml:space="preserve"> should be </w:t>
      </w:r>
      <w:proofErr w:type="gramStart"/>
      <w:r w:rsidR="00F93860">
        <w:rPr>
          <w:rFonts w:cs="Arial"/>
          <w:color w:val="000000" w:themeColor="text1"/>
          <w:szCs w:val="24"/>
        </w:rPr>
        <w:t>withheld</w:t>
      </w:r>
      <w:proofErr w:type="gramEnd"/>
      <w:r>
        <w:rPr>
          <w:rFonts w:cs="Arial"/>
          <w:color w:val="000000" w:themeColor="text1"/>
          <w:szCs w:val="24"/>
        </w:rPr>
        <w:t xml:space="preserve"> and the serum phosphate level</w:t>
      </w:r>
      <w:r w:rsidR="00F93860">
        <w:rPr>
          <w:rFonts w:cs="Arial"/>
          <w:color w:val="000000" w:themeColor="text1"/>
          <w:szCs w:val="24"/>
        </w:rPr>
        <w:t xml:space="preserve"> reassessed</w:t>
      </w:r>
      <w:r>
        <w:rPr>
          <w:rFonts w:cs="Arial"/>
          <w:color w:val="000000" w:themeColor="text1"/>
          <w:szCs w:val="24"/>
        </w:rPr>
        <w:t xml:space="preserve"> within 2 weeks. The patient must have serum phosphate below the normal range </w:t>
      </w:r>
      <w:r w:rsidR="00C931AB">
        <w:rPr>
          <w:rFonts w:cs="Arial"/>
          <w:color w:val="000000" w:themeColor="text1"/>
          <w:szCs w:val="24"/>
        </w:rPr>
        <w:t>before</w:t>
      </w:r>
      <w:r>
        <w:rPr>
          <w:rFonts w:cs="Arial"/>
          <w:color w:val="000000" w:themeColor="text1"/>
          <w:szCs w:val="24"/>
        </w:rPr>
        <w:t xml:space="preserve"> re</w:t>
      </w:r>
      <w:r w:rsidR="00D26700">
        <w:rPr>
          <w:rFonts w:cs="Arial"/>
          <w:color w:val="000000" w:themeColor="text1"/>
          <w:szCs w:val="24"/>
        </w:rPr>
        <w:t>start</w:t>
      </w:r>
      <w:r w:rsidR="00C931AB">
        <w:rPr>
          <w:rFonts w:cs="Arial"/>
          <w:color w:val="000000" w:themeColor="text1"/>
          <w:szCs w:val="24"/>
        </w:rPr>
        <w:t>ing</w:t>
      </w:r>
      <w:r w:rsidR="00722C30">
        <w:rPr>
          <w:rFonts w:cs="Arial"/>
          <w:color w:val="000000" w:themeColor="text1"/>
          <w:szCs w:val="24"/>
        </w:rPr>
        <w:t xml:space="preserve"> </w:t>
      </w:r>
      <w:proofErr w:type="spellStart"/>
      <w:r>
        <w:rPr>
          <w:rFonts w:cs="Arial"/>
          <w:color w:val="000000" w:themeColor="text1"/>
          <w:szCs w:val="24"/>
        </w:rPr>
        <w:t>burosumab</w:t>
      </w:r>
      <w:proofErr w:type="spellEnd"/>
      <w:r>
        <w:rPr>
          <w:rFonts w:cs="Arial"/>
          <w:color w:val="000000" w:themeColor="text1"/>
          <w:szCs w:val="24"/>
        </w:rPr>
        <w:t>. Once serum phosphate is below the normal range, treatment may be restarted at half the initial starting dose up to a maximum dose of 40 mg every 4</w:t>
      </w:r>
      <w:r w:rsidR="001B078D">
        <w:rPr>
          <w:rFonts w:cs="Arial"/>
          <w:color w:val="000000" w:themeColor="text1"/>
          <w:szCs w:val="24"/>
        </w:rPr>
        <w:t> </w:t>
      </w:r>
      <w:r>
        <w:rPr>
          <w:rFonts w:cs="Arial"/>
          <w:color w:val="000000" w:themeColor="text1"/>
          <w:szCs w:val="24"/>
        </w:rPr>
        <w:t xml:space="preserve">weeks. </w:t>
      </w:r>
      <w:r w:rsidR="00C931AB">
        <w:rPr>
          <w:rFonts w:cs="Arial"/>
          <w:color w:val="000000" w:themeColor="text1"/>
          <w:szCs w:val="24"/>
        </w:rPr>
        <w:t>S</w:t>
      </w:r>
      <w:r>
        <w:rPr>
          <w:rFonts w:cs="Arial"/>
          <w:color w:val="000000" w:themeColor="text1"/>
          <w:szCs w:val="24"/>
        </w:rPr>
        <w:t xml:space="preserve">erum phosphate </w:t>
      </w:r>
      <w:r w:rsidR="00C931AB">
        <w:rPr>
          <w:rFonts w:cs="Arial"/>
          <w:color w:val="000000" w:themeColor="text1"/>
          <w:szCs w:val="24"/>
        </w:rPr>
        <w:t xml:space="preserve">should be reassessed </w:t>
      </w:r>
      <w:r>
        <w:rPr>
          <w:rFonts w:cs="Arial"/>
          <w:color w:val="000000" w:themeColor="text1"/>
          <w:szCs w:val="24"/>
        </w:rPr>
        <w:t>2 weeks after any change in dose.</w:t>
      </w:r>
    </w:p>
    <w:p w14:paraId="1E4711AB" w14:textId="77777777" w:rsidR="006E6C7C" w:rsidRDefault="006E6C7C" w:rsidP="006E6C7C">
      <w:pPr>
        <w:keepNext/>
        <w:spacing w:line="240" w:lineRule="auto"/>
        <w:rPr>
          <w:i/>
          <w:iCs/>
        </w:rPr>
      </w:pPr>
    </w:p>
    <w:p w14:paraId="426ED4AC" w14:textId="77777777" w:rsidR="006E6C7C" w:rsidRDefault="006E6C7C" w:rsidP="006E6C7C">
      <w:pPr>
        <w:spacing w:line="240" w:lineRule="auto"/>
        <w:rPr>
          <w:rFonts w:cs="Arial"/>
          <w:color w:val="000000" w:themeColor="text1"/>
          <w:szCs w:val="24"/>
        </w:rPr>
      </w:pPr>
    </w:p>
    <w:p w14:paraId="30E1B33C" w14:textId="77777777" w:rsidR="006E6C7C" w:rsidRDefault="006E6C7C" w:rsidP="00417319">
      <w:pPr>
        <w:keepNext/>
        <w:keepLines/>
        <w:spacing w:line="240" w:lineRule="auto"/>
        <w:rPr>
          <w:b/>
          <w:i/>
          <w:szCs w:val="22"/>
          <w:u w:val="single"/>
        </w:rPr>
      </w:pPr>
      <w:r>
        <w:rPr>
          <w:b/>
          <w:i/>
          <w:szCs w:val="22"/>
          <w:u w:val="single"/>
        </w:rPr>
        <w:lastRenderedPageBreak/>
        <w:t>All Patients</w:t>
      </w:r>
    </w:p>
    <w:p w14:paraId="5AB15967" w14:textId="77777777" w:rsidR="00722C30" w:rsidRDefault="00722C30" w:rsidP="00417319">
      <w:pPr>
        <w:keepNext/>
        <w:keepLines/>
        <w:spacing w:line="240" w:lineRule="auto"/>
      </w:pPr>
    </w:p>
    <w:p w14:paraId="5DA5DC16" w14:textId="05098EA1" w:rsidR="006E6C7C" w:rsidRPr="00722C30" w:rsidRDefault="006E6C7C" w:rsidP="00417319">
      <w:pPr>
        <w:keepNext/>
        <w:keepLines/>
        <w:spacing w:line="240" w:lineRule="auto"/>
      </w:pPr>
      <w:r>
        <w:t>To decrease the risk for ectopic mineralisation, it is recommended that fasting serum phosphate is targeted in the lower end of the normal reference range for age (see section 4.4).</w:t>
      </w:r>
    </w:p>
    <w:p w14:paraId="3EF92949" w14:textId="147C5908" w:rsidR="00124AD4" w:rsidRDefault="00124AD4" w:rsidP="00417319">
      <w:pPr>
        <w:keepNext/>
        <w:keepLines/>
        <w:autoSpaceDE w:val="0"/>
        <w:autoSpaceDN w:val="0"/>
        <w:adjustRightInd w:val="0"/>
        <w:spacing w:line="240" w:lineRule="auto"/>
        <w:rPr>
          <w:szCs w:val="22"/>
        </w:rPr>
      </w:pPr>
    </w:p>
    <w:p w14:paraId="4AE201EB" w14:textId="77777777" w:rsidR="00EA636E" w:rsidRPr="00662578" w:rsidRDefault="00EA636E" w:rsidP="00417319">
      <w:pPr>
        <w:keepNext/>
        <w:keepLines/>
        <w:spacing w:line="240" w:lineRule="auto"/>
        <w:rPr>
          <w:szCs w:val="22"/>
        </w:rPr>
      </w:pPr>
      <w:r w:rsidRPr="5F2EC82B">
        <w:rPr>
          <w:i/>
          <w:iCs/>
        </w:rPr>
        <w:t xml:space="preserve">Missed </w:t>
      </w:r>
      <w:r>
        <w:rPr>
          <w:i/>
          <w:iCs/>
        </w:rPr>
        <w:t>dose</w:t>
      </w:r>
      <w:r w:rsidRPr="00082994">
        <w:rPr>
          <w:i/>
          <w:iCs/>
        </w:rPr>
        <w:t xml:space="preserve"> </w:t>
      </w:r>
    </w:p>
    <w:p w14:paraId="5B7070AF" w14:textId="05E73AB2" w:rsidR="00EA636E" w:rsidRPr="00A6605C" w:rsidRDefault="00EA636E" w:rsidP="00417319">
      <w:pPr>
        <w:keepNext/>
        <w:keepLines/>
        <w:spacing w:line="240" w:lineRule="auto"/>
        <w:rPr>
          <w:u w:val="single"/>
        </w:rPr>
      </w:pPr>
      <w:r>
        <w:t>T</w:t>
      </w:r>
      <w:r w:rsidRPr="00C75450">
        <w:t xml:space="preserve">reatments may be administered </w:t>
      </w:r>
      <w:r w:rsidRPr="00762C70">
        <w:t xml:space="preserve">3 days </w:t>
      </w:r>
      <w:r w:rsidR="00E74A0D" w:rsidRPr="00762C70">
        <w:t>either side</w:t>
      </w:r>
      <w:r w:rsidRPr="00762C70">
        <w:t xml:space="preserve"> </w:t>
      </w:r>
      <w:r w:rsidR="001A56B9">
        <w:t>of</w:t>
      </w:r>
      <w:r>
        <w:t xml:space="preserve"> </w:t>
      </w:r>
      <w:r w:rsidRPr="00C75450">
        <w:t>the scheduled treatment date</w:t>
      </w:r>
      <w:r>
        <w:t xml:space="preserve"> </w:t>
      </w:r>
      <w:r w:rsidRPr="00762C70">
        <w:t>if needed for practical reasons.</w:t>
      </w:r>
      <w:r w:rsidRPr="00C75450">
        <w:t xml:space="preserve"> </w:t>
      </w:r>
      <w:r>
        <w:t xml:space="preserve">If a patient misses a dose, </w:t>
      </w:r>
      <w:proofErr w:type="spellStart"/>
      <w:r>
        <w:t>burosumab</w:t>
      </w:r>
      <w:proofErr w:type="spellEnd"/>
      <w:r>
        <w:t xml:space="preserve"> should be resumed as soon as possible at the prescribed dose.</w:t>
      </w:r>
    </w:p>
    <w:p w14:paraId="017043B4" w14:textId="77777777" w:rsidR="00EA636E" w:rsidRPr="00AD4821" w:rsidRDefault="00EA636E" w:rsidP="00124AD4">
      <w:pPr>
        <w:autoSpaceDE w:val="0"/>
        <w:autoSpaceDN w:val="0"/>
        <w:adjustRightInd w:val="0"/>
        <w:spacing w:line="240" w:lineRule="auto"/>
        <w:rPr>
          <w:szCs w:val="22"/>
        </w:rPr>
      </w:pPr>
    </w:p>
    <w:p w14:paraId="77B1A192" w14:textId="77777777" w:rsidR="00124AD4" w:rsidRDefault="001D0951" w:rsidP="5F2EC82B">
      <w:pPr>
        <w:keepNext/>
        <w:keepLines/>
        <w:spacing w:line="240" w:lineRule="auto"/>
        <w:rPr>
          <w:u w:val="single"/>
        </w:rPr>
      </w:pPr>
      <w:r w:rsidRPr="5F2EC82B">
        <w:rPr>
          <w:u w:val="single"/>
        </w:rPr>
        <w:t xml:space="preserve">Special </w:t>
      </w:r>
      <w:r w:rsidR="00353DE7">
        <w:rPr>
          <w:u w:val="single"/>
        </w:rPr>
        <w:t>p</w:t>
      </w:r>
      <w:r w:rsidRPr="5F2EC82B">
        <w:rPr>
          <w:u w:val="single"/>
        </w:rPr>
        <w:t>opulations</w:t>
      </w:r>
    </w:p>
    <w:p w14:paraId="749045E3" w14:textId="77777777" w:rsidR="00353DE7" w:rsidRPr="00BA4BF5" w:rsidRDefault="00353DE7" w:rsidP="5F2EC82B">
      <w:pPr>
        <w:keepNext/>
        <w:keepLines/>
        <w:spacing w:line="240" w:lineRule="auto"/>
        <w:rPr>
          <w:u w:val="single"/>
        </w:rPr>
      </w:pPr>
    </w:p>
    <w:p w14:paraId="5DD60C60" w14:textId="77777777" w:rsidR="00124AD4" w:rsidRPr="00662578" w:rsidRDefault="001D0951" w:rsidP="50BD9E82">
      <w:pPr>
        <w:keepNext/>
        <w:autoSpaceDE w:val="0"/>
        <w:autoSpaceDN w:val="0"/>
        <w:adjustRightInd w:val="0"/>
        <w:spacing w:line="240" w:lineRule="auto"/>
        <w:rPr>
          <w:szCs w:val="22"/>
        </w:rPr>
      </w:pPr>
      <w:r w:rsidRPr="5F2EC82B">
        <w:rPr>
          <w:i/>
          <w:iCs/>
        </w:rPr>
        <w:t>Renal impairment</w:t>
      </w:r>
    </w:p>
    <w:p w14:paraId="77A5A2E7" w14:textId="77777777" w:rsidR="00124AD4" w:rsidRPr="001F1B4C" w:rsidRDefault="001D0951" w:rsidP="07120F5B">
      <w:pPr>
        <w:spacing w:line="240" w:lineRule="auto"/>
        <w:rPr>
          <w:i/>
          <w:iCs/>
        </w:rPr>
      </w:pPr>
      <w:proofErr w:type="spellStart"/>
      <w:r>
        <w:t>Burosumab</w:t>
      </w:r>
      <w:proofErr w:type="spellEnd"/>
      <w:r>
        <w:t xml:space="preserve"> has not been studied in patients with renal impairment. </w:t>
      </w:r>
      <w:proofErr w:type="spellStart"/>
      <w:r>
        <w:t>Burosumab</w:t>
      </w:r>
      <w:proofErr w:type="spellEnd"/>
      <w:r>
        <w:t xml:space="preserve"> must not be given to</w:t>
      </w:r>
      <w:r w:rsidRPr="07120F5B">
        <w:rPr>
          <w:i/>
          <w:iCs/>
        </w:rPr>
        <w:t xml:space="preserve"> </w:t>
      </w:r>
      <w:r>
        <w:t>patients with severe or end stage renal disease (see section 4.3).</w:t>
      </w:r>
    </w:p>
    <w:p w14:paraId="28676491" w14:textId="77777777" w:rsidR="00124AD4" w:rsidRPr="008C7C4F" w:rsidRDefault="00124AD4" w:rsidP="008C7C4F">
      <w:pPr>
        <w:autoSpaceDE w:val="0"/>
        <w:autoSpaceDN w:val="0"/>
        <w:adjustRightInd w:val="0"/>
        <w:spacing w:line="240" w:lineRule="auto"/>
        <w:rPr>
          <w:szCs w:val="22"/>
        </w:rPr>
      </w:pPr>
    </w:p>
    <w:p w14:paraId="2189D0D7" w14:textId="77777777" w:rsidR="00124AD4" w:rsidRPr="00662578" w:rsidRDefault="001D0951" w:rsidP="50BD9E82">
      <w:pPr>
        <w:keepNext/>
        <w:keepLines/>
        <w:autoSpaceDE w:val="0"/>
        <w:autoSpaceDN w:val="0"/>
        <w:adjustRightInd w:val="0"/>
        <w:spacing w:line="240" w:lineRule="auto"/>
        <w:rPr>
          <w:szCs w:val="22"/>
        </w:rPr>
      </w:pPr>
      <w:r w:rsidRPr="5F2EC82B">
        <w:rPr>
          <w:i/>
          <w:iCs/>
        </w:rPr>
        <w:t>Paediatric population</w:t>
      </w:r>
    </w:p>
    <w:p w14:paraId="3F1D8A7E" w14:textId="042E4006" w:rsidR="00124AD4" w:rsidRPr="00C56B34" w:rsidRDefault="001D0951" w:rsidP="50BD9E82">
      <w:pPr>
        <w:keepNext/>
        <w:keepLines/>
        <w:spacing w:line="240" w:lineRule="auto"/>
        <w:rPr>
          <w:szCs w:val="22"/>
        </w:rPr>
      </w:pPr>
      <w:r>
        <w:t xml:space="preserve">The safety and efficacy of </w:t>
      </w:r>
      <w:proofErr w:type="spellStart"/>
      <w:r>
        <w:t>burosumab</w:t>
      </w:r>
      <w:proofErr w:type="spellEnd"/>
      <w:r>
        <w:t xml:space="preserve"> in children aged less than one year have not been established</w:t>
      </w:r>
      <w:r w:rsidR="00145625">
        <w:t xml:space="preserve"> in clinical studies</w:t>
      </w:r>
      <w:r w:rsidR="00353DE7">
        <w:t>.</w:t>
      </w:r>
      <w:r>
        <w:t xml:space="preserve"> </w:t>
      </w:r>
    </w:p>
    <w:p w14:paraId="6B56DB10" w14:textId="77777777" w:rsidR="00124AD4" w:rsidRDefault="00124AD4">
      <w:pPr>
        <w:autoSpaceDE w:val="0"/>
        <w:autoSpaceDN w:val="0"/>
        <w:adjustRightInd w:val="0"/>
        <w:spacing w:line="240" w:lineRule="auto"/>
        <w:rPr>
          <w:i/>
          <w:szCs w:val="22"/>
        </w:rPr>
      </w:pPr>
    </w:p>
    <w:p w14:paraId="7E1EE61A" w14:textId="77777777" w:rsidR="006E6C7C" w:rsidRDefault="006E6C7C" w:rsidP="006E6C7C">
      <w:pPr>
        <w:keepNext/>
        <w:autoSpaceDE w:val="0"/>
        <w:autoSpaceDN w:val="0"/>
        <w:adjustRightInd w:val="0"/>
        <w:spacing w:line="240" w:lineRule="auto"/>
      </w:pPr>
      <w:r>
        <w:rPr>
          <w:i/>
          <w:iCs/>
        </w:rPr>
        <w:t xml:space="preserve">Elderly </w:t>
      </w:r>
    </w:p>
    <w:p w14:paraId="026E65DD" w14:textId="185AAB65" w:rsidR="006E6C7C" w:rsidRDefault="006E6C7C" w:rsidP="006E6C7C">
      <w:pPr>
        <w:autoSpaceDE w:val="0"/>
        <w:autoSpaceDN w:val="0"/>
        <w:adjustRightInd w:val="0"/>
        <w:spacing w:line="240" w:lineRule="auto"/>
      </w:pPr>
      <w:r>
        <w:t xml:space="preserve">Limited data is available in patients over 65 years of age. </w:t>
      </w:r>
    </w:p>
    <w:p w14:paraId="604690D9" w14:textId="77777777" w:rsidR="006E6C7C" w:rsidRPr="00B96FD0" w:rsidRDefault="006E6C7C" w:rsidP="006E6C7C">
      <w:pPr>
        <w:autoSpaceDE w:val="0"/>
        <w:autoSpaceDN w:val="0"/>
        <w:adjustRightInd w:val="0"/>
        <w:spacing w:line="240" w:lineRule="auto"/>
        <w:rPr>
          <w:i/>
          <w:szCs w:val="22"/>
        </w:rPr>
      </w:pPr>
    </w:p>
    <w:p w14:paraId="3D79C0BB" w14:textId="77777777" w:rsidR="00AA5328" w:rsidRDefault="00AA5328" w:rsidP="5F2EC82B">
      <w:pPr>
        <w:keepNext/>
        <w:spacing w:line="240" w:lineRule="auto"/>
        <w:rPr>
          <w:u w:val="single"/>
        </w:rPr>
      </w:pPr>
    </w:p>
    <w:p w14:paraId="0E2FAC34" w14:textId="696E09C5" w:rsidR="00124AD4" w:rsidRPr="00BA4BF5" w:rsidRDefault="001D0951" w:rsidP="5F2EC82B">
      <w:pPr>
        <w:keepNext/>
        <w:spacing w:line="240" w:lineRule="auto"/>
        <w:rPr>
          <w:u w:val="single"/>
        </w:rPr>
      </w:pPr>
      <w:r w:rsidRPr="5F2EC82B">
        <w:rPr>
          <w:u w:val="single"/>
        </w:rPr>
        <w:t>Method of administration</w:t>
      </w:r>
    </w:p>
    <w:p w14:paraId="55EE096D" w14:textId="77777777" w:rsidR="00353DE7" w:rsidRDefault="00353DE7" w:rsidP="50BD9E82">
      <w:pPr>
        <w:spacing w:line="240" w:lineRule="auto"/>
      </w:pPr>
    </w:p>
    <w:p w14:paraId="27EC7FD4" w14:textId="77777777" w:rsidR="00124AD4" w:rsidRPr="00B96FD0" w:rsidRDefault="001D0951" w:rsidP="50BD9E82">
      <w:pPr>
        <w:spacing w:line="240" w:lineRule="auto"/>
        <w:rPr>
          <w:szCs w:val="22"/>
        </w:rPr>
      </w:pPr>
      <w:r>
        <w:t>For subcutaneous use.</w:t>
      </w:r>
    </w:p>
    <w:p w14:paraId="36F0AAB4" w14:textId="77777777" w:rsidR="00124AD4" w:rsidRPr="00B96FD0" w:rsidRDefault="00124AD4" w:rsidP="00124AD4">
      <w:pPr>
        <w:spacing w:line="240" w:lineRule="auto"/>
        <w:rPr>
          <w:szCs w:val="22"/>
        </w:rPr>
      </w:pPr>
    </w:p>
    <w:p w14:paraId="49D18831" w14:textId="77777777" w:rsidR="00F22D5C" w:rsidRPr="009306FA" w:rsidRDefault="001D0951" w:rsidP="50BD9E82">
      <w:pPr>
        <w:spacing w:line="240" w:lineRule="auto"/>
        <w:rPr>
          <w:strike/>
        </w:rPr>
      </w:pPr>
      <w:proofErr w:type="spellStart"/>
      <w:r>
        <w:t>Burosumab</w:t>
      </w:r>
      <w:proofErr w:type="spellEnd"/>
      <w:r w:rsidR="004F0533">
        <w:t xml:space="preserve"> should be injected in the arm, abdomen, buttock or thigh</w:t>
      </w:r>
      <w:r w:rsidR="009306FA">
        <w:t>.</w:t>
      </w:r>
    </w:p>
    <w:p w14:paraId="0662A09D" w14:textId="77777777" w:rsidR="00F22D5C" w:rsidRDefault="00F22D5C" w:rsidP="50BD9E82">
      <w:pPr>
        <w:spacing w:line="240" w:lineRule="auto"/>
      </w:pPr>
    </w:p>
    <w:p w14:paraId="10B84E3A" w14:textId="7D5ACF9D" w:rsidR="00124AD4" w:rsidRPr="00DE4873" w:rsidRDefault="001D0951" w:rsidP="50BD9E82">
      <w:pPr>
        <w:spacing w:line="240" w:lineRule="auto"/>
      </w:pPr>
      <w:r>
        <w:t xml:space="preserve">The maximum volume of medicinal product per </w:t>
      </w:r>
      <w:r w:rsidRPr="00DE4873">
        <w:t xml:space="preserve">injection site is 1.5 ml. If more than 1.5 ml is required on a given dosing day, the total volume of medicinal product </w:t>
      </w:r>
      <w:r w:rsidR="004A1BCE" w:rsidRPr="00DE4873">
        <w:t xml:space="preserve">must </w:t>
      </w:r>
      <w:r w:rsidRPr="00DE4873">
        <w:t>be split and administered at</w:t>
      </w:r>
      <w:r w:rsidR="004A1BCE" w:rsidRPr="00DE4873">
        <w:t xml:space="preserve"> </w:t>
      </w:r>
      <w:r w:rsidRPr="00DE4873">
        <w:t xml:space="preserve">two </w:t>
      </w:r>
      <w:r w:rsidR="00113E9D" w:rsidRPr="00DE4873">
        <w:t xml:space="preserve">or more </w:t>
      </w:r>
      <w:r w:rsidRPr="00DE4873">
        <w:t xml:space="preserve">different injection sites. Injection sites should be rotated and carefully monitored for signs of potential reactions (see section 4.4). </w:t>
      </w:r>
    </w:p>
    <w:p w14:paraId="099DBA7A" w14:textId="77777777" w:rsidR="00124AD4" w:rsidRPr="00DE4873" w:rsidRDefault="00124AD4">
      <w:pPr>
        <w:spacing w:line="240" w:lineRule="auto"/>
        <w:rPr>
          <w:szCs w:val="22"/>
        </w:rPr>
      </w:pPr>
    </w:p>
    <w:p w14:paraId="03077EAA" w14:textId="77777777" w:rsidR="00124AD4" w:rsidRPr="00DE4873" w:rsidRDefault="001D0951" w:rsidP="50BD9E82">
      <w:pPr>
        <w:spacing w:line="240" w:lineRule="auto"/>
        <w:rPr>
          <w:szCs w:val="22"/>
        </w:rPr>
      </w:pPr>
      <w:r w:rsidRPr="00DE4873">
        <w:t xml:space="preserve">For handling of </w:t>
      </w:r>
      <w:proofErr w:type="spellStart"/>
      <w:r w:rsidR="007D2B85" w:rsidRPr="00DE4873">
        <w:t>burosumab</w:t>
      </w:r>
      <w:proofErr w:type="spellEnd"/>
      <w:r w:rsidRPr="00DE4873">
        <w:t xml:space="preserve"> before administration, see section 6.6.</w:t>
      </w:r>
    </w:p>
    <w:p w14:paraId="5192F6E7" w14:textId="77777777" w:rsidR="00124AD4" w:rsidRPr="00DE4873" w:rsidRDefault="00124AD4">
      <w:pPr>
        <w:spacing w:line="240" w:lineRule="auto"/>
        <w:rPr>
          <w:noProof/>
          <w:szCs w:val="22"/>
        </w:rPr>
      </w:pPr>
    </w:p>
    <w:p w14:paraId="0E16F023" w14:textId="77777777" w:rsidR="00124AD4" w:rsidRPr="00DE4873" w:rsidRDefault="001D0951" w:rsidP="009A1E23">
      <w:pPr>
        <w:keepNext/>
        <w:spacing w:line="240" w:lineRule="auto"/>
        <w:ind w:left="567" w:hanging="567"/>
        <w:rPr>
          <w:szCs w:val="22"/>
        </w:rPr>
      </w:pPr>
      <w:r w:rsidRPr="00DE4873">
        <w:rPr>
          <w:b/>
          <w:bCs/>
          <w:noProof/>
          <w:szCs w:val="22"/>
        </w:rPr>
        <w:t>4.3</w:t>
      </w:r>
      <w:r w:rsidRPr="00DE4873">
        <w:rPr>
          <w:b/>
          <w:noProof/>
          <w:szCs w:val="22"/>
        </w:rPr>
        <w:tab/>
      </w:r>
      <w:r w:rsidRPr="00DE4873">
        <w:rPr>
          <w:b/>
          <w:bCs/>
          <w:noProof/>
          <w:szCs w:val="22"/>
        </w:rPr>
        <w:t>Contraindications</w:t>
      </w:r>
    </w:p>
    <w:p w14:paraId="21072EA2" w14:textId="77777777" w:rsidR="00124AD4" w:rsidRPr="00DE4873" w:rsidRDefault="00124AD4">
      <w:pPr>
        <w:spacing w:line="240" w:lineRule="auto"/>
        <w:rPr>
          <w:noProof/>
          <w:szCs w:val="22"/>
        </w:rPr>
      </w:pPr>
    </w:p>
    <w:p w14:paraId="2B94AE02" w14:textId="77777777" w:rsidR="00124AD4" w:rsidRPr="00DE4873" w:rsidRDefault="001D0951" w:rsidP="50BD9E82">
      <w:pPr>
        <w:spacing w:line="240" w:lineRule="auto"/>
        <w:rPr>
          <w:szCs w:val="22"/>
        </w:rPr>
      </w:pPr>
      <w:r w:rsidRPr="00DE4873">
        <w:t xml:space="preserve">Hypersensitivity to the active substance or to any of the excipients listed in section 6.1. </w:t>
      </w:r>
    </w:p>
    <w:p w14:paraId="01E43C33" w14:textId="77777777" w:rsidR="00124AD4" w:rsidRPr="00DE4873" w:rsidRDefault="00124AD4">
      <w:pPr>
        <w:tabs>
          <w:tab w:val="left" w:pos="0"/>
        </w:tabs>
        <w:spacing w:line="240" w:lineRule="auto"/>
        <w:rPr>
          <w:szCs w:val="22"/>
        </w:rPr>
      </w:pPr>
    </w:p>
    <w:p w14:paraId="2BE63038" w14:textId="77777777" w:rsidR="00124AD4" w:rsidRPr="00662578" w:rsidRDefault="001D0951" w:rsidP="50BD9E82">
      <w:pPr>
        <w:spacing w:line="240" w:lineRule="auto"/>
        <w:rPr>
          <w:szCs w:val="22"/>
        </w:rPr>
      </w:pPr>
      <w:r w:rsidRPr="00DE4873">
        <w:t xml:space="preserve">Concurrent administration with oral phosphate, </w:t>
      </w:r>
      <w:r w:rsidR="004A1BCE" w:rsidRPr="00DE4873">
        <w:t xml:space="preserve">active </w:t>
      </w:r>
      <w:r w:rsidRPr="00DE4873">
        <w:t>vitamin D analogues (see section 4.5).</w:t>
      </w:r>
    </w:p>
    <w:p w14:paraId="38D496F5" w14:textId="77777777" w:rsidR="00124AD4" w:rsidRPr="00662578" w:rsidRDefault="00124AD4" w:rsidP="00124AD4">
      <w:pPr>
        <w:spacing w:line="240" w:lineRule="auto"/>
        <w:rPr>
          <w:szCs w:val="22"/>
        </w:rPr>
      </w:pPr>
    </w:p>
    <w:p w14:paraId="4EB011D7" w14:textId="77777777" w:rsidR="00124AD4" w:rsidRPr="00662578" w:rsidRDefault="001D0951" w:rsidP="50BD9E82">
      <w:pPr>
        <w:tabs>
          <w:tab w:val="left" w:pos="0"/>
        </w:tabs>
        <w:spacing w:line="240" w:lineRule="auto"/>
        <w:rPr>
          <w:szCs w:val="22"/>
        </w:rPr>
      </w:pPr>
      <w:r>
        <w:t>Fasting serum phosphate above the normal range for age due to the risk of hyperphosphatemia (see section 4.4).</w:t>
      </w:r>
    </w:p>
    <w:p w14:paraId="53A940F7" w14:textId="77777777" w:rsidR="00124AD4" w:rsidRPr="00B96FD0" w:rsidRDefault="00124AD4">
      <w:pPr>
        <w:spacing w:line="240" w:lineRule="auto"/>
        <w:rPr>
          <w:szCs w:val="22"/>
        </w:rPr>
      </w:pPr>
    </w:p>
    <w:p w14:paraId="1F2E3819" w14:textId="77777777" w:rsidR="00124AD4" w:rsidRPr="00B96FD0" w:rsidRDefault="001D0951" w:rsidP="50BD9E82">
      <w:pPr>
        <w:spacing w:line="240" w:lineRule="auto"/>
        <w:rPr>
          <w:szCs w:val="22"/>
        </w:rPr>
      </w:pPr>
      <w:r>
        <w:t>Patients with severe renal impairment or end stage renal disease.</w:t>
      </w:r>
    </w:p>
    <w:p w14:paraId="4B2ACDEE" w14:textId="77777777" w:rsidR="00124AD4" w:rsidRPr="00C56B34" w:rsidRDefault="00124AD4">
      <w:pPr>
        <w:spacing w:line="240" w:lineRule="auto"/>
        <w:rPr>
          <w:noProof/>
          <w:szCs w:val="22"/>
        </w:rPr>
      </w:pPr>
    </w:p>
    <w:p w14:paraId="442AFBCD" w14:textId="77777777" w:rsidR="00124AD4" w:rsidRPr="00662578" w:rsidRDefault="001D0951" w:rsidP="00853FA3">
      <w:pPr>
        <w:keepNext/>
        <w:spacing w:line="240" w:lineRule="auto"/>
        <w:ind w:left="567" w:hanging="567"/>
        <w:rPr>
          <w:szCs w:val="22"/>
        </w:rPr>
      </w:pPr>
      <w:r w:rsidRPr="5F2EC82B">
        <w:rPr>
          <w:b/>
          <w:bCs/>
          <w:noProof/>
        </w:rPr>
        <w:t>4.4</w:t>
      </w:r>
      <w:r w:rsidRPr="00C56B34">
        <w:rPr>
          <w:b/>
          <w:noProof/>
          <w:szCs w:val="22"/>
        </w:rPr>
        <w:tab/>
      </w:r>
      <w:r w:rsidRPr="5F2EC82B">
        <w:rPr>
          <w:b/>
          <w:bCs/>
          <w:noProof/>
        </w:rPr>
        <w:t>Special warnings and precautions for use</w:t>
      </w:r>
    </w:p>
    <w:p w14:paraId="400AC73B" w14:textId="77777777" w:rsidR="006E6C7C" w:rsidRDefault="006E6C7C" w:rsidP="00853FA3">
      <w:pPr>
        <w:keepNext/>
        <w:tabs>
          <w:tab w:val="clear" w:pos="567"/>
        </w:tabs>
        <w:spacing w:line="240" w:lineRule="auto"/>
        <w:rPr>
          <w:u w:val="single"/>
        </w:rPr>
      </w:pPr>
    </w:p>
    <w:p w14:paraId="788A0184" w14:textId="77777777" w:rsidR="006E6C7C" w:rsidRPr="00373DC3" w:rsidRDefault="006E6C7C" w:rsidP="00853FA3">
      <w:pPr>
        <w:keepNext/>
        <w:tabs>
          <w:tab w:val="clear" w:pos="567"/>
        </w:tabs>
        <w:spacing w:line="240" w:lineRule="auto"/>
        <w:rPr>
          <w:u w:val="single"/>
        </w:rPr>
      </w:pPr>
      <w:r w:rsidRPr="00373DC3">
        <w:rPr>
          <w:u w:val="single"/>
        </w:rPr>
        <w:t>Traceability</w:t>
      </w:r>
    </w:p>
    <w:p w14:paraId="6169120C" w14:textId="77777777" w:rsidR="006E6C7C" w:rsidRDefault="006E6C7C" w:rsidP="00853FA3">
      <w:pPr>
        <w:keepNext/>
        <w:tabs>
          <w:tab w:val="clear" w:pos="567"/>
        </w:tabs>
        <w:spacing w:line="240" w:lineRule="auto"/>
      </w:pPr>
    </w:p>
    <w:p w14:paraId="16E6422F" w14:textId="77777777" w:rsidR="006E6C7C" w:rsidRPr="005F60A7" w:rsidRDefault="006E6C7C" w:rsidP="00853FA3">
      <w:pPr>
        <w:keepNext/>
        <w:tabs>
          <w:tab w:val="clear" w:pos="567"/>
        </w:tabs>
        <w:spacing w:line="240" w:lineRule="auto"/>
      </w:pPr>
      <w:r w:rsidRPr="005F60A7">
        <w:t>In order to improve the traceability of biological medicinal products, the name and the batch number</w:t>
      </w:r>
    </w:p>
    <w:p w14:paraId="1A85C72A" w14:textId="77777777" w:rsidR="00124AD4" w:rsidRDefault="006E6C7C" w:rsidP="006E6C7C">
      <w:pPr>
        <w:spacing w:line="240" w:lineRule="auto"/>
      </w:pPr>
      <w:r w:rsidRPr="005F60A7">
        <w:t>of the administered product should be clearly recorded</w:t>
      </w:r>
      <w:r>
        <w:t xml:space="preserve"> within the patient’s records.</w:t>
      </w:r>
    </w:p>
    <w:p w14:paraId="193651AE" w14:textId="77777777" w:rsidR="006E6C7C" w:rsidRPr="00B96FD0" w:rsidRDefault="006E6C7C" w:rsidP="006E6C7C">
      <w:pPr>
        <w:spacing w:line="240" w:lineRule="auto"/>
        <w:rPr>
          <w:szCs w:val="22"/>
        </w:rPr>
      </w:pPr>
    </w:p>
    <w:p w14:paraId="53E83542" w14:textId="77777777" w:rsidR="00124AD4" w:rsidRDefault="001D0951" w:rsidP="00DE4873">
      <w:pPr>
        <w:keepNext/>
        <w:tabs>
          <w:tab w:val="clear" w:pos="567"/>
        </w:tabs>
        <w:spacing w:line="240" w:lineRule="auto"/>
        <w:rPr>
          <w:u w:val="single"/>
        </w:rPr>
      </w:pPr>
      <w:r>
        <w:rPr>
          <w:u w:val="single"/>
        </w:rPr>
        <w:lastRenderedPageBreak/>
        <w:t>Ectopic mineralisation</w:t>
      </w:r>
    </w:p>
    <w:p w14:paraId="0E5015E6" w14:textId="77777777" w:rsidR="00353DE7" w:rsidRPr="00B96FD0" w:rsidRDefault="00353DE7" w:rsidP="00DE4873">
      <w:pPr>
        <w:keepNext/>
        <w:tabs>
          <w:tab w:val="clear" w:pos="567"/>
        </w:tabs>
        <w:spacing w:line="240" w:lineRule="auto"/>
        <w:rPr>
          <w:u w:val="single"/>
        </w:rPr>
      </w:pPr>
    </w:p>
    <w:p w14:paraId="3164C1C4" w14:textId="77777777" w:rsidR="00124AD4" w:rsidRPr="00DE4873" w:rsidRDefault="001D0951" w:rsidP="00DE4873">
      <w:pPr>
        <w:keepNext/>
        <w:spacing w:line="240" w:lineRule="auto"/>
      </w:pPr>
      <w:r>
        <w:t xml:space="preserve">Ectopic mineralisation, as manifested by </w:t>
      </w:r>
      <w:proofErr w:type="spellStart"/>
      <w:r>
        <w:t>nephrocalcinosis</w:t>
      </w:r>
      <w:proofErr w:type="spellEnd"/>
      <w:r>
        <w:t xml:space="preserve">, has been observed in patients with XLH </w:t>
      </w:r>
      <w:r w:rsidRPr="00DE4873">
        <w:t xml:space="preserve">treated with oral </w:t>
      </w:r>
      <w:r w:rsidR="00A76146" w:rsidRPr="00DE4873">
        <w:t xml:space="preserve">phosphate </w:t>
      </w:r>
      <w:r w:rsidRPr="00DE4873">
        <w:t xml:space="preserve">and </w:t>
      </w:r>
      <w:r w:rsidR="00A76146" w:rsidRPr="00DE4873">
        <w:t xml:space="preserve">active </w:t>
      </w:r>
      <w:r w:rsidRPr="00DE4873">
        <w:t xml:space="preserve">vitamin D analogues; these medicinal products should be stopped </w:t>
      </w:r>
      <w:r w:rsidR="005F26ED" w:rsidRPr="00DE4873">
        <w:t xml:space="preserve">at least 1 week </w:t>
      </w:r>
      <w:r w:rsidRPr="00DE4873">
        <w:t xml:space="preserve">prior to initiating </w:t>
      </w:r>
      <w:proofErr w:type="spellStart"/>
      <w:r w:rsidR="007D2B85" w:rsidRPr="00DE4873">
        <w:t>burosumab</w:t>
      </w:r>
      <w:proofErr w:type="spellEnd"/>
      <w:r w:rsidR="00AB4CA4" w:rsidRPr="00DE4873">
        <w:t xml:space="preserve"> </w:t>
      </w:r>
      <w:r w:rsidR="005044B4" w:rsidRPr="00DE4873">
        <w:t>treatment (see section 4.2).</w:t>
      </w:r>
    </w:p>
    <w:p w14:paraId="016A524D" w14:textId="77777777" w:rsidR="005B5B4F" w:rsidRPr="00DE4873" w:rsidRDefault="005B5B4F" w:rsidP="00124AD4">
      <w:pPr>
        <w:spacing w:line="240" w:lineRule="auto"/>
      </w:pPr>
    </w:p>
    <w:p w14:paraId="66E3FC22" w14:textId="1FDBA509" w:rsidR="0019219C" w:rsidRDefault="001D0951" w:rsidP="0019219C">
      <w:r w:rsidRPr="00DE4873">
        <w:t xml:space="preserve">Monitoring for signs and symptoms of </w:t>
      </w:r>
      <w:proofErr w:type="spellStart"/>
      <w:r w:rsidRPr="00DE4873">
        <w:t>nephrocalcinosis</w:t>
      </w:r>
      <w:proofErr w:type="spellEnd"/>
      <w:r w:rsidRPr="00DE4873">
        <w:t>, e.g. by renal ultrasonography, is recommended at the start of treatment and every 6 months for the first 12 months of treatment, and annually thereafter</w:t>
      </w:r>
      <w:r w:rsidR="004C6B55" w:rsidRPr="00DE4873">
        <w:t>.</w:t>
      </w:r>
      <w:r w:rsidRPr="00DE4873">
        <w:t xml:space="preserve"> Monitoring of plasma alkaline phosphatase, </w:t>
      </w:r>
      <w:r w:rsidR="00A76146" w:rsidRPr="00DE4873">
        <w:t xml:space="preserve">calcium, parathyroid hormone (PTH) </w:t>
      </w:r>
      <w:r w:rsidRPr="00DE4873">
        <w:t>and creatinine is recommended every 6 months (every 3 months for children 1</w:t>
      </w:r>
      <w:r w:rsidR="003938D8">
        <w:t xml:space="preserve"> </w:t>
      </w:r>
      <w:r w:rsidRPr="00DE4873">
        <w:t>- 2 years) or as indicated.</w:t>
      </w:r>
    </w:p>
    <w:p w14:paraId="2E914F6E" w14:textId="77777777" w:rsidR="00DE4873" w:rsidRDefault="00DE4873" w:rsidP="0019219C"/>
    <w:p w14:paraId="534C8BFA" w14:textId="77777777" w:rsidR="00124AD4" w:rsidRPr="00B96FD0" w:rsidRDefault="001D0951" w:rsidP="0019219C">
      <w:pPr>
        <w:spacing w:line="240" w:lineRule="auto"/>
        <w:rPr>
          <w:szCs w:val="22"/>
        </w:rPr>
      </w:pPr>
      <w:r>
        <w:t>Monitoring of urine calcium and phosphate is suggested every 3 months.</w:t>
      </w:r>
    </w:p>
    <w:p w14:paraId="3AA2E324" w14:textId="77777777" w:rsidR="00124AD4" w:rsidRPr="00C56B34" w:rsidRDefault="00124AD4" w:rsidP="00124AD4">
      <w:pPr>
        <w:spacing w:line="240" w:lineRule="auto"/>
        <w:rPr>
          <w:szCs w:val="22"/>
        </w:rPr>
      </w:pPr>
    </w:p>
    <w:p w14:paraId="15F0B672" w14:textId="77777777" w:rsidR="00124AD4" w:rsidRDefault="001D0951" w:rsidP="07120F5B">
      <w:pPr>
        <w:keepNext/>
        <w:spacing w:line="240" w:lineRule="auto"/>
        <w:rPr>
          <w:rFonts w:eastAsia="SimSun"/>
          <w:u w:val="single"/>
        </w:rPr>
      </w:pPr>
      <w:proofErr w:type="spellStart"/>
      <w:r w:rsidRPr="07120F5B">
        <w:rPr>
          <w:rFonts w:eastAsia="SimSun"/>
          <w:u w:val="single"/>
        </w:rPr>
        <w:t>Hyperphosphataemia</w:t>
      </w:r>
      <w:proofErr w:type="spellEnd"/>
    </w:p>
    <w:p w14:paraId="4E93E923" w14:textId="77777777" w:rsidR="005B0373" w:rsidRPr="00BA4BF5" w:rsidRDefault="005B0373" w:rsidP="07120F5B">
      <w:pPr>
        <w:keepNext/>
        <w:spacing w:line="240" w:lineRule="auto"/>
        <w:rPr>
          <w:rFonts w:eastAsia="SimSun"/>
          <w:u w:val="single"/>
        </w:rPr>
      </w:pPr>
    </w:p>
    <w:p w14:paraId="1B63C69F" w14:textId="55E1DD68" w:rsidR="000317A7" w:rsidRDefault="00E74A0D" w:rsidP="00124AD4">
      <w:pPr>
        <w:spacing w:line="240" w:lineRule="auto"/>
      </w:pPr>
      <w:r>
        <w:t>Levels of</w:t>
      </w:r>
      <w:r w:rsidRPr="00595956">
        <w:t xml:space="preserve"> </w:t>
      </w:r>
      <w:r w:rsidR="007D6448">
        <w:t xml:space="preserve">fasting </w:t>
      </w:r>
      <w:r w:rsidR="001D0951" w:rsidRPr="00595956">
        <w:t xml:space="preserve">serum </w:t>
      </w:r>
      <w:proofErr w:type="gramStart"/>
      <w:r w:rsidR="001D0951" w:rsidRPr="00595956">
        <w:t>phosph</w:t>
      </w:r>
      <w:r w:rsidR="00AF72FB">
        <w:t>ate</w:t>
      </w:r>
      <w:r w:rsidR="001D0951" w:rsidRPr="00595956">
        <w:t xml:space="preserve"> </w:t>
      </w:r>
      <w:r w:rsidR="001D0951">
        <w:t xml:space="preserve"> should</w:t>
      </w:r>
      <w:proofErr w:type="gramEnd"/>
      <w:r w:rsidR="001D0951">
        <w:t xml:space="preserve"> be monitored due to the risk of hyperphosphatemia. </w:t>
      </w:r>
      <w:r w:rsidR="001D0951" w:rsidRPr="001F1B4C">
        <w:t xml:space="preserve">To decrease the risk for ectopic mineralisation, it is recommended that </w:t>
      </w:r>
      <w:r w:rsidR="007D6448">
        <w:t xml:space="preserve">fasting </w:t>
      </w:r>
      <w:r w:rsidR="001D0951" w:rsidRPr="001F1B4C">
        <w:t xml:space="preserve">serum phosphate is targeted in the lower </w:t>
      </w:r>
      <w:r w:rsidR="00AE1BB1" w:rsidRPr="001F1B4C">
        <w:t xml:space="preserve">end of </w:t>
      </w:r>
      <w:r w:rsidR="00B00930" w:rsidRPr="001F1B4C">
        <w:t xml:space="preserve">the </w:t>
      </w:r>
      <w:r w:rsidR="00AE1BB1" w:rsidRPr="001F1B4C">
        <w:t xml:space="preserve">normal </w:t>
      </w:r>
      <w:r w:rsidR="001D0951" w:rsidRPr="001F1B4C">
        <w:t>reference range for age.</w:t>
      </w:r>
      <w:r w:rsidR="001D0951" w:rsidRPr="00595956">
        <w:t xml:space="preserve"> </w:t>
      </w:r>
      <w:r w:rsidR="001D0951">
        <w:t>D</w:t>
      </w:r>
      <w:r w:rsidR="001D0951" w:rsidRPr="00595956">
        <w:t>ose interruption and/or</w:t>
      </w:r>
      <w:r w:rsidR="008D341B">
        <w:t xml:space="preserve"> dose reduction may be required</w:t>
      </w:r>
      <w:r w:rsidR="001D0951" w:rsidRPr="00595956">
        <w:t xml:space="preserve"> (see section 4.2).</w:t>
      </w:r>
      <w:r w:rsidR="001D0951">
        <w:t xml:space="preserve"> </w:t>
      </w:r>
      <w:r w:rsidR="001D0951" w:rsidRPr="00D50987">
        <w:rPr>
          <w:bCs/>
        </w:rPr>
        <w:t>Periodic measurement of post prandial serum phosphate is advised.</w:t>
      </w:r>
    </w:p>
    <w:p w14:paraId="5DC7929C" w14:textId="77777777" w:rsidR="005B0373" w:rsidRDefault="005B0373" w:rsidP="00124AD4">
      <w:pPr>
        <w:spacing w:line="240" w:lineRule="auto"/>
      </w:pPr>
    </w:p>
    <w:p w14:paraId="4C504423" w14:textId="77777777" w:rsidR="00124AD4" w:rsidRPr="001F1B4C" w:rsidRDefault="001D0951" w:rsidP="009D5F5C">
      <w:pPr>
        <w:keepNext/>
        <w:spacing w:line="240" w:lineRule="auto"/>
        <w:rPr>
          <w:u w:val="single"/>
        </w:rPr>
      </w:pPr>
      <w:r w:rsidRPr="5F2EC82B">
        <w:rPr>
          <w:u w:val="single"/>
        </w:rPr>
        <w:t>Serum parathyroid hormone</w:t>
      </w:r>
    </w:p>
    <w:p w14:paraId="3E52C7E9" w14:textId="77777777" w:rsidR="005B0373" w:rsidRDefault="005B0373" w:rsidP="009D5F5C">
      <w:pPr>
        <w:keepNext/>
        <w:spacing w:line="240" w:lineRule="auto"/>
      </w:pPr>
    </w:p>
    <w:p w14:paraId="08CBFD48" w14:textId="77777777" w:rsidR="00124AD4" w:rsidRDefault="001D0951" w:rsidP="50BD9E82">
      <w:pPr>
        <w:spacing w:line="240" w:lineRule="auto"/>
        <w:rPr>
          <w:szCs w:val="22"/>
        </w:rPr>
      </w:pPr>
      <w:r>
        <w:t xml:space="preserve">Increases in serum parathyroid hormone have been observed in some XLH patients during treatment with </w:t>
      </w:r>
      <w:proofErr w:type="spellStart"/>
      <w:r w:rsidR="007D2B85">
        <w:t>burosumab</w:t>
      </w:r>
      <w:proofErr w:type="spellEnd"/>
      <w:r>
        <w:t xml:space="preserve">. Periodic measurement of serum </w:t>
      </w:r>
      <w:r w:rsidR="005044B4">
        <w:t>parathyroid hormone is advised.</w:t>
      </w:r>
    </w:p>
    <w:p w14:paraId="14C05926" w14:textId="77777777" w:rsidR="00B00930" w:rsidRPr="00B96FD0" w:rsidRDefault="00B00930" w:rsidP="00F3598B">
      <w:pPr>
        <w:spacing w:line="240" w:lineRule="auto"/>
        <w:rPr>
          <w:szCs w:val="22"/>
        </w:rPr>
      </w:pPr>
    </w:p>
    <w:p w14:paraId="3228BDCE" w14:textId="77777777" w:rsidR="00124AD4" w:rsidRDefault="001D0951" w:rsidP="5F2EC82B">
      <w:pPr>
        <w:keepNext/>
        <w:tabs>
          <w:tab w:val="clear" w:pos="567"/>
        </w:tabs>
        <w:spacing w:line="240" w:lineRule="auto"/>
        <w:rPr>
          <w:u w:val="single"/>
        </w:rPr>
      </w:pPr>
      <w:r w:rsidRPr="5F2EC82B">
        <w:rPr>
          <w:u w:val="single"/>
        </w:rPr>
        <w:t>Injection site reactions</w:t>
      </w:r>
    </w:p>
    <w:p w14:paraId="600647C0" w14:textId="77777777" w:rsidR="005B0373" w:rsidRPr="00BA4BF5" w:rsidRDefault="005B0373" w:rsidP="5F2EC82B">
      <w:pPr>
        <w:keepNext/>
        <w:tabs>
          <w:tab w:val="clear" w:pos="567"/>
        </w:tabs>
        <w:spacing w:line="240" w:lineRule="auto"/>
        <w:rPr>
          <w:u w:val="single"/>
        </w:rPr>
      </w:pPr>
    </w:p>
    <w:p w14:paraId="6BFB6844" w14:textId="77777777" w:rsidR="00124AD4" w:rsidRPr="00662578" w:rsidRDefault="001D0951" w:rsidP="50BD9E82">
      <w:pPr>
        <w:spacing w:line="240" w:lineRule="auto"/>
        <w:rPr>
          <w:szCs w:val="22"/>
        </w:rPr>
      </w:pPr>
      <w:r>
        <w:t xml:space="preserve">Administration of </w:t>
      </w:r>
      <w:proofErr w:type="spellStart"/>
      <w:r w:rsidR="007D2B85">
        <w:t>burosumab</w:t>
      </w:r>
      <w:proofErr w:type="spellEnd"/>
      <w:r>
        <w:t xml:space="preserve"> may result in local injection site reactions. Administration should be interrupted in any patient experiencing severe injection site reactions (see section 4.8) and appropriate medical therapy administered.</w:t>
      </w:r>
    </w:p>
    <w:p w14:paraId="26DBD88A" w14:textId="77777777" w:rsidR="00124AD4" w:rsidRPr="00C56B34" w:rsidRDefault="00124AD4">
      <w:pPr>
        <w:spacing w:line="240" w:lineRule="auto"/>
        <w:rPr>
          <w:szCs w:val="22"/>
        </w:rPr>
      </w:pPr>
    </w:p>
    <w:p w14:paraId="5B0EE5E5" w14:textId="77777777" w:rsidR="00124AD4" w:rsidRDefault="001D0951" w:rsidP="5F2EC82B">
      <w:pPr>
        <w:keepNext/>
        <w:spacing w:line="240" w:lineRule="auto"/>
        <w:rPr>
          <w:u w:val="single"/>
        </w:rPr>
      </w:pPr>
      <w:r w:rsidRPr="5F2EC82B">
        <w:rPr>
          <w:u w:val="single"/>
        </w:rPr>
        <w:t>Hypersensitivity</w:t>
      </w:r>
    </w:p>
    <w:p w14:paraId="65967222" w14:textId="77777777" w:rsidR="005B0373" w:rsidRPr="00BA4BF5" w:rsidRDefault="005B0373" w:rsidP="5F2EC82B">
      <w:pPr>
        <w:keepNext/>
        <w:spacing w:line="240" w:lineRule="auto"/>
        <w:rPr>
          <w:u w:val="single"/>
        </w:rPr>
      </w:pPr>
    </w:p>
    <w:p w14:paraId="57A56A6D" w14:textId="77777777" w:rsidR="00124AD4" w:rsidRPr="00B324D1" w:rsidRDefault="001D0951" w:rsidP="00B324D1">
      <w:pPr>
        <w:spacing w:line="240" w:lineRule="auto"/>
      </w:pPr>
      <w:proofErr w:type="spellStart"/>
      <w:r>
        <w:t>Burosumab</w:t>
      </w:r>
      <w:proofErr w:type="spellEnd"/>
      <w:r w:rsidR="005B0373">
        <w:t xml:space="preserve"> must be discontinued</w:t>
      </w:r>
      <w:r w:rsidR="004F0533" w:rsidRPr="00B324D1">
        <w:t xml:space="preserve"> if serious hypersensitivity reactions occur and appropriate medical treatment</w:t>
      </w:r>
      <w:r w:rsidR="005B0373">
        <w:t xml:space="preserve"> should be initiated</w:t>
      </w:r>
      <w:r w:rsidR="004F0533" w:rsidRPr="00B324D1">
        <w:t>.</w:t>
      </w:r>
    </w:p>
    <w:p w14:paraId="7FF0BCE6" w14:textId="77777777" w:rsidR="00B324D1" w:rsidRPr="00B324D1" w:rsidRDefault="00B324D1" w:rsidP="00B324D1">
      <w:pPr>
        <w:spacing w:line="240" w:lineRule="auto"/>
        <w:rPr>
          <w:szCs w:val="22"/>
        </w:rPr>
      </w:pPr>
    </w:p>
    <w:p w14:paraId="518BB392" w14:textId="77777777" w:rsidR="00B324D1" w:rsidRDefault="001D0951" w:rsidP="00B324D1">
      <w:pPr>
        <w:keepNext/>
        <w:spacing w:line="240" w:lineRule="auto"/>
        <w:rPr>
          <w:u w:val="single"/>
        </w:rPr>
      </w:pPr>
      <w:r w:rsidRPr="4C7539F4">
        <w:rPr>
          <w:u w:val="single"/>
        </w:rPr>
        <w:t>Excipient with known effect</w:t>
      </w:r>
    </w:p>
    <w:p w14:paraId="7774D728" w14:textId="77777777" w:rsidR="005B0373" w:rsidRPr="00B96FD0" w:rsidRDefault="005B0373" w:rsidP="00B324D1">
      <w:pPr>
        <w:keepNext/>
        <w:spacing w:line="240" w:lineRule="auto"/>
        <w:rPr>
          <w:szCs w:val="22"/>
        </w:rPr>
      </w:pPr>
    </w:p>
    <w:p w14:paraId="586F01AE" w14:textId="77777777" w:rsidR="00B324D1" w:rsidRPr="00B324D1" w:rsidRDefault="001D0951" w:rsidP="00B324D1">
      <w:pPr>
        <w:spacing w:line="240" w:lineRule="auto"/>
      </w:pPr>
      <w:r w:rsidRPr="00B324D1">
        <w:t xml:space="preserve">This medicine contains 45.91 mg of sorbitol in each vial which is equivalent to 45.91 mg/ml. </w:t>
      </w:r>
    </w:p>
    <w:p w14:paraId="35A05CA2" w14:textId="77777777" w:rsidR="00021EF7" w:rsidRDefault="00021EF7" w:rsidP="00124AD4">
      <w:pPr>
        <w:spacing w:line="240" w:lineRule="auto"/>
        <w:rPr>
          <w:b/>
          <w:bCs/>
          <w:noProof/>
          <w:szCs w:val="22"/>
        </w:rPr>
      </w:pPr>
    </w:p>
    <w:p w14:paraId="640E8652" w14:textId="77777777" w:rsidR="00124AD4" w:rsidRPr="00662578" w:rsidRDefault="001D0951" w:rsidP="005044B4">
      <w:pPr>
        <w:keepNext/>
        <w:spacing w:line="240" w:lineRule="auto"/>
        <w:rPr>
          <w:b/>
          <w:bCs/>
          <w:noProof/>
          <w:szCs w:val="22"/>
        </w:rPr>
      </w:pPr>
      <w:r w:rsidRPr="00662578">
        <w:rPr>
          <w:b/>
          <w:bCs/>
          <w:noProof/>
          <w:szCs w:val="22"/>
        </w:rPr>
        <w:t>4.5</w:t>
      </w:r>
      <w:r w:rsidRPr="00C56B34">
        <w:rPr>
          <w:b/>
          <w:noProof/>
          <w:szCs w:val="22"/>
        </w:rPr>
        <w:tab/>
      </w:r>
      <w:r w:rsidRPr="00662578">
        <w:rPr>
          <w:b/>
          <w:bCs/>
          <w:noProof/>
          <w:szCs w:val="22"/>
        </w:rPr>
        <w:t>Interaction with other medicinal products and other forms of interaction</w:t>
      </w:r>
    </w:p>
    <w:p w14:paraId="1C43DEF8" w14:textId="77777777" w:rsidR="00124AD4" w:rsidRPr="00B96FD0" w:rsidRDefault="00124AD4" w:rsidP="005044B4">
      <w:pPr>
        <w:keepNext/>
        <w:spacing w:line="240" w:lineRule="auto"/>
        <w:rPr>
          <w:szCs w:val="22"/>
        </w:rPr>
      </w:pPr>
    </w:p>
    <w:p w14:paraId="72CD8823" w14:textId="77777777" w:rsidR="00124AD4" w:rsidRPr="00B96FD0" w:rsidRDefault="001D0951" w:rsidP="50BD9E82">
      <w:pPr>
        <w:spacing w:line="240" w:lineRule="auto"/>
        <w:rPr>
          <w:szCs w:val="22"/>
        </w:rPr>
      </w:pPr>
      <w:r w:rsidRPr="00DE4873">
        <w:t xml:space="preserve">Concurrent administration of </w:t>
      </w:r>
      <w:proofErr w:type="spellStart"/>
      <w:r w:rsidR="007D2B85" w:rsidRPr="00DE4873">
        <w:t>burosumab</w:t>
      </w:r>
      <w:proofErr w:type="spellEnd"/>
      <w:r w:rsidRPr="00DE4873">
        <w:t xml:space="preserve"> with oral phosphate and</w:t>
      </w:r>
      <w:r w:rsidR="00243CED" w:rsidRPr="00DE4873">
        <w:t xml:space="preserve"> active</w:t>
      </w:r>
      <w:r w:rsidRPr="00DE4873">
        <w:t xml:space="preserve"> vitamin</w:t>
      </w:r>
      <w:r>
        <w:t xml:space="preserve"> D analogues is contraindicated as it may cause an increased risk of hyperphosphatemia and hypercalcaemia (see section 4.3).</w:t>
      </w:r>
    </w:p>
    <w:p w14:paraId="51ECA1D2" w14:textId="77777777" w:rsidR="00124AD4" w:rsidRPr="00C56B34" w:rsidRDefault="00124AD4">
      <w:pPr>
        <w:spacing w:line="240" w:lineRule="auto"/>
        <w:rPr>
          <w:noProof/>
          <w:szCs w:val="22"/>
        </w:rPr>
      </w:pPr>
    </w:p>
    <w:p w14:paraId="7E08DFE9" w14:textId="77777777" w:rsidR="00124AD4" w:rsidRPr="00662578" w:rsidRDefault="001D0951" w:rsidP="50BD9E82">
      <w:pPr>
        <w:spacing w:line="240" w:lineRule="auto"/>
        <w:rPr>
          <w:szCs w:val="22"/>
        </w:rPr>
      </w:pPr>
      <w:r w:rsidRPr="00595956">
        <w:t xml:space="preserve">Caution should be exercised when combining </w:t>
      </w:r>
      <w:proofErr w:type="spellStart"/>
      <w:r w:rsidR="007D2B85">
        <w:t>burosumab</w:t>
      </w:r>
      <w:proofErr w:type="spellEnd"/>
      <w:r w:rsidR="00AB4CA4" w:rsidRPr="00595956">
        <w:t xml:space="preserve"> </w:t>
      </w:r>
      <w:r w:rsidRPr="00595956">
        <w:t xml:space="preserve">with </w:t>
      </w:r>
      <w:proofErr w:type="spellStart"/>
      <w:r w:rsidRPr="00595956">
        <w:t>calcimimetic</w:t>
      </w:r>
      <w:proofErr w:type="spellEnd"/>
      <w:r w:rsidRPr="00595956">
        <w:t xml:space="preserve"> medicinal products (i.e. agents that mimic the effect of calcium on tissues by activating the calcium receptor). </w:t>
      </w:r>
      <w:r w:rsidRPr="00CE3491">
        <w:t>Co</w:t>
      </w:r>
      <w:r w:rsidRPr="001F5190">
        <w:noBreakHyphen/>
      </w:r>
      <w:r w:rsidRPr="00595956">
        <w:t xml:space="preserve">administration of these </w:t>
      </w:r>
      <w:r>
        <w:t xml:space="preserve">medicinal products </w:t>
      </w:r>
      <w:r w:rsidRPr="00595956">
        <w:t>has not been studied in clinical trials and could potentially exacerbate hypocalcaemia.</w:t>
      </w:r>
    </w:p>
    <w:p w14:paraId="3582D9B1" w14:textId="77777777" w:rsidR="00124AD4" w:rsidRPr="00C56B34" w:rsidRDefault="00124AD4">
      <w:pPr>
        <w:spacing w:line="240" w:lineRule="auto"/>
        <w:rPr>
          <w:noProof/>
          <w:szCs w:val="22"/>
        </w:rPr>
      </w:pPr>
    </w:p>
    <w:p w14:paraId="77E63270" w14:textId="77777777" w:rsidR="00124AD4" w:rsidRPr="00662578" w:rsidRDefault="001D0951" w:rsidP="009B2A18">
      <w:pPr>
        <w:keepNext/>
        <w:keepLines/>
        <w:spacing w:line="240" w:lineRule="auto"/>
        <w:ind w:left="567" w:hanging="567"/>
        <w:outlineLvl w:val="0"/>
        <w:rPr>
          <w:szCs w:val="22"/>
        </w:rPr>
      </w:pPr>
      <w:r w:rsidRPr="00595956">
        <w:rPr>
          <w:b/>
          <w:bCs/>
          <w:noProof/>
        </w:rPr>
        <w:lastRenderedPageBreak/>
        <w:t>4.6</w:t>
      </w:r>
      <w:r w:rsidRPr="00C56B34">
        <w:rPr>
          <w:b/>
          <w:noProof/>
          <w:szCs w:val="22"/>
        </w:rPr>
        <w:tab/>
      </w:r>
      <w:r w:rsidRPr="00595956">
        <w:rPr>
          <w:b/>
          <w:bCs/>
        </w:rPr>
        <w:t>Fertility, p</w:t>
      </w:r>
      <w:r w:rsidRPr="00595956">
        <w:rPr>
          <w:b/>
          <w:bCs/>
          <w:noProof/>
        </w:rPr>
        <w:t>regnancy and lactation</w:t>
      </w:r>
    </w:p>
    <w:p w14:paraId="5529FC68" w14:textId="77777777" w:rsidR="00124AD4" w:rsidRPr="00662578" w:rsidRDefault="00124AD4" w:rsidP="009B2A18">
      <w:pPr>
        <w:keepNext/>
        <w:keepLines/>
        <w:spacing w:line="240" w:lineRule="auto"/>
        <w:ind w:left="567" w:hanging="567"/>
        <w:rPr>
          <w:rFonts w:eastAsia="TimesNewRoman"/>
          <w:szCs w:val="22"/>
          <w:u w:val="single"/>
        </w:rPr>
      </w:pPr>
    </w:p>
    <w:p w14:paraId="46C4F63A" w14:textId="77777777" w:rsidR="00124AD4" w:rsidRPr="00BA4BF5" w:rsidRDefault="001D0951" w:rsidP="009B2A18">
      <w:pPr>
        <w:keepNext/>
        <w:keepLines/>
        <w:spacing w:line="240" w:lineRule="auto"/>
        <w:ind w:left="567" w:hanging="567"/>
        <w:rPr>
          <w:rFonts w:eastAsia="TimesNewRoman"/>
          <w:u w:val="single"/>
        </w:rPr>
      </w:pPr>
      <w:r w:rsidRPr="5F2EC82B">
        <w:rPr>
          <w:rFonts w:eastAsia="TimesNewRoman"/>
          <w:u w:val="single"/>
        </w:rPr>
        <w:t>Pregnancy</w:t>
      </w:r>
    </w:p>
    <w:p w14:paraId="0D26DDC0" w14:textId="77777777" w:rsidR="005441BD" w:rsidRDefault="005441BD" w:rsidP="009B2A18">
      <w:pPr>
        <w:keepNext/>
        <w:keepLines/>
        <w:spacing w:line="240" w:lineRule="auto"/>
      </w:pPr>
    </w:p>
    <w:p w14:paraId="2715B796" w14:textId="77777777" w:rsidR="005441BD" w:rsidRPr="00C56B34" w:rsidRDefault="001D0951" w:rsidP="009B2A18">
      <w:pPr>
        <w:keepNext/>
        <w:keepLines/>
        <w:spacing w:line="240" w:lineRule="auto"/>
        <w:rPr>
          <w:szCs w:val="22"/>
        </w:rPr>
      </w:pPr>
      <w:r>
        <w:t xml:space="preserve">There are no or limited amount of data from the use of </w:t>
      </w:r>
      <w:proofErr w:type="spellStart"/>
      <w:r>
        <w:t>burosumab</w:t>
      </w:r>
      <w:proofErr w:type="spellEnd"/>
      <w:r>
        <w:t xml:space="preserve"> in pregnant women.</w:t>
      </w:r>
    </w:p>
    <w:p w14:paraId="0730CF1C" w14:textId="77777777" w:rsidR="005441BD" w:rsidRPr="00C56B34" w:rsidRDefault="005441BD" w:rsidP="009B2A18">
      <w:pPr>
        <w:pStyle w:val="NormalWeb"/>
        <w:keepNext/>
        <w:keepLines/>
        <w:spacing w:before="0" w:beforeAutospacing="0" w:after="0" w:afterAutospacing="0"/>
        <w:rPr>
          <w:sz w:val="22"/>
          <w:szCs w:val="22"/>
          <w:lang w:val="en-GB"/>
        </w:rPr>
      </w:pPr>
    </w:p>
    <w:p w14:paraId="768621F0" w14:textId="77777777" w:rsidR="005441BD" w:rsidRPr="00C56B34" w:rsidRDefault="001D0951" w:rsidP="009B2A18">
      <w:pPr>
        <w:keepNext/>
        <w:keepLines/>
        <w:spacing w:line="240" w:lineRule="auto"/>
        <w:rPr>
          <w:szCs w:val="22"/>
        </w:rPr>
      </w:pPr>
      <w:r>
        <w:t xml:space="preserve">Studies in animals have shown reproductive toxicity (see section 5.3). </w:t>
      </w:r>
    </w:p>
    <w:p w14:paraId="12D0D9F1" w14:textId="77777777" w:rsidR="005441BD" w:rsidRDefault="005441BD" w:rsidP="009B2A18">
      <w:pPr>
        <w:keepNext/>
        <w:keepLines/>
        <w:spacing w:line="240" w:lineRule="auto"/>
      </w:pPr>
    </w:p>
    <w:p w14:paraId="7145BFCD" w14:textId="41F634F4" w:rsidR="00124AD4" w:rsidRPr="00C56B34" w:rsidRDefault="00C90CCA" w:rsidP="009B2A18">
      <w:pPr>
        <w:keepNext/>
        <w:keepLines/>
        <w:spacing w:line="240" w:lineRule="auto"/>
        <w:rPr>
          <w:szCs w:val="22"/>
        </w:rPr>
      </w:pPr>
      <w:proofErr w:type="spellStart"/>
      <w:r>
        <w:t>Burosumab</w:t>
      </w:r>
      <w:proofErr w:type="spellEnd"/>
      <w:r w:rsidRPr="00EC56DE">
        <w:t xml:space="preserve"> </w:t>
      </w:r>
      <w:r w:rsidR="004F0533">
        <w:t xml:space="preserve">is not recommended during pregnancy and in women of childbearing potential not using contraception. </w:t>
      </w:r>
    </w:p>
    <w:p w14:paraId="1BDBFFBB" w14:textId="77777777" w:rsidR="00124AD4" w:rsidRPr="00C56B34" w:rsidRDefault="001D0951">
      <w:pPr>
        <w:spacing w:line="240" w:lineRule="auto"/>
        <w:rPr>
          <w:szCs w:val="22"/>
        </w:rPr>
      </w:pPr>
      <w:r>
        <w:rPr>
          <w:szCs w:val="22"/>
        </w:rPr>
        <w:t xml:space="preserve"> </w:t>
      </w:r>
    </w:p>
    <w:p w14:paraId="61EE5DE8" w14:textId="77777777" w:rsidR="00124AD4" w:rsidRDefault="001D0951" w:rsidP="005044B4">
      <w:pPr>
        <w:keepNext/>
        <w:spacing w:line="240" w:lineRule="auto"/>
        <w:rPr>
          <w:u w:val="single"/>
        </w:rPr>
      </w:pPr>
      <w:r w:rsidRPr="5F2EC82B">
        <w:rPr>
          <w:u w:val="single"/>
        </w:rPr>
        <w:t>Breast-feeding</w:t>
      </w:r>
    </w:p>
    <w:p w14:paraId="1095773C" w14:textId="77777777" w:rsidR="005441BD" w:rsidRPr="00256AAD" w:rsidRDefault="005441BD" w:rsidP="005044B4">
      <w:pPr>
        <w:keepNext/>
        <w:spacing w:line="240" w:lineRule="auto"/>
        <w:rPr>
          <w:u w:val="single"/>
        </w:rPr>
      </w:pPr>
    </w:p>
    <w:p w14:paraId="510BE621" w14:textId="77777777" w:rsidR="00354759" w:rsidRPr="00256AAD" w:rsidRDefault="001D0951" w:rsidP="005044B4">
      <w:pPr>
        <w:keepNext/>
        <w:spacing w:line="240" w:lineRule="auto"/>
      </w:pPr>
      <w:r>
        <w:t xml:space="preserve">It is unknown whether </w:t>
      </w:r>
      <w:proofErr w:type="spellStart"/>
      <w:r>
        <w:t>burosumab</w:t>
      </w:r>
      <w:proofErr w:type="spellEnd"/>
      <w:r w:rsidR="005441BD">
        <w:t>/metabolites</w:t>
      </w:r>
      <w:r>
        <w:t xml:space="preserve"> </w:t>
      </w:r>
      <w:r w:rsidR="005441BD">
        <w:t>are</w:t>
      </w:r>
      <w:r>
        <w:t xml:space="preserve"> excreted in human milk. </w:t>
      </w:r>
    </w:p>
    <w:p w14:paraId="508855B5" w14:textId="77777777" w:rsidR="00354759" w:rsidRPr="00256AAD" w:rsidRDefault="00354759" w:rsidP="00354759">
      <w:pPr>
        <w:spacing w:line="240" w:lineRule="auto"/>
      </w:pPr>
    </w:p>
    <w:p w14:paraId="194CD2CE" w14:textId="77777777" w:rsidR="00354759" w:rsidRDefault="001D0951" w:rsidP="07120F5B">
      <w:pPr>
        <w:spacing w:line="240" w:lineRule="auto"/>
        <w:rPr>
          <w:highlight w:val="yellow"/>
        </w:rPr>
      </w:pPr>
      <w:r>
        <w:t xml:space="preserve">A risk to </w:t>
      </w:r>
      <w:proofErr w:type="spellStart"/>
      <w:r>
        <w:t>newborns</w:t>
      </w:r>
      <w:proofErr w:type="spellEnd"/>
      <w:r>
        <w:t>/infants cannot be excluded.</w:t>
      </w:r>
    </w:p>
    <w:p w14:paraId="333FD857" w14:textId="77777777" w:rsidR="00354759" w:rsidRDefault="00354759" w:rsidP="00354759">
      <w:pPr>
        <w:spacing w:line="240" w:lineRule="auto"/>
        <w:rPr>
          <w:highlight w:val="yellow"/>
        </w:rPr>
      </w:pPr>
    </w:p>
    <w:p w14:paraId="335B6197" w14:textId="2E9B1E2C" w:rsidR="00354759" w:rsidRDefault="001D0951" w:rsidP="5F2EC82B">
      <w:pPr>
        <w:spacing w:line="240" w:lineRule="auto"/>
        <w:rPr>
          <w:highlight w:val="yellow"/>
        </w:rPr>
      </w:pPr>
      <w:r>
        <w:t xml:space="preserve">A decision must be made whether to discontinue breast-feeding or to discontinue/abstain from </w:t>
      </w:r>
      <w:proofErr w:type="spellStart"/>
      <w:r w:rsidR="00DE4873">
        <w:t>b</w:t>
      </w:r>
      <w:r w:rsidR="00C90CCA">
        <w:t>urosumab</w:t>
      </w:r>
      <w:proofErr w:type="spellEnd"/>
      <w:r w:rsidR="00C90CCA" w:rsidRPr="00EC56DE">
        <w:t xml:space="preserve"> </w:t>
      </w:r>
      <w:r>
        <w:t xml:space="preserve">therapy </w:t>
      </w:r>
      <w:proofErr w:type="gramStart"/>
      <w:r>
        <w:t>taking into account</w:t>
      </w:r>
      <w:proofErr w:type="gramEnd"/>
      <w:r>
        <w:t xml:space="preserve"> the benefit of breast feeding for the child and the ben</w:t>
      </w:r>
      <w:r w:rsidR="005171A3">
        <w:t>efit of therapy for the woman.</w:t>
      </w:r>
    </w:p>
    <w:p w14:paraId="53BBAB7B" w14:textId="77777777" w:rsidR="00124AD4" w:rsidRPr="00C56B34" w:rsidRDefault="00124AD4">
      <w:pPr>
        <w:tabs>
          <w:tab w:val="clear" w:pos="567"/>
          <w:tab w:val="left" w:pos="0"/>
        </w:tabs>
        <w:spacing w:line="240" w:lineRule="auto"/>
        <w:rPr>
          <w:szCs w:val="22"/>
        </w:rPr>
      </w:pPr>
    </w:p>
    <w:p w14:paraId="61AE6E6A" w14:textId="77777777" w:rsidR="00124AD4" w:rsidRDefault="001D0951" w:rsidP="5F2EC82B">
      <w:pPr>
        <w:spacing w:line="240" w:lineRule="auto"/>
        <w:rPr>
          <w:u w:val="single"/>
        </w:rPr>
      </w:pPr>
      <w:r w:rsidRPr="5F2EC82B">
        <w:rPr>
          <w:u w:val="single"/>
        </w:rPr>
        <w:t>Fertility</w:t>
      </w:r>
    </w:p>
    <w:p w14:paraId="7BCEC573" w14:textId="77777777" w:rsidR="005441BD" w:rsidRPr="00BA4BF5" w:rsidRDefault="005441BD" w:rsidP="5F2EC82B">
      <w:pPr>
        <w:spacing w:line="240" w:lineRule="auto"/>
        <w:rPr>
          <w:u w:val="single"/>
        </w:rPr>
      </w:pPr>
    </w:p>
    <w:p w14:paraId="4679D107" w14:textId="77777777" w:rsidR="00124AD4" w:rsidRPr="00662578" w:rsidRDefault="001D0951" w:rsidP="50BD9E82">
      <w:pPr>
        <w:spacing w:line="240" w:lineRule="auto"/>
        <w:rPr>
          <w:szCs w:val="22"/>
        </w:rPr>
      </w:pPr>
      <w:r>
        <w:t xml:space="preserve">Studies in animals have shown effects on male reproductive organs (see section 5.3). There are no clinical data available on the effect of </w:t>
      </w:r>
      <w:proofErr w:type="spellStart"/>
      <w:r>
        <w:t>burosumab</w:t>
      </w:r>
      <w:proofErr w:type="spellEnd"/>
      <w:r>
        <w:t xml:space="preserve"> on human fertility. No specific fertility studies in animals w</w:t>
      </w:r>
      <w:r w:rsidR="005171A3">
        <w:t xml:space="preserve">ith </w:t>
      </w:r>
      <w:proofErr w:type="spellStart"/>
      <w:r w:rsidR="005171A3">
        <w:t>burosumab</w:t>
      </w:r>
      <w:proofErr w:type="spellEnd"/>
      <w:r w:rsidR="005171A3">
        <w:t xml:space="preserve"> were conducted.</w:t>
      </w:r>
    </w:p>
    <w:p w14:paraId="4A54C3F2" w14:textId="77777777" w:rsidR="00124AD4" w:rsidRPr="001F5190" w:rsidRDefault="00124AD4">
      <w:pPr>
        <w:spacing w:line="240" w:lineRule="auto"/>
        <w:ind w:left="567" w:hanging="567"/>
        <w:outlineLvl w:val="0"/>
        <w:rPr>
          <w:noProof/>
          <w:szCs w:val="22"/>
        </w:rPr>
      </w:pPr>
    </w:p>
    <w:p w14:paraId="30EE02EA" w14:textId="77777777" w:rsidR="00124AD4" w:rsidRPr="00C56B34" w:rsidRDefault="001D0951" w:rsidP="005171A3">
      <w:pPr>
        <w:keepNext/>
        <w:spacing w:line="240" w:lineRule="auto"/>
        <w:ind w:left="567" w:hanging="567"/>
        <w:outlineLvl w:val="0"/>
        <w:rPr>
          <w:noProof/>
          <w:szCs w:val="22"/>
        </w:rPr>
      </w:pPr>
      <w:r w:rsidRPr="00C56B34">
        <w:rPr>
          <w:b/>
          <w:noProof/>
          <w:szCs w:val="22"/>
        </w:rPr>
        <w:t>4.7</w:t>
      </w:r>
      <w:r w:rsidRPr="00C56B34">
        <w:rPr>
          <w:b/>
          <w:noProof/>
          <w:szCs w:val="22"/>
        </w:rPr>
        <w:tab/>
        <w:t>Effects on ability to drive and use machines</w:t>
      </w:r>
    </w:p>
    <w:p w14:paraId="35F2A958" w14:textId="77777777" w:rsidR="00124AD4" w:rsidRPr="00C56B34" w:rsidRDefault="00124AD4" w:rsidP="005171A3">
      <w:pPr>
        <w:keepNext/>
        <w:spacing w:line="240" w:lineRule="auto"/>
        <w:rPr>
          <w:noProof/>
          <w:szCs w:val="22"/>
        </w:rPr>
      </w:pPr>
    </w:p>
    <w:p w14:paraId="395762BF" w14:textId="77777777" w:rsidR="00124AD4" w:rsidRPr="00B96FD0" w:rsidRDefault="001D0951" w:rsidP="005171A3">
      <w:pPr>
        <w:keepNext/>
        <w:spacing w:line="240" w:lineRule="auto"/>
        <w:rPr>
          <w:szCs w:val="22"/>
        </w:rPr>
      </w:pPr>
      <w:r>
        <w:rPr>
          <w:noProof/>
          <w:szCs w:val="22"/>
          <w:lang w:val="en"/>
        </w:rPr>
        <w:t>Burosumab</w:t>
      </w:r>
      <w:r w:rsidR="000660A6" w:rsidRPr="00662578">
        <w:rPr>
          <w:noProof/>
          <w:szCs w:val="22"/>
          <w:lang w:val="en"/>
        </w:rPr>
        <w:t xml:space="preserve"> </w:t>
      </w:r>
      <w:r w:rsidR="00B33B49" w:rsidRPr="00662578">
        <w:rPr>
          <w:noProof/>
          <w:szCs w:val="22"/>
          <w:lang w:val="en"/>
        </w:rPr>
        <w:t xml:space="preserve">may have a minor influence on the ability to drive and use machines. Dizziness may occur following administration of </w:t>
      </w:r>
      <w:r>
        <w:rPr>
          <w:noProof/>
          <w:szCs w:val="22"/>
          <w:lang w:val="en"/>
        </w:rPr>
        <w:t>burosumab</w:t>
      </w:r>
      <w:r w:rsidR="005171A3">
        <w:rPr>
          <w:noProof/>
          <w:szCs w:val="22"/>
          <w:lang w:val="en"/>
        </w:rPr>
        <w:t>.</w:t>
      </w:r>
    </w:p>
    <w:p w14:paraId="687401B1" w14:textId="77777777" w:rsidR="00124AD4" w:rsidRPr="00C56B34" w:rsidRDefault="00124AD4">
      <w:pPr>
        <w:spacing w:line="240" w:lineRule="auto"/>
        <w:rPr>
          <w:noProof/>
          <w:szCs w:val="22"/>
        </w:rPr>
      </w:pPr>
    </w:p>
    <w:p w14:paraId="4571C801" w14:textId="77777777" w:rsidR="00124AD4" w:rsidRPr="00C56B34" w:rsidRDefault="001D0951" w:rsidP="00124AD4">
      <w:pPr>
        <w:keepNext/>
        <w:keepLines/>
        <w:spacing w:line="240" w:lineRule="auto"/>
        <w:outlineLvl w:val="0"/>
        <w:rPr>
          <w:b/>
          <w:noProof/>
          <w:szCs w:val="22"/>
        </w:rPr>
      </w:pPr>
      <w:r w:rsidRPr="00C56B34">
        <w:rPr>
          <w:b/>
          <w:noProof/>
          <w:szCs w:val="22"/>
        </w:rPr>
        <w:t>4.8</w:t>
      </w:r>
      <w:r w:rsidRPr="00C56B34">
        <w:rPr>
          <w:b/>
          <w:noProof/>
          <w:szCs w:val="22"/>
        </w:rPr>
        <w:tab/>
        <w:t>Undesirable effects</w:t>
      </w:r>
    </w:p>
    <w:p w14:paraId="3912AD00" w14:textId="77777777" w:rsidR="00124AD4" w:rsidRPr="00C56B34" w:rsidRDefault="00124AD4" w:rsidP="00124AD4">
      <w:pPr>
        <w:keepNext/>
        <w:keepLines/>
        <w:autoSpaceDE w:val="0"/>
        <w:autoSpaceDN w:val="0"/>
        <w:adjustRightInd w:val="0"/>
        <w:spacing w:line="240" w:lineRule="auto"/>
        <w:jc w:val="both"/>
        <w:rPr>
          <w:noProof/>
          <w:szCs w:val="22"/>
        </w:rPr>
      </w:pPr>
    </w:p>
    <w:p w14:paraId="1C839C4A" w14:textId="77777777" w:rsidR="00124AD4" w:rsidRDefault="001D0951" w:rsidP="50BD9E82">
      <w:pPr>
        <w:keepNext/>
        <w:keepLines/>
        <w:autoSpaceDE w:val="0"/>
        <w:autoSpaceDN w:val="0"/>
        <w:adjustRightInd w:val="0"/>
        <w:spacing w:line="240" w:lineRule="auto"/>
        <w:jc w:val="both"/>
        <w:rPr>
          <w:u w:val="single"/>
        </w:rPr>
      </w:pPr>
      <w:bookmarkStart w:id="4" w:name="_Hlk4584606"/>
      <w:r w:rsidRPr="5F2EC82B">
        <w:rPr>
          <w:u w:val="single"/>
        </w:rPr>
        <w:t xml:space="preserve">Summary of </w:t>
      </w:r>
      <w:r w:rsidR="005441BD">
        <w:rPr>
          <w:u w:val="single"/>
        </w:rPr>
        <w:t xml:space="preserve">the </w:t>
      </w:r>
      <w:r w:rsidR="005171A3">
        <w:rPr>
          <w:u w:val="single"/>
        </w:rPr>
        <w:t>safety profile</w:t>
      </w:r>
    </w:p>
    <w:bookmarkEnd w:id="4"/>
    <w:p w14:paraId="000F7AB5" w14:textId="77777777" w:rsidR="005441BD" w:rsidRPr="00662578" w:rsidRDefault="005441BD" w:rsidP="50BD9E82">
      <w:pPr>
        <w:keepNext/>
        <w:keepLines/>
        <w:autoSpaceDE w:val="0"/>
        <w:autoSpaceDN w:val="0"/>
        <w:adjustRightInd w:val="0"/>
        <w:spacing w:line="240" w:lineRule="auto"/>
        <w:jc w:val="both"/>
        <w:rPr>
          <w:szCs w:val="22"/>
        </w:rPr>
      </w:pPr>
    </w:p>
    <w:p w14:paraId="6CE33197" w14:textId="363AAFFB" w:rsidR="00BC4785" w:rsidRDefault="001D0951" w:rsidP="50BD9E82">
      <w:pPr>
        <w:keepNext/>
        <w:keepLines/>
        <w:autoSpaceDE w:val="0"/>
        <w:autoSpaceDN w:val="0"/>
        <w:adjustRightInd w:val="0"/>
        <w:spacing w:line="240" w:lineRule="auto"/>
        <w:rPr>
          <w:rFonts w:eastAsia="SimSun"/>
        </w:rPr>
      </w:pPr>
      <w:r w:rsidRPr="5F2EC82B">
        <w:rPr>
          <w:rFonts w:eastAsia="TimesNewRoman"/>
        </w:rPr>
        <w:t xml:space="preserve">The most </w:t>
      </w:r>
      <w:r w:rsidRPr="003013D6">
        <w:rPr>
          <w:rFonts w:eastAsia="TimesNewRoman"/>
        </w:rPr>
        <w:t xml:space="preserve">common </w:t>
      </w:r>
      <w:r w:rsidR="00C93C68" w:rsidRPr="003013D6">
        <w:rPr>
          <w:rFonts w:eastAsia="TimesNewRoman"/>
        </w:rPr>
        <w:t xml:space="preserve">(&gt;10%) </w:t>
      </w:r>
      <w:r w:rsidRPr="003013D6">
        <w:rPr>
          <w:rFonts w:eastAsia="TimesNewRoman"/>
        </w:rPr>
        <w:t>adverse drug</w:t>
      </w:r>
      <w:r w:rsidR="00E00F5F" w:rsidRPr="003013D6">
        <w:rPr>
          <w:rFonts w:eastAsia="TimesNewRoman"/>
        </w:rPr>
        <w:t xml:space="preserve"> reactions </w:t>
      </w:r>
      <w:r w:rsidRPr="003013D6">
        <w:rPr>
          <w:rFonts w:eastAsia="TimesNewRoman"/>
        </w:rPr>
        <w:t>reported in paediatric patients</w:t>
      </w:r>
      <w:r w:rsidR="001C2455" w:rsidRPr="005A2595">
        <w:rPr>
          <w:rFonts w:eastAsia="TimesNewRoman"/>
        </w:rPr>
        <w:t xml:space="preserve"> treated for</w:t>
      </w:r>
      <w:r w:rsidRPr="00722C30">
        <w:rPr>
          <w:rFonts w:eastAsia="TimesNewRoman"/>
        </w:rPr>
        <w:t xml:space="preserve"> </w:t>
      </w:r>
      <w:r w:rsidRPr="003013D6">
        <w:rPr>
          <w:rFonts w:eastAsia="TimesNewRoman"/>
        </w:rPr>
        <w:t>up to 64 weeks</w:t>
      </w:r>
      <w:r w:rsidR="00D34F42" w:rsidRPr="003013D6">
        <w:rPr>
          <w:rFonts w:eastAsia="TimesNewRoman"/>
        </w:rPr>
        <w:t xml:space="preserve"> </w:t>
      </w:r>
      <w:r w:rsidR="003013D6" w:rsidRPr="003013D6">
        <w:rPr>
          <w:rFonts w:eastAsia="TimesNewRoman"/>
        </w:rPr>
        <w:t xml:space="preserve">during clinical trials </w:t>
      </w:r>
      <w:r w:rsidR="001C2455" w:rsidRPr="003013D6">
        <w:rPr>
          <w:rFonts w:eastAsia="TimesNewRoman"/>
        </w:rPr>
        <w:t xml:space="preserve">were: </w:t>
      </w:r>
      <w:r w:rsidRPr="003013D6">
        <w:rPr>
          <w:rFonts w:eastAsia="TimesNewRoman"/>
        </w:rPr>
        <w:t>injection site reactions</w:t>
      </w:r>
      <w:r w:rsidR="00AB2E1F" w:rsidRPr="003013D6">
        <w:rPr>
          <w:rFonts w:eastAsia="TimesNewRoman"/>
        </w:rPr>
        <w:t xml:space="preserve"> </w:t>
      </w:r>
      <w:r w:rsidR="001C2455" w:rsidRPr="003013D6">
        <w:rPr>
          <w:rFonts w:eastAsia="TimesNewRoman"/>
        </w:rPr>
        <w:t xml:space="preserve">(56%), cough </w:t>
      </w:r>
      <w:r w:rsidR="001534C2" w:rsidRPr="003013D6">
        <w:rPr>
          <w:rFonts w:eastAsia="TimesNewRoman"/>
        </w:rPr>
        <w:t>(</w:t>
      </w:r>
      <w:r w:rsidR="00AB2E1F" w:rsidRPr="003013D6">
        <w:rPr>
          <w:rFonts w:eastAsia="TimesNewRoman"/>
        </w:rPr>
        <w:t>56</w:t>
      </w:r>
      <w:r w:rsidR="007D1698" w:rsidRPr="003013D6">
        <w:rPr>
          <w:rFonts w:eastAsia="TimesNewRoman"/>
        </w:rPr>
        <w:t>%),</w:t>
      </w:r>
      <w:r w:rsidR="00C93C68" w:rsidRPr="003013D6">
        <w:rPr>
          <w:rFonts w:eastAsia="TimesNewRoman"/>
        </w:rPr>
        <w:t xml:space="preserve"> </w:t>
      </w:r>
      <w:r w:rsidRPr="003013D6">
        <w:rPr>
          <w:rFonts w:eastAsia="SimSun"/>
        </w:rPr>
        <w:t>headache (</w:t>
      </w:r>
      <w:r w:rsidR="001C2455" w:rsidRPr="003013D6">
        <w:rPr>
          <w:rFonts w:eastAsia="SimSun"/>
        </w:rPr>
        <w:t xml:space="preserve">50%), pyrexia </w:t>
      </w:r>
      <w:r w:rsidR="00AB2E1F" w:rsidRPr="003013D6">
        <w:rPr>
          <w:rFonts w:eastAsia="SimSun"/>
        </w:rPr>
        <w:t>(</w:t>
      </w:r>
      <w:r w:rsidR="001C2455" w:rsidRPr="003013D6">
        <w:rPr>
          <w:rFonts w:eastAsia="SimSun"/>
        </w:rPr>
        <w:t>43</w:t>
      </w:r>
      <w:r w:rsidR="00AB2E1F" w:rsidRPr="003013D6">
        <w:rPr>
          <w:rFonts w:eastAsia="SimSun"/>
        </w:rPr>
        <w:t>%)</w:t>
      </w:r>
      <w:r w:rsidRPr="003013D6">
        <w:rPr>
          <w:rFonts w:eastAsia="SimSun"/>
        </w:rPr>
        <w:t>, pain in extremity (</w:t>
      </w:r>
      <w:r w:rsidR="001C2455" w:rsidRPr="003013D6">
        <w:rPr>
          <w:rFonts w:eastAsia="SimSun"/>
        </w:rPr>
        <w:t>40%)</w:t>
      </w:r>
      <w:r w:rsidR="00AB2E1F" w:rsidRPr="003013D6">
        <w:rPr>
          <w:rFonts w:eastAsia="SimSun"/>
        </w:rPr>
        <w:t>,</w:t>
      </w:r>
      <w:r w:rsidR="001C2455" w:rsidRPr="003013D6">
        <w:rPr>
          <w:rFonts w:eastAsia="SimSun"/>
        </w:rPr>
        <w:t xml:space="preserve"> vomiting (39%), tooth abscess (35</w:t>
      </w:r>
      <w:r w:rsidRPr="003013D6">
        <w:rPr>
          <w:rFonts w:eastAsia="SimSun"/>
        </w:rPr>
        <w:t xml:space="preserve">%), vitamin D decreased </w:t>
      </w:r>
      <w:r w:rsidRPr="003013D6">
        <w:rPr>
          <w:rFonts w:eastAsia="SimSun"/>
          <w:u w:val="single"/>
        </w:rPr>
        <w:t>(</w:t>
      </w:r>
      <w:r w:rsidR="00CC3ADA" w:rsidRPr="003013D6">
        <w:rPr>
          <w:rFonts w:eastAsia="SimSun"/>
        </w:rPr>
        <w:t>32%), diarrhoea (25</w:t>
      </w:r>
      <w:r w:rsidR="00AB2E1F" w:rsidRPr="003013D6">
        <w:rPr>
          <w:rFonts w:eastAsia="SimSun"/>
        </w:rPr>
        <w:t>%)</w:t>
      </w:r>
      <w:r w:rsidRPr="003013D6">
        <w:rPr>
          <w:rFonts w:eastAsia="SimSun"/>
        </w:rPr>
        <w:t>, rash (</w:t>
      </w:r>
      <w:r w:rsidR="00CC3ADA" w:rsidRPr="003013D6">
        <w:rPr>
          <w:rFonts w:eastAsia="SimSun"/>
        </w:rPr>
        <w:t>24%), nausea (15%)</w:t>
      </w:r>
      <w:r w:rsidR="00710890" w:rsidRPr="003013D6">
        <w:rPr>
          <w:rFonts w:eastAsia="SimSun"/>
        </w:rPr>
        <w:t>, constipation</w:t>
      </w:r>
      <w:r w:rsidR="001534C2" w:rsidRPr="003013D6">
        <w:rPr>
          <w:rFonts w:eastAsia="SimSun"/>
        </w:rPr>
        <w:t xml:space="preserve"> </w:t>
      </w:r>
      <w:r w:rsidR="00CE16B2" w:rsidRPr="003013D6">
        <w:rPr>
          <w:rFonts w:eastAsia="SimSun"/>
        </w:rPr>
        <w:t>(</w:t>
      </w:r>
      <w:r w:rsidR="001534C2" w:rsidRPr="003013D6">
        <w:rPr>
          <w:rFonts w:eastAsia="SimSun"/>
        </w:rPr>
        <w:t>11%</w:t>
      </w:r>
      <w:r w:rsidR="00CE16B2" w:rsidRPr="003013D6">
        <w:rPr>
          <w:rFonts w:eastAsia="SimSun"/>
        </w:rPr>
        <w:t>)</w:t>
      </w:r>
      <w:r w:rsidRPr="003013D6">
        <w:rPr>
          <w:rFonts w:eastAsia="SimSun"/>
        </w:rPr>
        <w:t xml:space="preserve">, </w:t>
      </w:r>
      <w:r w:rsidR="006E0424" w:rsidRPr="003013D6">
        <w:rPr>
          <w:rFonts w:eastAsia="SimSun"/>
        </w:rPr>
        <w:t>dental caries (11%)</w:t>
      </w:r>
      <w:r w:rsidR="00697CB5" w:rsidRPr="003013D6">
        <w:rPr>
          <w:rFonts w:eastAsia="SimSun"/>
        </w:rPr>
        <w:t xml:space="preserve"> and myalgia (1</w:t>
      </w:r>
      <w:r w:rsidR="00411401" w:rsidRPr="003013D6">
        <w:rPr>
          <w:rFonts w:eastAsia="SimSun"/>
        </w:rPr>
        <w:t>1</w:t>
      </w:r>
      <w:r w:rsidR="00697CB5" w:rsidRPr="003013D6">
        <w:rPr>
          <w:rFonts w:eastAsia="SimSun"/>
        </w:rPr>
        <w:t>%)</w:t>
      </w:r>
      <w:r w:rsidR="00AB2E1F" w:rsidRPr="003013D6">
        <w:rPr>
          <w:rFonts w:eastAsia="SimSun"/>
        </w:rPr>
        <w:t>.</w:t>
      </w:r>
      <w:r w:rsidRPr="5F2EC82B">
        <w:rPr>
          <w:rFonts w:eastAsia="SimSun"/>
        </w:rPr>
        <w:t xml:space="preserve"> </w:t>
      </w:r>
    </w:p>
    <w:p w14:paraId="62F264C4" w14:textId="77777777" w:rsidR="006E6C7C" w:rsidRDefault="006E6C7C" w:rsidP="50BD9E82">
      <w:pPr>
        <w:keepNext/>
        <w:keepLines/>
        <w:autoSpaceDE w:val="0"/>
        <w:autoSpaceDN w:val="0"/>
        <w:adjustRightInd w:val="0"/>
        <w:spacing w:line="240" w:lineRule="auto"/>
        <w:rPr>
          <w:rFonts w:eastAsia="SimSun"/>
        </w:rPr>
      </w:pPr>
    </w:p>
    <w:p w14:paraId="0810A4E0" w14:textId="1ED95C50" w:rsidR="006E6C7C" w:rsidRDefault="006E6C7C" w:rsidP="50BD9E82">
      <w:pPr>
        <w:keepNext/>
        <w:keepLines/>
        <w:autoSpaceDE w:val="0"/>
        <w:autoSpaceDN w:val="0"/>
        <w:adjustRightInd w:val="0"/>
        <w:spacing w:line="240" w:lineRule="auto"/>
        <w:rPr>
          <w:rFonts w:eastAsia="TimesNewRoman"/>
        </w:rPr>
      </w:pPr>
      <w:r>
        <w:rPr>
          <w:rFonts w:eastAsia="TimesNewRoman"/>
        </w:rPr>
        <w:t xml:space="preserve">The most common adverse drug reactions reported in adult patients during clinical trials </w:t>
      </w:r>
      <w:proofErr w:type="gramStart"/>
      <w:r>
        <w:rPr>
          <w:rFonts w:eastAsia="TimesNewRoman"/>
        </w:rPr>
        <w:t>were</w:t>
      </w:r>
      <w:r w:rsidR="001B1551">
        <w:rPr>
          <w:rFonts w:eastAsia="TimesNewRoman"/>
        </w:rPr>
        <w:t>:</w:t>
      </w:r>
      <w:proofErr w:type="gramEnd"/>
      <w:r>
        <w:rPr>
          <w:rFonts w:eastAsia="TimesNewRoman"/>
        </w:rPr>
        <w:t xml:space="preserve"> back pain (23%), headache (21%), tooth infection (19%), restless legs syndrome (13%), muscle spasms (12%), vitamin D decrease (15%) and dizziness (11%).</w:t>
      </w:r>
    </w:p>
    <w:p w14:paraId="0191C78C" w14:textId="77777777" w:rsidR="006E6C7C" w:rsidRDefault="006E6C7C" w:rsidP="50BD9E82">
      <w:pPr>
        <w:keepNext/>
        <w:keepLines/>
        <w:autoSpaceDE w:val="0"/>
        <w:autoSpaceDN w:val="0"/>
        <w:adjustRightInd w:val="0"/>
        <w:spacing w:line="240" w:lineRule="auto"/>
        <w:rPr>
          <w:rFonts w:eastAsia="TimesNewRoman"/>
        </w:rPr>
      </w:pPr>
    </w:p>
    <w:p w14:paraId="50A0F2BE" w14:textId="77777777" w:rsidR="00124AD4" w:rsidRPr="00B96FD0" w:rsidRDefault="001D0951" w:rsidP="50BD9E82">
      <w:pPr>
        <w:keepNext/>
        <w:keepLines/>
        <w:autoSpaceDE w:val="0"/>
        <w:autoSpaceDN w:val="0"/>
        <w:adjustRightInd w:val="0"/>
        <w:spacing w:line="240" w:lineRule="auto"/>
        <w:rPr>
          <w:szCs w:val="22"/>
        </w:rPr>
      </w:pPr>
      <w:r w:rsidRPr="5F2EC82B">
        <w:rPr>
          <w:rFonts w:eastAsia="TimesNewRoman"/>
        </w:rPr>
        <w:t>(See section 4.4 and ‘</w:t>
      </w:r>
      <w:r>
        <w:t>Description of selected adverse reactions’ below).</w:t>
      </w:r>
      <w:r w:rsidRPr="5F2EC82B">
        <w:rPr>
          <w:rFonts w:eastAsia="TimesNewRoman"/>
        </w:rPr>
        <w:t xml:space="preserve"> </w:t>
      </w:r>
    </w:p>
    <w:p w14:paraId="498D354C" w14:textId="77777777" w:rsidR="00124AD4" w:rsidRPr="00C56B34" w:rsidRDefault="00124AD4">
      <w:pPr>
        <w:autoSpaceDE w:val="0"/>
        <w:autoSpaceDN w:val="0"/>
        <w:adjustRightInd w:val="0"/>
        <w:spacing w:line="240" w:lineRule="auto"/>
        <w:rPr>
          <w:rFonts w:eastAsia="TimesNewRoman"/>
          <w:szCs w:val="22"/>
        </w:rPr>
      </w:pPr>
    </w:p>
    <w:p w14:paraId="4942747C" w14:textId="77777777" w:rsidR="00124AD4" w:rsidRDefault="001D0951" w:rsidP="005171A3">
      <w:pPr>
        <w:keepNext/>
        <w:autoSpaceDE w:val="0"/>
        <w:autoSpaceDN w:val="0"/>
        <w:adjustRightInd w:val="0"/>
        <w:spacing w:line="240" w:lineRule="auto"/>
        <w:jc w:val="both"/>
        <w:rPr>
          <w:u w:val="single"/>
        </w:rPr>
      </w:pPr>
      <w:r w:rsidRPr="5F2EC82B">
        <w:rPr>
          <w:u w:val="single"/>
        </w:rPr>
        <w:t>Tabulated list of adverse reactions</w:t>
      </w:r>
    </w:p>
    <w:p w14:paraId="157B84A7" w14:textId="77777777" w:rsidR="005441BD" w:rsidRPr="00662578" w:rsidRDefault="005441BD" w:rsidP="005171A3">
      <w:pPr>
        <w:keepNext/>
        <w:autoSpaceDE w:val="0"/>
        <w:autoSpaceDN w:val="0"/>
        <w:adjustRightInd w:val="0"/>
        <w:spacing w:line="240" w:lineRule="auto"/>
        <w:jc w:val="both"/>
        <w:rPr>
          <w:szCs w:val="22"/>
        </w:rPr>
      </w:pPr>
    </w:p>
    <w:p w14:paraId="3E9CB8B6" w14:textId="6583E31D" w:rsidR="00124AD4" w:rsidRPr="00B96FD0" w:rsidRDefault="001D0951" w:rsidP="50BD9E82">
      <w:pPr>
        <w:autoSpaceDE w:val="0"/>
        <w:autoSpaceDN w:val="0"/>
        <w:adjustRightInd w:val="0"/>
        <w:spacing w:line="240" w:lineRule="auto"/>
        <w:rPr>
          <w:szCs w:val="22"/>
        </w:rPr>
      </w:pPr>
      <w:r w:rsidRPr="00640C47">
        <w:t>The</w:t>
      </w:r>
      <w:r>
        <w:t xml:space="preserve"> adverse reactions are presented by system organ class and frequency categories, defined using the following convention: very common (≥1/10); common (≥1/100 to &lt;1/10); uncommon (≥1/1000 to &lt;1/100); rare (≥1/10,000 to &lt;1/1000); very rare (&lt;1/10,000), not known (cannot be estimated from the available data). Within each frequency grouping, undesirable effects are presented in order of decreasing seriousness.</w:t>
      </w:r>
    </w:p>
    <w:p w14:paraId="1D66E0E1" w14:textId="482CC5B9" w:rsidR="00124AD4" w:rsidRDefault="00124AD4" w:rsidP="00124AD4">
      <w:pPr>
        <w:autoSpaceDE w:val="0"/>
        <w:autoSpaceDN w:val="0"/>
        <w:adjustRightInd w:val="0"/>
        <w:spacing w:line="240" w:lineRule="auto"/>
        <w:jc w:val="both"/>
        <w:rPr>
          <w:szCs w:val="22"/>
        </w:rPr>
      </w:pPr>
    </w:p>
    <w:p w14:paraId="78AA361A" w14:textId="1DEDC647" w:rsidR="008906AA" w:rsidRDefault="008906AA" w:rsidP="00124AD4">
      <w:pPr>
        <w:autoSpaceDE w:val="0"/>
        <w:autoSpaceDN w:val="0"/>
        <w:adjustRightInd w:val="0"/>
        <w:spacing w:line="240" w:lineRule="auto"/>
        <w:jc w:val="both"/>
      </w:pPr>
      <w:r>
        <w:lastRenderedPageBreak/>
        <w:t>An overview of adverse reactions observed from clinical trials</w:t>
      </w:r>
      <w:r w:rsidRPr="006E6C7C">
        <w:t xml:space="preserve"> </w:t>
      </w:r>
      <w:r>
        <w:t>in paediatric patients is presented in Table</w:t>
      </w:r>
      <w:r w:rsidR="00796CF6">
        <w:t> </w:t>
      </w:r>
      <w:r>
        <w:t>1</w:t>
      </w:r>
      <w:r w:rsidR="001F045A">
        <w:t>.</w:t>
      </w:r>
      <w:r>
        <w:t xml:space="preserve"> </w:t>
      </w:r>
    </w:p>
    <w:p w14:paraId="69A69388" w14:textId="77777777" w:rsidR="00796CF6" w:rsidRPr="00B96FD0" w:rsidRDefault="00796CF6" w:rsidP="00124AD4">
      <w:pPr>
        <w:autoSpaceDE w:val="0"/>
        <w:autoSpaceDN w:val="0"/>
        <w:adjustRightInd w:val="0"/>
        <w:spacing w:line="240" w:lineRule="auto"/>
        <w:jc w:val="both"/>
        <w:rPr>
          <w:szCs w:val="22"/>
        </w:rPr>
      </w:pPr>
    </w:p>
    <w:p w14:paraId="0ECDEB83" w14:textId="0F2FE64D" w:rsidR="00124AD4" w:rsidRPr="008906AA" w:rsidRDefault="001D0951" w:rsidP="008906AA">
      <w:pPr>
        <w:pStyle w:val="Caption"/>
        <w:keepNext/>
        <w:keepLines/>
        <w:spacing w:line="240" w:lineRule="auto"/>
        <w:ind w:left="851" w:hanging="851"/>
        <w:rPr>
          <w:bCs w:val="0"/>
          <w:sz w:val="22"/>
          <w:szCs w:val="22"/>
        </w:rPr>
      </w:pPr>
      <w:r w:rsidRPr="00E52698">
        <w:rPr>
          <w:sz w:val="22"/>
          <w:szCs w:val="22"/>
        </w:rPr>
        <w:t xml:space="preserve">Table </w:t>
      </w:r>
      <w:r w:rsidRPr="00BA4BF5">
        <w:fldChar w:fldCharType="begin"/>
      </w:r>
      <w:r w:rsidRPr="00E52698">
        <w:rPr>
          <w:sz w:val="22"/>
          <w:szCs w:val="22"/>
        </w:rPr>
        <w:instrText xml:space="preserve"> SEQ Table \* ARABIC </w:instrText>
      </w:r>
      <w:r w:rsidRPr="00BA4BF5">
        <w:rPr>
          <w:sz w:val="22"/>
          <w:szCs w:val="22"/>
        </w:rPr>
        <w:fldChar w:fldCharType="separate"/>
      </w:r>
      <w:r w:rsidR="003938D8">
        <w:rPr>
          <w:noProof/>
          <w:sz w:val="22"/>
          <w:szCs w:val="22"/>
        </w:rPr>
        <w:t>1</w:t>
      </w:r>
      <w:r w:rsidRPr="00BA4BF5">
        <w:fldChar w:fldCharType="end"/>
      </w:r>
      <w:r w:rsidRPr="00E52698">
        <w:rPr>
          <w:sz w:val="22"/>
          <w:szCs w:val="22"/>
        </w:rPr>
        <w:t>:</w:t>
      </w:r>
      <w:r w:rsidRPr="00E52698">
        <w:rPr>
          <w:bCs w:val="0"/>
          <w:sz w:val="22"/>
          <w:szCs w:val="22"/>
        </w:rPr>
        <w:tab/>
      </w:r>
      <w:r w:rsidRPr="00E52698">
        <w:rPr>
          <w:sz w:val="22"/>
          <w:szCs w:val="22"/>
        </w:rPr>
        <w:t xml:space="preserve">Adverse reactions reported in paediatric patients with </w:t>
      </w:r>
      <w:r w:rsidRPr="003013D6">
        <w:rPr>
          <w:sz w:val="22"/>
          <w:szCs w:val="22"/>
        </w:rPr>
        <w:t xml:space="preserve">XLH </w:t>
      </w:r>
      <w:r w:rsidR="00A87E2A" w:rsidRPr="003013D6">
        <w:rPr>
          <w:sz w:val="22"/>
          <w:szCs w:val="22"/>
        </w:rPr>
        <w:t xml:space="preserve">based on clinical studies UX023-CL201, </w:t>
      </w:r>
      <w:r w:rsidR="00D747E0" w:rsidRPr="003013D6">
        <w:rPr>
          <w:sz w:val="22"/>
          <w:szCs w:val="22"/>
        </w:rPr>
        <w:t>UX023-</w:t>
      </w:r>
      <w:r w:rsidR="003013D6" w:rsidRPr="003013D6">
        <w:rPr>
          <w:sz w:val="22"/>
          <w:szCs w:val="22"/>
        </w:rPr>
        <w:t>CL</w:t>
      </w:r>
      <w:r w:rsidR="00A87E2A" w:rsidRPr="003013D6">
        <w:rPr>
          <w:sz w:val="22"/>
          <w:szCs w:val="22"/>
        </w:rPr>
        <w:t xml:space="preserve">205 and </w:t>
      </w:r>
      <w:r w:rsidR="00D747E0" w:rsidRPr="003013D6">
        <w:rPr>
          <w:sz w:val="22"/>
          <w:szCs w:val="22"/>
        </w:rPr>
        <w:t>UX023-</w:t>
      </w:r>
      <w:r w:rsidR="003013D6" w:rsidRPr="003013D6">
        <w:rPr>
          <w:sz w:val="22"/>
          <w:szCs w:val="22"/>
        </w:rPr>
        <w:t>CL</w:t>
      </w:r>
      <w:r w:rsidR="00A87E2A" w:rsidRPr="003013D6">
        <w:rPr>
          <w:sz w:val="22"/>
          <w:szCs w:val="22"/>
        </w:rPr>
        <w:t>301 (N=94)</w:t>
      </w:r>
    </w:p>
    <w:p w14:paraId="0CD0B6EB" w14:textId="77777777" w:rsidR="00124AD4" w:rsidRPr="003013D6" w:rsidRDefault="00124AD4" w:rsidP="00E76935">
      <w:pPr>
        <w:keepNext/>
        <w:keepLines/>
        <w:spacing w:line="240" w:lineRule="auto"/>
        <w:rPr>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8"/>
        <w:gridCol w:w="2642"/>
        <w:gridCol w:w="3021"/>
      </w:tblGrid>
      <w:tr w:rsidR="005208C7" w:rsidRPr="003013D6" w14:paraId="2DAA1F9A" w14:textId="77777777" w:rsidTr="5F2EC82B">
        <w:tc>
          <w:tcPr>
            <w:tcW w:w="1875" w:type="pct"/>
            <w:shd w:val="clear" w:color="auto" w:fill="auto"/>
          </w:tcPr>
          <w:p w14:paraId="3E05FCEF" w14:textId="77777777" w:rsidR="00124AD4" w:rsidRPr="003013D6" w:rsidRDefault="001D0951" w:rsidP="00E76935">
            <w:pPr>
              <w:keepNext/>
              <w:keepLines/>
              <w:autoSpaceDE w:val="0"/>
              <w:autoSpaceDN w:val="0"/>
              <w:adjustRightInd w:val="0"/>
              <w:spacing w:line="240" w:lineRule="auto"/>
              <w:rPr>
                <w:b/>
                <w:bCs/>
              </w:rPr>
            </w:pPr>
            <w:r w:rsidRPr="003013D6">
              <w:rPr>
                <w:b/>
                <w:bCs/>
              </w:rPr>
              <w:t>MedDRA System Organ Class</w:t>
            </w:r>
          </w:p>
        </w:tc>
        <w:tc>
          <w:tcPr>
            <w:tcW w:w="1458" w:type="pct"/>
            <w:shd w:val="clear" w:color="auto" w:fill="auto"/>
          </w:tcPr>
          <w:p w14:paraId="06C53312" w14:textId="77777777" w:rsidR="00124AD4" w:rsidRPr="003013D6" w:rsidRDefault="001D0951" w:rsidP="008F23BF">
            <w:pPr>
              <w:keepNext/>
              <w:keepLines/>
              <w:autoSpaceDE w:val="0"/>
              <w:autoSpaceDN w:val="0"/>
              <w:adjustRightInd w:val="0"/>
              <w:spacing w:line="240" w:lineRule="auto"/>
              <w:jc w:val="center"/>
              <w:rPr>
                <w:b/>
                <w:bCs/>
              </w:rPr>
            </w:pPr>
            <w:r w:rsidRPr="003013D6">
              <w:rPr>
                <w:b/>
                <w:bCs/>
              </w:rPr>
              <w:t>Frequency category</w:t>
            </w:r>
          </w:p>
        </w:tc>
        <w:tc>
          <w:tcPr>
            <w:tcW w:w="1667" w:type="pct"/>
          </w:tcPr>
          <w:p w14:paraId="5644EFA3" w14:textId="77777777" w:rsidR="00124AD4" w:rsidRPr="003013D6" w:rsidRDefault="001D0951" w:rsidP="008F23BF">
            <w:pPr>
              <w:keepNext/>
              <w:keepLines/>
              <w:autoSpaceDE w:val="0"/>
              <w:autoSpaceDN w:val="0"/>
              <w:adjustRightInd w:val="0"/>
              <w:spacing w:line="240" w:lineRule="auto"/>
              <w:jc w:val="center"/>
              <w:rPr>
                <w:b/>
                <w:bCs/>
              </w:rPr>
            </w:pPr>
            <w:r w:rsidRPr="003013D6">
              <w:rPr>
                <w:b/>
                <w:bCs/>
              </w:rPr>
              <w:t>Adverse reaction</w:t>
            </w:r>
          </w:p>
        </w:tc>
      </w:tr>
      <w:tr w:rsidR="005208C7" w:rsidRPr="003013D6" w14:paraId="5BF0574D" w14:textId="77777777" w:rsidTr="5F2EC82B">
        <w:tc>
          <w:tcPr>
            <w:tcW w:w="1875" w:type="pct"/>
            <w:shd w:val="clear" w:color="auto" w:fill="auto"/>
            <w:vAlign w:val="center"/>
          </w:tcPr>
          <w:p w14:paraId="728B132F" w14:textId="77777777" w:rsidR="00124AD4" w:rsidRPr="003013D6" w:rsidRDefault="001D0951" w:rsidP="00E76935">
            <w:pPr>
              <w:keepNext/>
              <w:keepLines/>
              <w:autoSpaceDE w:val="0"/>
              <w:autoSpaceDN w:val="0"/>
              <w:adjustRightInd w:val="0"/>
              <w:spacing w:line="240" w:lineRule="auto"/>
              <w:rPr>
                <w:b/>
                <w:bCs/>
              </w:rPr>
            </w:pPr>
            <w:r w:rsidRPr="003013D6">
              <w:rPr>
                <w:rFonts w:eastAsia="SimSun"/>
              </w:rPr>
              <w:t>Infections and infestations</w:t>
            </w:r>
          </w:p>
        </w:tc>
        <w:tc>
          <w:tcPr>
            <w:tcW w:w="1458" w:type="pct"/>
            <w:shd w:val="clear" w:color="auto" w:fill="auto"/>
            <w:vAlign w:val="center"/>
          </w:tcPr>
          <w:p w14:paraId="5C6BF3C6" w14:textId="77777777" w:rsidR="00124AD4" w:rsidRPr="003013D6" w:rsidRDefault="001D0951" w:rsidP="00E76935">
            <w:pPr>
              <w:keepNext/>
              <w:keepLines/>
              <w:autoSpaceDE w:val="0"/>
              <w:autoSpaceDN w:val="0"/>
              <w:adjustRightInd w:val="0"/>
              <w:spacing w:line="240" w:lineRule="auto"/>
              <w:jc w:val="center"/>
              <w:rPr>
                <w:b/>
                <w:bCs/>
              </w:rPr>
            </w:pPr>
            <w:r w:rsidRPr="003013D6">
              <w:t>Very common</w:t>
            </w:r>
          </w:p>
        </w:tc>
        <w:tc>
          <w:tcPr>
            <w:tcW w:w="1667" w:type="pct"/>
            <w:vAlign w:val="center"/>
          </w:tcPr>
          <w:p w14:paraId="3473DCF4" w14:textId="77777777" w:rsidR="00124AD4" w:rsidRPr="003013D6" w:rsidRDefault="001D0951" w:rsidP="00E76935">
            <w:pPr>
              <w:keepNext/>
              <w:keepLines/>
              <w:autoSpaceDE w:val="0"/>
              <w:autoSpaceDN w:val="0"/>
              <w:adjustRightInd w:val="0"/>
              <w:spacing w:line="240" w:lineRule="auto"/>
              <w:jc w:val="center"/>
              <w:rPr>
                <w:b/>
                <w:bCs/>
              </w:rPr>
            </w:pPr>
            <w:r w:rsidRPr="003013D6">
              <w:t>Tooth abscess</w:t>
            </w:r>
            <w:r w:rsidR="002C4F10" w:rsidRPr="003013D6">
              <w:rPr>
                <w:vertAlign w:val="superscript"/>
              </w:rPr>
              <w:t>1</w:t>
            </w:r>
          </w:p>
        </w:tc>
      </w:tr>
      <w:tr w:rsidR="005208C7" w:rsidRPr="003013D6" w14:paraId="401FA72D" w14:textId="77777777" w:rsidTr="5F2EC82B">
        <w:tc>
          <w:tcPr>
            <w:tcW w:w="1875" w:type="pct"/>
            <w:shd w:val="clear" w:color="auto" w:fill="auto"/>
            <w:vAlign w:val="center"/>
          </w:tcPr>
          <w:p w14:paraId="2E521CEF" w14:textId="77777777" w:rsidR="002C4F10" w:rsidRPr="003013D6" w:rsidRDefault="001D0951" w:rsidP="00E76935">
            <w:pPr>
              <w:keepNext/>
              <w:keepLines/>
              <w:autoSpaceDE w:val="0"/>
              <w:autoSpaceDN w:val="0"/>
              <w:adjustRightInd w:val="0"/>
              <w:spacing w:line="240" w:lineRule="auto"/>
              <w:rPr>
                <w:rFonts w:eastAsia="SimSun"/>
              </w:rPr>
            </w:pPr>
            <w:r w:rsidRPr="003013D6">
              <w:rPr>
                <w:rFonts w:eastAsia="SimSun"/>
              </w:rPr>
              <w:t>Respiratory, thoracic and mediastinal disorders</w:t>
            </w:r>
          </w:p>
        </w:tc>
        <w:tc>
          <w:tcPr>
            <w:tcW w:w="1458" w:type="pct"/>
            <w:shd w:val="clear" w:color="auto" w:fill="auto"/>
            <w:vAlign w:val="center"/>
          </w:tcPr>
          <w:p w14:paraId="1F2CCF3F" w14:textId="77777777" w:rsidR="002C4F10" w:rsidRPr="003013D6" w:rsidRDefault="001D0951" w:rsidP="00E76935">
            <w:pPr>
              <w:keepNext/>
              <w:keepLines/>
              <w:autoSpaceDE w:val="0"/>
              <w:autoSpaceDN w:val="0"/>
              <w:adjustRightInd w:val="0"/>
              <w:spacing w:line="240" w:lineRule="auto"/>
              <w:jc w:val="center"/>
            </w:pPr>
            <w:r w:rsidRPr="003013D6">
              <w:t>Very common</w:t>
            </w:r>
          </w:p>
        </w:tc>
        <w:tc>
          <w:tcPr>
            <w:tcW w:w="1667" w:type="pct"/>
            <w:vAlign w:val="center"/>
          </w:tcPr>
          <w:p w14:paraId="1517763C" w14:textId="77777777" w:rsidR="002C4F10" w:rsidRPr="003013D6" w:rsidRDefault="001D0951" w:rsidP="00E76935">
            <w:pPr>
              <w:keepNext/>
              <w:keepLines/>
              <w:autoSpaceDE w:val="0"/>
              <w:autoSpaceDN w:val="0"/>
              <w:adjustRightInd w:val="0"/>
              <w:spacing w:line="240" w:lineRule="auto"/>
              <w:jc w:val="center"/>
            </w:pPr>
            <w:r w:rsidRPr="003013D6">
              <w:t>Cough</w:t>
            </w:r>
            <w:r w:rsidRPr="003013D6">
              <w:rPr>
                <w:vertAlign w:val="superscript"/>
              </w:rPr>
              <w:t>2</w:t>
            </w:r>
          </w:p>
        </w:tc>
      </w:tr>
      <w:tr w:rsidR="005208C7" w:rsidRPr="003013D6" w14:paraId="0AE9CF8F" w14:textId="77777777" w:rsidTr="5F2EC82B">
        <w:tc>
          <w:tcPr>
            <w:tcW w:w="1875" w:type="pct"/>
            <w:vMerge w:val="restart"/>
            <w:shd w:val="clear" w:color="auto" w:fill="auto"/>
            <w:vAlign w:val="center"/>
          </w:tcPr>
          <w:p w14:paraId="195D38D9" w14:textId="18FD092E" w:rsidR="00124AD4" w:rsidRPr="003013D6" w:rsidRDefault="001D0951" w:rsidP="00E76935">
            <w:pPr>
              <w:keepNext/>
              <w:keepLines/>
              <w:autoSpaceDE w:val="0"/>
              <w:autoSpaceDN w:val="0"/>
              <w:adjustRightInd w:val="0"/>
              <w:spacing w:line="240" w:lineRule="auto"/>
              <w:rPr>
                <w:rFonts w:eastAsia="SimSun"/>
              </w:rPr>
            </w:pPr>
            <w:r w:rsidRPr="00BC41B7">
              <w:rPr>
                <w:rFonts w:eastAsia="SimSun"/>
              </w:rPr>
              <w:t>Nervous system disorder</w:t>
            </w:r>
            <w:r w:rsidR="00D32785" w:rsidRPr="00BC41B7">
              <w:rPr>
                <w:rFonts w:eastAsia="SimSun"/>
              </w:rPr>
              <w:t>s</w:t>
            </w:r>
          </w:p>
        </w:tc>
        <w:tc>
          <w:tcPr>
            <w:tcW w:w="1458" w:type="pct"/>
            <w:vAlign w:val="center"/>
          </w:tcPr>
          <w:p w14:paraId="285AABF5" w14:textId="77777777" w:rsidR="00124AD4" w:rsidRPr="003013D6" w:rsidRDefault="001D0951" w:rsidP="00E76935">
            <w:pPr>
              <w:keepNext/>
              <w:keepLines/>
              <w:autoSpaceDE w:val="0"/>
              <w:autoSpaceDN w:val="0"/>
              <w:adjustRightInd w:val="0"/>
              <w:spacing w:line="240" w:lineRule="auto"/>
              <w:jc w:val="center"/>
              <w:rPr>
                <w:szCs w:val="22"/>
              </w:rPr>
            </w:pPr>
            <w:r w:rsidRPr="003013D6">
              <w:t>Very common</w:t>
            </w:r>
          </w:p>
        </w:tc>
        <w:tc>
          <w:tcPr>
            <w:tcW w:w="1667" w:type="pct"/>
            <w:shd w:val="clear" w:color="auto" w:fill="auto"/>
            <w:vAlign w:val="center"/>
          </w:tcPr>
          <w:p w14:paraId="3983A8A7" w14:textId="77777777" w:rsidR="00124AD4" w:rsidRPr="003013D6" w:rsidRDefault="001D0951" w:rsidP="00E76935">
            <w:pPr>
              <w:keepNext/>
              <w:keepLines/>
              <w:autoSpaceDE w:val="0"/>
              <w:autoSpaceDN w:val="0"/>
              <w:adjustRightInd w:val="0"/>
              <w:spacing w:line="240" w:lineRule="auto"/>
              <w:jc w:val="center"/>
              <w:rPr>
                <w:szCs w:val="22"/>
              </w:rPr>
            </w:pPr>
            <w:r w:rsidRPr="003013D6">
              <w:t>Headache</w:t>
            </w:r>
          </w:p>
        </w:tc>
      </w:tr>
      <w:tr w:rsidR="005208C7" w:rsidRPr="003013D6" w14:paraId="07DF48F5" w14:textId="77777777" w:rsidTr="5F2EC82B">
        <w:tc>
          <w:tcPr>
            <w:tcW w:w="1875" w:type="pct"/>
            <w:vMerge/>
            <w:shd w:val="clear" w:color="auto" w:fill="auto"/>
            <w:vAlign w:val="center"/>
          </w:tcPr>
          <w:p w14:paraId="46CC5FF7" w14:textId="77777777" w:rsidR="00124AD4" w:rsidRPr="003013D6" w:rsidRDefault="00124AD4" w:rsidP="00E76935">
            <w:pPr>
              <w:keepNext/>
              <w:keepLines/>
              <w:autoSpaceDE w:val="0"/>
              <w:autoSpaceDN w:val="0"/>
              <w:adjustRightInd w:val="0"/>
              <w:spacing w:line="240" w:lineRule="auto"/>
              <w:rPr>
                <w:rFonts w:eastAsia="SimSun"/>
                <w:szCs w:val="22"/>
              </w:rPr>
            </w:pPr>
          </w:p>
        </w:tc>
        <w:tc>
          <w:tcPr>
            <w:tcW w:w="1458" w:type="pct"/>
            <w:vAlign w:val="center"/>
          </w:tcPr>
          <w:p w14:paraId="298A575B" w14:textId="77777777" w:rsidR="00124AD4" w:rsidRPr="003013D6" w:rsidRDefault="001D0951" w:rsidP="008F23BF">
            <w:pPr>
              <w:keepNext/>
              <w:keepLines/>
              <w:autoSpaceDE w:val="0"/>
              <w:autoSpaceDN w:val="0"/>
              <w:adjustRightInd w:val="0"/>
              <w:spacing w:line="240" w:lineRule="auto"/>
              <w:jc w:val="center"/>
              <w:rPr>
                <w:szCs w:val="22"/>
              </w:rPr>
            </w:pPr>
            <w:r w:rsidRPr="003013D6">
              <w:t xml:space="preserve">Common </w:t>
            </w:r>
          </w:p>
        </w:tc>
        <w:tc>
          <w:tcPr>
            <w:tcW w:w="1667" w:type="pct"/>
            <w:shd w:val="clear" w:color="auto" w:fill="auto"/>
            <w:vAlign w:val="center"/>
          </w:tcPr>
          <w:p w14:paraId="3B46029E" w14:textId="77777777" w:rsidR="00124AD4" w:rsidRPr="003013D6" w:rsidRDefault="001D0951" w:rsidP="00E76935">
            <w:pPr>
              <w:keepNext/>
              <w:keepLines/>
              <w:autoSpaceDE w:val="0"/>
              <w:autoSpaceDN w:val="0"/>
              <w:adjustRightInd w:val="0"/>
              <w:spacing w:line="240" w:lineRule="auto"/>
              <w:jc w:val="center"/>
              <w:rPr>
                <w:szCs w:val="22"/>
              </w:rPr>
            </w:pPr>
            <w:r w:rsidRPr="003013D6">
              <w:t>Dizziness</w:t>
            </w:r>
            <w:r w:rsidR="002C4F10" w:rsidRPr="003013D6">
              <w:rPr>
                <w:vertAlign w:val="superscript"/>
              </w:rPr>
              <w:t>3</w:t>
            </w:r>
          </w:p>
        </w:tc>
      </w:tr>
      <w:tr w:rsidR="005208C7" w:rsidRPr="003013D6" w14:paraId="1F13B8F7" w14:textId="77777777" w:rsidTr="5F2EC82B">
        <w:tc>
          <w:tcPr>
            <w:tcW w:w="1875" w:type="pct"/>
            <w:shd w:val="clear" w:color="auto" w:fill="auto"/>
            <w:vAlign w:val="center"/>
          </w:tcPr>
          <w:p w14:paraId="1BFEA584" w14:textId="77777777" w:rsidR="00124AD4" w:rsidRPr="003013D6" w:rsidRDefault="001D0951" w:rsidP="00E76935">
            <w:pPr>
              <w:keepNext/>
              <w:keepLines/>
              <w:autoSpaceDE w:val="0"/>
              <w:autoSpaceDN w:val="0"/>
              <w:adjustRightInd w:val="0"/>
              <w:spacing w:line="240" w:lineRule="auto"/>
              <w:rPr>
                <w:rFonts w:eastAsia="SimSun"/>
              </w:rPr>
            </w:pPr>
            <w:r w:rsidRPr="003013D6">
              <w:rPr>
                <w:rFonts w:eastAsia="SimSun"/>
              </w:rPr>
              <w:t>Gastrointestinal Disorders</w:t>
            </w:r>
          </w:p>
        </w:tc>
        <w:tc>
          <w:tcPr>
            <w:tcW w:w="1458" w:type="pct"/>
            <w:vAlign w:val="center"/>
          </w:tcPr>
          <w:p w14:paraId="13206982" w14:textId="77777777" w:rsidR="00124AD4" w:rsidRPr="003013D6" w:rsidRDefault="001D0951" w:rsidP="007E1ED1">
            <w:pPr>
              <w:keepNext/>
              <w:keepLines/>
              <w:autoSpaceDE w:val="0"/>
              <w:autoSpaceDN w:val="0"/>
              <w:adjustRightInd w:val="0"/>
              <w:spacing w:line="240" w:lineRule="auto"/>
              <w:jc w:val="center"/>
            </w:pPr>
            <w:r w:rsidRPr="003013D6">
              <w:t>Very common</w:t>
            </w:r>
          </w:p>
        </w:tc>
        <w:tc>
          <w:tcPr>
            <w:tcW w:w="1667" w:type="pct"/>
            <w:shd w:val="clear" w:color="auto" w:fill="auto"/>
            <w:vAlign w:val="center"/>
          </w:tcPr>
          <w:p w14:paraId="5D7C6EAD" w14:textId="77777777" w:rsidR="003468A9" w:rsidRPr="003013D6" w:rsidRDefault="001D0951" w:rsidP="007E1ED1">
            <w:pPr>
              <w:keepNext/>
              <w:keepLines/>
              <w:autoSpaceDE w:val="0"/>
              <w:autoSpaceDN w:val="0"/>
              <w:adjustRightInd w:val="0"/>
              <w:spacing w:line="240" w:lineRule="auto"/>
              <w:jc w:val="center"/>
            </w:pPr>
            <w:r w:rsidRPr="003013D6">
              <w:t>Vomiting</w:t>
            </w:r>
          </w:p>
          <w:p w14:paraId="09AEC382" w14:textId="77777777" w:rsidR="002C4F10" w:rsidRPr="003013D6" w:rsidRDefault="001D0951" w:rsidP="00E76935">
            <w:pPr>
              <w:keepNext/>
              <w:keepLines/>
              <w:autoSpaceDE w:val="0"/>
              <w:autoSpaceDN w:val="0"/>
              <w:adjustRightInd w:val="0"/>
              <w:spacing w:line="240" w:lineRule="auto"/>
              <w:jc w:val="center"/>
            </w:pPr>
            <w:r w:rsidRPr="003013D6">
              <w:t>Nausea</w:t>
            </w:r>
          </w:p>
          <w:p w14:paraId="108F11D8" w14:textId="77777777" w:rsidR="002C4F10" w:rsidRPr="003013D6" w:rsidRDefault="001D0951" w:rsidP="00E76935">
            <w:pPr>
              <w:keepNext/>
              <w:keepLines/>
              <w:autoSpaceDE w:val="0"/>
              <w:autoSpaceDN w:val="0"/>
              <w:adjustRightInd w:val="0"/>
              <w:spacing w:line="240" w:lineRule="auto"/>
              <w:jc w:val="center"/>
            </w:pPr>
            <w:r w:rsidRPr="003013D6">
              <w:t>Diarrhoea</w:t>
            </w:r>
          </w:p>
          <w:p w14:paraId="5BAC471C" w14:textId="77777777" w:rsidR="002C4F10" w:rsidRPr="003013D6" w:rsidRDefault="001D0951" w:rsidP="00E76935">
            <w:pPr>
              <w:keepNext/>
              <w:keepLines/>
              <w:autoSpaceDE w:val="0"/>
              <w:autoSpaceDN w:val="0"/>
              <w:adjustRightInd w:val="0"/>
              <w:spacing w:line="240" w:lineRule="auto"/>
              <w:jc w:val="center"/>
            </w:pPr>
            <w:r w:rsidRPr="003013D6">
              <w:t>Constipation</w:t>
            </w:r>
          </w:p>
          <w:p w14:paraId="7B30ED7C" w14:textId="77777777" w:rsidR="002C4F10" w:rsidRPr="003013D6" w:rsidRDefault="001D0951" w:rsidP="00E76935">
            <w:pPr>
              <w:keepNext/>
              <w:keepLines/>
              <w:autoSpaceDE w:val="0"/>
              <w:autoSpaceDN w:val="0"/>
              <w:adjustRightInd w:val="0"/>
              <w:spacing w:line="240" w:lineRule="auto"/>
              <w:jc w:val="center"/>
            </w:pPr>
            <w:r w:rsidRPr="003013D6">
              <w:t>Dental Caries</w:t>
            </w:r>
          </w:p>
        </w:tc>
      </w:tr>
      <w:tr w:rsidR="005208C7" w:rsidRPr="003013D6" w14:paraId="0CF23F20" w14:textId="77777777" w:rsidTr="5F2EC82B">
        <w:trPr>
          <w:trHeight w:val="41"/>
        </w:trPr>
        <w:tc>
          <w:tcPr>
            <w:tcW w:w="1875" w:type="pct"/>
            <w:shd w:val="clear" w:color="auto" w:fill="auto"/>
            <w:vAlign w:val="center"/>
          </w:tcPr>
          <w:p w14:paraId="52ABAC94" w14:textId="3E55F34A" w:rsidR="00124AD4" w:rsidRPr="003013D6" w:rsidRDefault="001D0951" w:rsidP="00E76935">
            <w:pPr>
              <w:keepNext/>
              <w:keepLines/>
              <w:autoSpaceDE w:val="0"/>
              <w:autoSpaceDN w:val="0"/>
              <w:adjustRightInd w:val="0"/>
              <w:spacing w:line="240" w:lineRule="auto"/>
              <w:rPr>
                <w:rFonts w:eastAsia="SimSun"/>
              </w:rPr>
            </w:pPr>
            <w:r w:rsidRPr="003013D6">
              <w:rPr>
                <w:rFonts w:eastAsia="SimSun"/>
              </w:rPr>
              <w:t xml:space="preserve">Skin and subcutaneous tissue </w:t>
            </w:r>
            <w:r w:rsidRPr="00BC41B7">
              <w:rPr>
                <w:rFonts w:eastAsia="SimSun"/>
              </w:rPr>
              <w:t>disorder</w:t>
            </w:r>
            <w:r w:rsidR="00D32785" w:rsidRPr="00BC41B7">
              <w:rPr>
                <w:rFonts w:eastAsia="SimSun"/>
              </w:rPr>
              <w:t>s</w:t>
            </w:r>
          </w:p>
        </w:tc>
        <w:tc>
          <w:tcPr>
            <w:tcW w:w="1458" w:type="pct"/>
            <w:vAlign w:val="center"/>
          </w:tcPr>
          <w:p w14:paraId="1F08833B" w14:textId="77777777" w:rsidR="00124AD4" w:rsidRPr="003013D6" w:rsidRDefault="001D0951" w:rsidP="00E76935">
            <w:pPr>
              <w:keepNext/>
              <w:keepLines/>
              <w:autoSpaceDE w:val="0"/>
              <w:autoSpaceDN w:val="0"/>
              <w:adjustRightInd w:val="0"/>
              <w:spacing w:line="240" w:lineRule="auto"/>
              <w:jc w:val="center"/>
            </w:pPr>
            <w:r w:rsidRPr="003013D6">
              <w:t>Very common</w:t>
            </w:r>
          </w:p>
        </w:tc>
        <w:tc>
          <w:tcPr>
            <w:tcW w:w="1667" w:type="pct"/>
            <w:shd w:val="clear" w:color="auto" w:fill="auto"/>
            <w:vAlign w:val="center"/>
          </w:tcPr>
          <w:p w14:paraId="249F43A1" w14:textId="77777777" w:rsidR="00124AD4" w:rsidRPr="003013D6" w:rsidRDefault="001D0951" w:rsidP="00E76935">
            <w:pPr>
              <w:keepNext/>
              <w:keepLines/>
              <w:autoSpaceDE w:val="0"/>
              <w:autoSpaceDN w:val="0"/>
              <w:adjustRightInd w:val="0"/>
              <w:spacing w:line="240" w:lineRule="auto"/>
              <w:jc w:val="center"/>
            </w:pPr>
            <w:r w:rsidRPr="003013D6">
              <w:t>Rash</w:t>
            </w:r>
            <w:r w:rsidR="00E032E7" w:rsidRPr="003013D6">
              <w:rPr>
                <w:vertAlign w:val="superscript"/>
              </w:rPr>
              <w:t>4</w:t>
            </w:r>
          </w:p>
        </w:tc>
      </w:tr>
      <w:tr w:rsidR="005208C7" w:rsidRPr="003013D6" w14:paraId="1AB5119D" w14:textId="77777777" w:rsidTr="5F2EC82B">
        <w:tc>
          <w:tcPr>
            <w:tcW w:w="1875" w:type="pct"/>
            <w:vMerge w:val="restart"/>
            <w:shd w:val="clear" w:color="auto" w:fill="auto"/>
            <w:vAlign w:val="center"/>
          </w:tcPr>
          <w:p w14:paraId="446C549D" w14:textId="77777777" w:rsidR="00071919" w:rsidRPr="003013D6" w:rsidRDefault="001D0951" w:rsidP="00E76935">
            <w:pPr>
              <w:keepNext/>
              <w:keepLines/>
              <w:autoSpaceDE w:val="0"/>
              <w:autoSpaceDN w:val="0"/>
              <w:adjustRightInd w:val="0"/>
              <w:spacing w:line="240" w:lineRule="auto"/>
              <w:rPr>
                <w:rFonts w:eastAsia="SimSun"/>
              </w:rPr>
            </w:pPr>
            <w:r w:rsidRPr="003013D6">
              <w:rPr>
                <w:rFonts w:eastAsia="SimSun"/>
              </w:rPr>
              <w:t>Musculoskeletal and connective tissue disorders</w:t>
            </w:r>
          </w:p>
        </w:tc>
        <w:tc>
          <w:tcPr>
            <w:tcW w:w="1458" w:type="pct"/>
            <w:vMerge w:val="restart"/>
            <w:vAlign w:val="center"/>
          </w:tcPr>
          <w:p w14:paraId="0AF6E866" w14:textId="77777777" w:rsidR="00071919" w:rsidRPr="003013D6" w:rsidRDefault="001D0951" w:rsidP="00071919">
            <w:pPr>
              <w:keepNext/>
              <w:keepLines/>
              <w:autoSpaceDE w:val="0"/>
              <w:autoSpaceDN w:val="0"/>
              <w:adjustRightInd w:val="0"/>
              <w:spacing w:line="240" w:lineRule="auto"/>
              <w:jc w:val="center"/>
              <w:rPr>
                <w:szCs w:val="22"/>
              </w:rPr>
            </w:pPr>
            <w:r w:rsidRPr="003013D6">
              <w:t>Very common</w:t>
            </w:r>
          </w:p>
        </w:tc>
        <w:tc>
          <w:tcPr>
            <w:tcW w:w="1667" w:type="pct"/>
            <w:shd w:val="clear" w:color="auto" w:fill="auto"/>
            <w:vAlign w:val="center"/>
          </w:tcPr>
          <w:p w14:paraId="3D3E50F8" w14:textId="77777777" w:rsidR="00071919" w:rsidRPr="003013D6" w:rsidRDefault="001D0951" w:rsidP="00E76935">
            <w:pPr>
              <w:keepNext/>
              <w:keepLines/>
              <w:autoSpaceDE w:val="0"/>
              <w:autoSpaceDN w:val="0"/>
              <w:adjustRightInd w:val="0"/>
              <w:spacing w:line="240" w:lineRule="auto"/>
              <w:jc w:val="center"/>
              <w:rPr>
                <w:szCs w:val="22"/>
              </w:rPr>
            </w:pPr>
            <w:r w:rsidRPr="003013D6">
              <w:t xml:space="preserve">Myalgia </w:t>
            </w:r>
          </w:p>
        </w:tc>
      </w:tr>
      <w:tr w:rsidR="005208C7" w:rsidRPr="003013D6" w14:paraId="5914A961" w14:textId="77777777" w:rsidTr="5F2EC82B">
        <w:tc>
          <w:tcPr>
            <w:tcW w:w="1875" w:type="pct"/>
            <w:vMerge/>
            <w:shd w:val="clear" w:color="auto" w:fill="auto"/>
            <w:vAlign w:val="center"/>
          </w:tcPr>
          <w:p w14:paraId="2F716D82" w14:textId="77777777" w:rsidR="00071919" w:rsidRPr="003013D6" w:rsidRDefault="00071919" w:rsidP="00E76935">
            <w:pPr>
              <w:keepNext/>
              <w:keepLines/>
              <w:autoSpaceDE w:val="0"/>
              <w:autoSpaceDN w:val="0"/>
              <w:adjustRightInd w:val="0"/>
              <w:spacing w:line="240" w:lineRule="auto"/>
              <w:rPr>
                <w:rFonts w:eastAsia="SimSun"/>
              </w:rPr>
            </w:pPr>
          </w:p>
        </w:tc>
        <w:tc>
          <w:tcPr>
            <w:tcW w:w="1458" w:type="pct"/>
            <w:vMerge/>
            <w:vAlign w:val="center"/>
          </w:tcPr>
          <w:p w14:paraId="2D82D3EB" w14:textId="77777777" w:rsidR="00071919" w:rsidRPr="003013D6" w:rsidRDefault="00071919" w:rsidP="00E76935">
            <w:pPr>
              <w:keepNext/>
              <w:keepLines/>
              <w:autoSpaceDE w:val="0"/>
              <w:autoSpaceDN w:val="0"/>
              <w:adjustRightInd w:val="0"/>
              <w:spacing w:line="240" w:lineRule="auto"/>
              <w:jc w:val="center"/>
              <w:rPr>
                <w:szCs w:val="22"/>
              </w:rPr>
            </w:pPr>
          </w:p>
        </w:tc>
        <w:tc>
          <w:tcPr>
            <w:tcW w:w="1667" w:type="pct"/>
            <w:shd w:val="clear" w:color="auto" w:fill="auto"/>
            <w:vAlign w:val="center"/>
          </w:tcPr>
          <w:p w14:paraId="0F08A0FC" w14:textId="77777777" w:rsidR="00071919" w:rsidRPr="003013D6" w:rsidRDefault="001D0951" w:rsidP="00071919">
            <w:pPr>
              <w:keepNext/>
              <w:keepLines/>
              <w:autoSpaceDE w:val="0"/>
              <w:autoSpaceDN w:val="0"/>
              <w:adjustRightInd w:val="0"/>
              <w:spacing w:line="240" w:lineRule="auto"/>
              <w:jc w:val="center"/>
              <w:rPr>
                <w:szCs w:val="22"/>
              </w:rPr>
            </w:pPr>
            <w:r w:rsidRPr="003013D6">
              <w:t>Pain in extremity</w:t>
            </w:r>
          </w:p>
        </w:tc>
      </w:tr>
      <w:tr w:rsidR="005208C7" w:rsidRPr="003013D6" w14:paraId="6A4635A3" w14:textId="77777777" w:rsidTr="5F2EC82B">
        <w:tc>
          <w:tcPr>
            <w:tcW w:w="1875" w:type="pct"/>
            <w:shd w:val="clear" w:color="auto" w:fill="auto"/>
            <w:vAlign w:val="center"/>
          </w:tcPr>
          <w:p w14:paraId="08B2D32C" w14:textId="77777777" w:rsidR="00124AD4" w:rsidRPr="003013D6" w:rsidRDefault="001D0951" w:rsidP="00E76935">
            <w:pPr>
              <w:keepNext/>
              <w:keepLines/>
              <w:autoSpaceDE w:val="0"/>
              <w:autoSpaceDN w:val="0"/>
              <w:adjustRightInd w:val="0"/>
              <w:spacing w:line="240" w:lineRule="auto"/>
              <w:rPr>
                <w:rFonts w:eastAsia="SimSun"/>
              </w:rPr>
            </w:pPr>
            <w:r w:rsidRPr="003013D6">
              <w:rPr>
                <w:rFonts w:eastAsia="SimSun"/>
              </w:rPr>
              <w:t>General disorders and administration site conditions</w:t>
            </w:r>
          </w:p>
        </w:tc>
        <w:tc>
          <w:tcPr>
            <w:tcW w:w="1458" w:type="pct"/>
            <w:vAlign w:val="center"/>
          </w:tcPr>
          <w:p w14:paraId="4F5BE5CC" w14:textId="77777777" w:rsidR="00124AD4" w:rsidRPr="003013D6" w:rsidRDefault="001D0951" w:rsidP="00E76935">
            <w:pPr>
              <w:keepNext/>
              <w:keepLines/>
              <w:autoSpaceDE w:val="0"/>
              <w:autoSpaceDN w:val="0"/>
              <w:adjustRightInd w:val="0"/>
              <w:spacing w:line="240" w:lineRule="auto"/>
              <w:jc w:val="center"/>
              <w:rPr>
                <w:szCs w:val="22"/>
              </w:rPr>
            </w:pPr>
            <w:r w:rsidRPr="003013D6">
              <w:t>Very common</w:t>
            </w:r>
          </w:p>
        </w:tc>
        <w:tc>
          <w:tcPr>
            <w:tcW w:w="1667" w:type="pct"/>
            <w:shd w:val="clear" w:color="auto" w:fill="auto"/>
            <w:vAlign w:val="center"/>
          </w:tcPr>
          <w:p w14:paraId="138BA066" w14:textId="77777777" w:rsidR="00124AD4" w:rsidRPr="003013D6" w:rsidRDefault="001D0951" w:rsidP="00E76935">
            <w:pPr>
              <w:keepNext/>
              <w:keepLines/>
              <w:autoSpaceDE w:val="0"/>
              <w:autoSpaceDN w:val="0"/>
              <w:adjustRightInd w:val="0"/>
              <w:spacing w:line="240" w:lineRule="auto"/>
              <w:jc w:val="center"/>
              <w:rPr>
                <w:strike/>
                <w:vertAlign w:val="superscript"/>
              </w:rPr>
            </w:pPr>
            <w:r w:rsidRPr="003013D6">
              <w:t>Injection site reaction</w:t>
            </w:r>
            <w:r w:rsidR="00E032E7" w:rsidRPr="003013D6">
              <w:rPr>
                <w:vertAlign w:val="superscript"/>
              </w:rPr>
              <w:t>5</w:t>
            </w:r>
          </w:p>
          <w:p w14:paraId="6E9521FF" w14:textId="77777777" w:rsidR="00E032E7" w:rsidRPr="003013D6" w:rsidRDefault="001D0951" w:rsidP="00E76935">
            <w:pPr>
              <w:keepNext/>
              <w:keepLines/>
              <w:autoSpaceDE w:val="0"/>
              <w:autoSpaceDN w:val="0"/>
              <w:adjustRightInd w:val="0"/>
              <w:spacing w:line="240" w:lineRule="auto"/>
              <w:jc w:val="center"/>
              <w:rPr>
                <w:szCs w:val="22"/>
              </w:rPr>
            </w:pPr>
            <w:r w:rsidRPr="003013D6">
              <w:t>Pyrexia</w:t>
            </w:r>
          </w:p>
        </w:tc>
      </w:tr>
      <w:tr w:rsidR="005208C7" w:rsidRPr="003013D6" w14:paraId="5340A348" w14:textId="77777777" w:rsidTr="5F2EC82B">
        <w:tc>
          <w:tcPr>
            <w:tcW w:w="1875" w:type="pct"/>
            <w:shd w:val="clear" w:color="auto" w:fill="auto"/>
            <w:vAlign w:val="center"/>
          </w:tcPr>
          <w:p w14:paraId="22848DC0" w14:textId="77777777" w:rsidR="00124AD4" w:rsidRPr="003013D6" w:rsidRDefault="001D0951" w:rsidP="00E76935">
            <w:pPr>
              <w:keepNext/>
              <w:keepLines/>
              <w:autoSpaceDE w:val="0"/>
              <w:autoSpaceDN w:val="0"/>
              <w:adjustRightInd w:val="0"/>
              <w:spacing w:line="240" w:lineRule="auto"/>
              <w:rPr>
                <w:rFonts w:eastAsia="SimSun"/>
              </w:rPr>
            </w:pPr>
            <w:r w:rsidRPr="003013D6">
              <w:t>Investigations</w:t>
            </w:r>
          </w:p>
        </w:tc>
        <w:tc>
          <w:tcPr>
            <w:tcW w:w="1458" w:type="pct"/>
            <w:vAlign w:val="center"/>
          </w:tcPr>
          <w:p w14:paraId="523EC8EE" w14:textId="77777777" w:rsidR="00124AD4" w:rsidRPr="003013D6" w:rsidRDefault="001D0951" w:rsidP="00E76935">
            <w:pPr>
              <w:keepNext/>
              <w:keepLines/>
              <w:autoSpaceDE w:val="0"/>
              <w:autoSpaceDN w:val="0"/>
              <w:adjustRightInd w:val="0"/>
              <w:spacing w:line="240" w:lineRule="auto"/>
              <w:jc w:val="center"/>
              <w:rPr>
                <w:szCs w:val="22"/>
              </w:rPr>
            </w:pPr>
            <w:r w:rsidRPr="003013D6">
              <w:t>Very common</w:t>
            </w:r>
          </w:p>
        </w:tc>
        <w:tc>
          <w:tcPr>
            <w:tcW w:w="1667" w:type="pct"/>
            <w:shd w:val="clear" w:color="auto" w:fill="auto"/>
            <w:vAlign w:val="center"/>
          </w:tcPr>
          <w:p w14:paraId="4DAF258E" w14:textId="77777777" w:rsidR="00124AD4" w:rsidRPr="003013D6" w:rsidRDefault="001D0951" w:rsidP="00E76935">
            <w:pPr>
              <w:keepNext/>
              <w:keepLines/>
              <w:autoSpaceDE w:val="0"/>
              <w:autoSpaceDN w:val="0"/>
              <w:adjustRightInd w:val="0"/>
              <w:spacing w:line="240" w:lineRule="auto"/>
              <w:jc w:val="center"/>
              <w:rPr>
                <w:szCs w:val="22"/>
              </w:rPr>
            </w:pPr>
            <w:r w:rsidRPr="003013D6">
              <w:t>Vitamin D decreased</w:t>
            </w:r>
            <w:r w:rsidR="00E032E7" w:rsidRPr="003013D6">
              <w:rPr>
                <w:vertAlign w:val="superscript"/>
              </w:rPr>
              <w:t>6</w:t>
            </w:r>
          </w:p>
        </w:tc>
      </w:tr>
    </w:tbl>
    <w:p w14:paraId="71C4F42B" w14:textId="77777777" w:rsidR="00357C85" w:rsidRPr="003013D6" w:rsidRDefault="00357C85" w:rsidP="001B0C3D">
      <w:pPr>
        <w:keepNext/>
        <w:keepLines/>
        <w:autoSpaceDE w:val="0"/>
        <w:autoSpaceDN w:val="0"/>
        <w:adjustRightInd w:val="0"/>
        <w:spacing w:line="240" w:lineRule="auto"/>
        <w:jc w:val="both"/>
        <w:rPr>
          <w:sz w:val="16"/>
          <w:szCs w:val="22"/>
          <w:vertAlign w:val="superscript"/>
        </w:rPr>
      </w:pPr>
    </w:p>
    <w:p w14:paraId="2BD80EDB" w14:textId="77777777" w:rsidR="001B0C3D" w:rsidRPr="003013D6" w:rsidRDefault="001D0951" w:rsidP="001B0C3D">
      <w:pPr>
        <w:keepNext/>
        <w:keepLines/>
        <w:autoSpaceDE w:val="0"/>
        <w:autoSpaceDN w:val="0"/>
        <w:adjustRightInd w:val="0"/>
        <w:spacing w:line="240" w:lineRule="auto"/>
        <w:jc w:val="both"/>
        <w:rPr>
          <w:i/>
          <w:sz w:val="18"/>
          <w:szCs w:val="18"/>
        </w:rPr>
      </w:pPr>
      <w:r w:rsidRPr="003013D6">
        <w:rPr>
          <w:sz w:val="18"/>
          <w:szCs w:val="18"/>
          <w:vertAlign w:val="superscript"/>
        </w:rPr>
        <w:t>1</w:t>
      </w:r>
      <w:r w:rsidRPr="003013D6">
        <w:rPr>
          <w:sz w:val="18"/>
          <w:szCs w:val="18"/>
        </w:rPr>
        <w:t xml:space="preserve">Tooth abscess includes: </w:t>
      </w:r>
      <w:r w:rsidRPr="003013D6">
        <w:rPr>
          <w:i/>
          <w:sz w:val="18"/>
          <w:szCs w:val="18"/>
        </w:rPr>
        <w:t>Tooth abscess, Tooth infection and Toothache</w:t>
      </w:r>
    </w:p>
    <w:p w14:paraId="1ABEBD81" w14:textId="77777777" w:rsidR="001B0C3D" w:rsidRPr="003013D6" w:rsidRDefault="001D0951" w:rsidP="001B0C3D">
      <w:pPr>
        <w:keepNext/>
        <w:keepLines/>
        <w:autoSpaceDE w:val="0"/>
        <w:autoSpaceDN w:val="0"/>
        <w:adjustRightInd w:val="0"/>
        <w:spacing w:line="240" w:lineRule="auto"/>
        <w:jc w:val="both"/>
        <w:rPr>
          <w:sz w:val="18"/>
          <w:szCs w:val="18"/>
        </w:rPr>
      </w:pPr>
      <w:r w:rsidRPr="003013D6">
        <w:rPr>
          <w:sz w:val="18"/>
          <w:szCs w:val="18"/>
          <w:vertAlign w:val="superscript"/>
        </w:rPr>
        <w:t>2</w:t>
      </w:r>
      <w:r w:rsidRPr="003013D6">
        <w:rPr>
          <w:sz w:val="18"/>
          <w:szCs w:val="18"/>
        </w:rPr>
        <w:t xml:space="preserve">Cough includes: </w:t>
      </w:r>
      <w:r w:rsidRPr="003013D6">
        <w:rPr>
          <w:i/>
          <w:sz w:val="18"/>
          <w:szCs w:val="18"/>
        </w:rPr>
        <w:t>Cough, and Productive cough</w:t>
      </w:r>
    </w:p>
    <w:p w14:paraId="2278BE74" w14:textId="77777777" w:rsidR="001B0C3D" w:rsidRPr="003013D6" w:rsidRDefault="001D0951" w:rsidP="001B0C3D">
      <w:pPr>
        <w:keepNext/>
        <w:keepLines/>
        <w:autoSpaceDE w:val="0"/>
        <w:autoSpaceDN w:val="0"/>
        <w:adjustRightInd w:val="0"/>
        <w:spacing w:line="240" w:lineRule="auto"/>
        <w:jc w:val="both"/>
        <w:rPr>
          <w:sz w:val="18"/>
          <w:szCs w:val="18"/>
        </w:rPr>
      </w:pPr>
      <w:r w:rsidRPr="003013D6">
        <w:rPr>
          <w:sz w:val="18"/>
          <w:szCs w:val="18"/>
          <w:vertAlign w:val="superscript"/>
        </w:rPr>
        <w:t>3</w:t>
      </w:r>
      <w:r w:rsidRPr="003013D6">
        <w:rPr>
          <w:sz w:val="18"/>
          <w:szCs w:val="18"/>
        </w:rPr>
        <w:t xml:space="preserve">Dizziness includes: </w:t>
      </w:r>
      <w:r w:rsidRPr="003013D6">
        <w:rPr>
          <w:i/>
          <w:sz w:val="18"/>
          <w:szCs w:val="18"/>
        </w:rPr>
        <w:t>Dizziness, and Dizziness exertional</w:t>
      </w:r>
    </w:p>
    <w:p w14:paraId="0D2F31A6" w14:textId="77777777" w:rsidR="001B0C3D" w:rsidRPr="003013D6" w:rsidRDefault="001D0951" w:rsidP="001B0C3D">
      <w:pPr>
        <w:keepNext/>
        <w:keepLines/>
        <w:autoSpaceDE w:val="0"/>
        <w:autoSpaceDN w:val="0"/>
        <w:adjustRightInd w:val="0"/>
        <w:spacing w:line="240" w:lineRule="auto"/>
        <w:jc w:val="both"/>
        <w:rPr>
          <w:sz w:val="18"/>
          <w:szCs w:val="18"/>
        </w:rPr>
      </w:pPr>
      <w:r w:rsidRPr="003013D6">
        <w:rPr>
          <w:sz w:val="18"/>
          <w:szCs w:val="18"/>
          <w:vertAlign w:val="superscript"/>
        </w:rPr>
        <w:t>4</w:t>
      </w:r>
      <w:r w:rsidRPr="003013D6">
        <w:rPr>
          <w:sz w:val="18"/>
          <w:szCs w:val="18"/>
        </w:rPr>
        <w:t>Rash includes:</w:t>
      </w:r>
      <w:r w:rsidRPr="003013D6">
        <w:rPr>
          <w:i/>
          <w:sz w:val="18"/>
          <w:szCs w:val="18"/>
        </w:rPr>
        <w:t xml:space="preserve"> Rash, Rash erythematous, Rash generalised, Rash pruritic, Rash maculo-papular, and Rash pustular</w:t>
      </w:r>
      <w:r w:rsidRPr="003013D6">
        <w:rPr>
          <w:sz w:val="18"/>
          <w:szCs w:val="18"/>
        </w:rPr>
        <w:t xml:space="preserve"> </w:t>
      </w:r>
    </w:p>
    <w:p w14:paraId="6690680C" w14:textId="77777777" w:rsidR="001B0C3D" w:rsidRPr="003013D6" w:rsidRDefault="001D0951" w:rsidP="001B0C3D">
      <w:pPr>
        <w:keepNext/>
        <w:keepLines/>
        <w:autoSpaceDE w:val="0"/>
        <w:autoSpaceDN w:val="0"/>
        <w:adjustRightInd w:val="0"/>
        <w:spacing w:line="240" w:lineRule="auto"/>
        <w:jc w:val="both"/>
        <w:rPr>
          <w:i/>
          <w:sz w:val="18"/>
          <w:szCs w:val="18"/>
        </w:rPr>
      </w:pPr>
      <w:r w:rsidRPr="003013D6">
        <w:rPr>
          <w:sz w:val="18"/>
          <w:szCs w:val="18"/>
          <w:vertAlign w:val="superscript"/>
        </w:rPr>
        <w:t>5</w:t>
      </w:r>
      <w:r w:rsidRPr="003013D6">
        <w:rPr>
          <w:sz w:val="18"/>
          <w:szCs w:val="18"/>
        </w:rPr>
        <w:t xml:space="preserve">Injection site reaction includes: </w:t>
      </w:r>
      <w:r w:rsidRPr="003013D6">
        <w:rPr>
          <w:i/>
          <w:sz w:val="18"/>
          <w:szCs w:val="18"/>
        </w:rPr>
        <w:t>Injection site reaction, Injection site erythema, Injection site pruritus, Injection site swelling, Injection site pain, Injection site rash, Injection site bruising, Injection site discolouration, Injection site discomfort, Injection site haematoma, Injection site haemorrhage, Injection site induration, Injection site macule, and Injection site urticaria</w:t>
      </w:r>
    </w:p>
    <w:p w14:paraId="4CF47DC8" w14:textId="77777777" w:rsidR="00124AD4" w:rsidRPr="00A70520" w:rsidRDefault="001D0951" w:rsidP="001B0C3D">
      <w:pPr>
        <w:keepNext/>
        <w:keepLines/>
        <w:autoSpaceDE w:val="0"/>
        <w:autoSpaceDN w:val="0"/>
        <w:adjustRightInd w:val="0"/>
        <w:spacing w:line="240" w:lineRule="auto"/>
        <w:jc w:val="both"/>
        <w:rPr>
          <w:sz w:val="18"/>
          <w:szCs w:val="18"/>
        </w:rPr>
      </w:pPr>
      <w:r w:rsidRPr="003013D6">
        <w:rPr>
          <w:sz w:val="18"/>
          <w:szCs w:val="18"/>
          <w:vertAlign w:val="superscript"/>
        </w:rPr>
        <w:t>6</w:t>
      </w:r>
      <w:r w:rsidRPr="003013D6">
        <w:rPr>
          <w:sz w:val="18"/>
          <w:szCs w:val="18"/>
        </w:rPr>
        <w:t xml:space="preserve">Vitamin D decreased includes: </w:t>
      </w:r>
      <w:r w:rsidRPr="003013D6">
        <w:rPr>
          <w:i/>
          <w:sz w:val="18"/>
          <w:szCs w:val="18"/>
        </w:rPr>
        <w:t>Vitamin D deficiency, Blood 25-hydroxycholecalciferol decreased, and Vitamin D decreased</w:t>
      </w:r>
    </w:p>
    <w:p w14:paraId="5A8A514C" w14:textId="77777777" w:rsidR="008C393A" w:rsidRDefault="008C393A" w:rsidP="5F2EC82B">
      <w:pPr>
        <w:autoSpaceDE w:val="0"/>
        <w:autoSpaceDN w:val="0"/>
        <w:adjustRightInd w:val="0"/>
        <w:spacing w:line="240" w:lineRule="auto"/>
        <w:jc w:val="both"/>
        <w:rPr>
          <w:u w:val="single"/>
        </w:rPr>
      </w:pPr>
    </w:p>
    <w:p w14:paraId="62D3DAA0" w14:textId="0FACC3FA" w:rsidR="00737B67" w:rsidRPr="00B96FD0" w:rsidRDefault="00737B67" w:rsidP="00737B67">
      <w:pPr>
        <w:autoSpaceDE w:val="0"/>
        <w:autoSpaceDN w:val="0"/>
        <w:adjustRightInd w:val="0"/>
        <w:spacing w:line="240" w:lineRule="auto"/>
        <w:jc w:val="both"/>
        <w:rPr>
          <w:szCs w:val="22"/>
        </w:rPr>
      </w:pPr>
      <w:r>
        <w:t>An overview of adverse reactions observed from clinical trials</w:t>
      </w:r>
      <w:r w:rsidRPr="006E6C7C">
        <w:t xml:space="preserve"> </w:t>
      </w:r>
      <w:r>
        <w:t>in adults is presented in Table 2</w:t>
      </w:r>
      <w:r w:rsidR="006D1EBB">
        <w:t>.</w:t>
      </w:r>
    </w:p>
    <w:p w14:paraId="075DC32E" w14:textId="77777777" w:rsidR="006E6C7C" w:rsidRDefault="006E6C7C" w:rsidP="5F2EC82B">
      <w:pPr>
        <w:autoSpaceDE w:val="0"/>
        <w:autoSpaceDN w:val="0"/>
        <w:adjustRightInd w:val="0"/>
        <w:spacing w:line="240" w:lineRule="auto"/>
        <w:jc w:val="both"/>
        <w:rPr>
          <w:u w:val="single"/>
        </w:rPr>
      </w:pPr>
    </w:p>
    <w:p w14:paraId="331564C6" w14:textId="64DF68C4" w:rsidR="006E6C7C" w:rsidRPr="00E52698" w:rsidRDefault="00737B67" w:rsidP="006E6C7C">
      <w:pPr>
        <w:pStyle w:val="Caption"/>
        <w:keepNext/>
        <w:keepLines/>
        <w:spacing w:line="240" w:lineRule="auto"/>
        <w:rPr>
          <w:sz w:val="22"/>
          <w:szCs w:val="22"/>
        </w:rPr>
      </w:pPr>
      <w:r>
        <w:rPr>
          <w:sz w:val="22"/>
          <w:szCs w:val="22"/>
        </w:rPr>
        <w:t xml:space="preserve">Table 2: </w:t>
      </w:r>
      <w:r w:rsidR="006E6C7C">
        <w:rPr>
          <w:sz w:val="22"/>
          <w:szCs w:val="22"/>
        </w:rPr>
        <w:t xml:space="preserve">Adverse reactions reported in adults with XLH </w:t>
      </w:r>
      <w:r w:rsidR="006E6C7C" w:rsidRPr="001632CF">
        <w:rPr>
          <w:sz w:val="22"/>
          <w:szCs w:val="22"/>
        </w:rPr>
        <w:t>(N=176)</w:t>
      </w:r>
    </w:p>
    <w:p w14:paraId="56C7C816" w14:textId="77777777" w:rsidR="006E6C7C" w:rsidRDefault="006E6C7C" w:rsidP="006E6C7C">
      <w:pPr>
        <w:keepNext/>
        <w:keepLines/>
        <w:autoSpaceDE w:val="0"/>
        <w:autoSpaceDN w:val="0"/>
        <w:adjustRightInd w:val="0"/>
        <w:spacing w:line="240" w:lineRule="auto"/>
        <w:jc w:val="both"/>
        <w:rPr>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8"/>
        <w:gridCol w:w="2642"/>
        <w:gridCol w:w="3021"/>
      </w:tblGrid>
      <w:tr w:rsidR="006E6C7C" w14:paraId="58F4D072" w14:textId="77777777" w:rsidTr="009D7673">
        <w:tc>
          <w:tcPr>
            <w:tcW w:w="1875" w:type="pct"/>
            <w:tcBorders>
              <w:top w:val="single" w:sz="4" w:space="0" w:color="auto"/>
              <w:left w:val="single" w:sz="4" w:space="0" w:color="auto"/>
              <w:bottom w:val="single" w:sz="4" w:space="0" w:color="auto"/>
              <w:right w:val="single" w:sz="4" w:space="0" w:color="auto"/>
            </w:tcBorders>
            <w:hideMark/>
          </w:tcPr>
          <w:p w14:paraId="4953CAC2" w14:textId="77777777" w:rsidR="006E6C7C" w:rsidRDefault="006E6C7C" w:rsidP="009D7673">
            <w:pPr>
              <w:autoSpaceDE w:val="0"/>
              <w:autoSpaceDN w:val="0"/>
              <w:adjustRightInd w:val="0"/>
              <w:spacing w:line="240" w:lineRule="auto"/>
              <w:rPr>
                <w:b/>
                <w:bCs/>
                <w:lang w:val="en-US"/>
              </w:rPr>
            </w:pPr>
            <w:r>
              <w:rPr>
                <w:b/>
                <w:bCs/>
                <w:lang w:val="en-US"/>
              </w:rPr>
              <w:t>MedDRA System Organ Class</w:t>
            </w:r>
          </w:p>
        </w:tc>
        <w:tc>
          <w:tcPr>
            <w:tcW w:w="1458" w:type="pct"/>
            <w:tcBorders>
              <w:top w:val="single" w:sz="4" w:space="0" w:color="auto"/>
              <w:left w:val="single" w:sz="4" w:space="0" w:color="auto"/>
              <w:bottom w:val="single" w:sz="4" w:space="0" w:color="auto"/>
              <w:right w:val="single" w:sz="4" w:space="0" w:color="auto"/>
            </w:tcBorders>
            <w:hideMark/>
          </w:tcPr>
          <w:p w14:paraId="2E965B5B" w14:textId="77777777" w:rsidR="006E6C7C" w:rsidRDefault="006E6C7C" w:rsidP="009D7673">
            <w:pPr>
              <w:autoSpaceDE w:val="0"/>
              <w:autoSpaceDN w:val="0"/>
              <w:adjustRightInd w:val="0"/>
              <w:spacing w:line="240" w:lineRule="auto"/>
              <w:jc w:val="center"/>
              <w:rPr>
                <w:b/>
                <w:bCs/>
                <w:lang w:val="en-US"/>
              </w:rPr>
            </w:pPr>
            <w:r>
              <w:rPr>
                <w:b/>
                <w:bCs/>
                <w:lang w:val="en-US"/>
              </w:rPr>
              <w:t>Frequency Category</w:t>
            </w:r>
          </w:p>
        </w:tc>
        <w:tc>
          <w:tcPr>
            <w:tcW w:w="1667" w:type="pct"/>
            <w:tcBorders>
              <w:top w:val="single" w:sz="4" w:space="0" w:color="auto"/>
              <w:left w:val="single" w:sz="4" w:space="0" w:color="auto"/>
              <w:bottom w:val="single" w:sz="4" w:space="0" w:color="auto"/>
              <w:right w:val="single" w:sz="4" w:space="0" w:color="auto"/>
            </w:tcBorders>
            <w:hideMark/>
          </w:tcPr>
          <w:p w14:paraId="593B7498" w14:textId="77777777" w:rsidR="006E6C7C" w:rsidRDefault="006E6C7C" w:rsidP="009D7673">
            <w:pPr>
              <w:autoSpaceDE w:val="0"/>
              <w:autoSpaceDN w:val="0"/>
              <w:adjustRightInd w:val="0"/>
              <w:spacing w:line="240" w:lineRule="auto"/>
              <w:jc w:val="center"/>
              <w:rPr>
                <w:b/>
                <w:bCs/>
                <w:lang w:val="en-US"/>
              </w:rPr>
            </w:pPr>
            <w:r>
              <w:rPr>
                <w:b/>
                <w:bCs/>
                <w:lang w:val="en-US"/>
              </w:rPr>
              <w:t>Adverse Reaction</w:t>
            </w:r>
          </w:p>
        </w:tc>
      </w:tr>
      <w:tr w:rsidR="006E6C7C" w14:paraId="3C521908" w14:textId="77777777" w:rsidTr="009D7673">
        <w:tc>
          <w:tcPr>
            <w:tcW w:w="1875" w:type="pct"/>
            <w:tcBorders>
              <w:top w:val="single" w:sz="4" w:space="0" w:color="auto"/>
              <w:left w:val="single" w:sz="4" w:space="0" w:color="auto"/>
              <w:bottom w:val="single" w:sz="4" w:space="0" w:color="auto"/>
              <w:right w:val="single" w:sz="4" w:space="0" w:color="auto"/>
            </w:tcBorders>
            <w:vAlign w:val="center"/>
          </w:tcPr>
          <w:p w14:paraId="42ED8E77" w14:textId="77777777" w:rsidR="006E6C7C" w:rsidRDefault="006E6C7C" w:rsidP="009D7673">
            <w:pPr>
              <w:autoSpaceDE w:val="0"/>
              <w:autoSpaceDN w:val="0"/>
              <w:adjustRightInd w:val="0"/>
              <w:spacing w:line="240" w:lineRule="auto"/>
              <w:rPr>
                <w:b/>
                <w:bCs/>
                <w:lang w:val="en-US"/>
              </w:rPr>
            </w:pPr>
            <w:r>
              <w:rPr>
                <w:rFonts w:eastAsia="SimSun"/>
                <w:lang w:val="en-US"/>
              </w:rPr>
              <w:t>Infections and infestations</w:t>
            </w:r>
          </w:p>
        </w:tc>
        <w:tc>
          <w:tcPr>
            <w:tcW w:w="1458" w:type="pct"/>
            <w:tcBorders>
              <w:top w:val="single" w:sz="4" w:space="0" w:color="auto"/>
              <w:left w:val="single" w:sz="4" w:space="0" w:color="auto"/>
              <w:bottom w:val="single" w:sz="4" w:space="0" w:color="auto"/>
              <w:right w:val="single" w:sz="4" w:space="0" w:color="auto"/>
            </w:tcBorders>
            <w:vAlign w:val="center"/>
          </w:tcPr>
          <w:p w14:paraId="2E7F3809" w14:textId="77777777" w:rsidR="006E6C7C" w:rsidRDefault="006E6C7C" w:rsidP="009D7673">
            <w:pPr>
              <w:autoSpaceDE w:val="0"/>
              <w:autoSpaceDN w:val="0"/>
              <w:adjustRightInd w:val="0"/>
              <w:spacing w:line="240" w:lineRule="auto"/>
              <w:jc w:val="center"/>
              <w:rPr>
                <w:b/>
                <w:bCs/>
                <w:lang w:val="en-US"/>
              </w:rPr>
            </w:pPr>
            <w:r>
              <w:rPr>
                <w:lang w:val="en-US"/>
              </w:rPr>
              <w:t>Very common</w:t>
            </w:r>
          </w:p>
        </w:tc>
        <w:tc>
          <w:tcPr>
            <w:tcW w:w="1667" w:type="pct"/>
            <w:tcBorders>
              <w:top w:val="single" w:sz="4" w:space="0" w:color="auto"/>
              <w:left w:val="single" w:sz="4" w:space="0" w:color="auto"/>
              <w:bottom w:val="single" w:sz="4" w:space="0" w:color="auto"/>
              <w:right w:val="single" w:sz="4" w:space="0" w:color="auto"/>
            </w:tcBorders>
            <w:vAlign w:val="center"/>
          </w:tcPr>
          <w:p w14:paraId="61956BB6" w14:textId="77777777" w:rsidR="006E6C7C" w:rsidRDefault="006E6C7C" w:rsidP="009D7673">
            <w:pPr>
              <w:autoSpaceDE w:val="0"/>
              <w:autoSpaceDN w:val="0"/>
              <w:adjustRightInd w:val="0"/>
              <w:spacing w:line="240" w:lineRule="auto"/>
              <w:jc w:val="center"/>
              <w:rPr>
                <w:b/>
                <w:bCs/>
                <w:lang w:val="en-US"/>
              </w:rPr>
            </w:pPr>
            <w:r>
              <w:rPr>
                <w:lang w:val="en-US"/>
              </w:rPr>
              <w:t>Tooth infection</w:t>
            </w:r>
            <w:r w:rsidRPr="00022F7D">
              <w:rPr>
                <w:vertAlign w:val="superscript"/>
                <w:lang w:val="en-US"/>
              </w:rPr>
              <w:t>1</w:t>
            </w:r>
          </w:p>
        </w:tc>
      </w:tr>
      <w:tr w:rsidR="006E6C7C" w14:paraId="309ECC21" w14:textId="77777777" w:rsidTr="009D7673">
        <w:tc>
          <w:tcPr>
            <w:tcW w:w="1875" w:type="pct"/>
            <w:vMerge w:val="restart"/>
            <w:tcBorders>
              <w:top w:val="single" w:sz="4" w:space="0" w:color="auto"/>
              <w:left w:val="single" w:sz="4" w:space="0" w:color="auto"/>
              <w:bottom w:val="single" w:sz="4" w:space="0" w:color="auto"/>
              <w:right w:val="single" w:sz="4" w:space="0" w:color="auto"/>
            </w:tcBorders>
            <w:vAlign w:val="center"/>
            <w:hideMark/>
          </w:tcPr>
          <w:p w14:paraId="349721AC" w14:textId="77777777" w:rsidR="006E6C7C" w:rsidRDefault="006E6C7C" w:rsidP="009D7673">
            <w:pPr>
              <w:autoSpaceDE w:val="0"/>
              <w:autoSpaceDN w:val="0"/>
              <w:adjustRightInd w:val="0"/>
              <w:spacing w:line="240" w:lineRule="auto"/>
              <w:rPr>
                <w:rFonts w:eastAsia="SimSun"/>
                <w:lang w:val="en-US"/>
              </w:rPr>
            </w:pPr>
            <w:r>
              <w:rPr>
                <w:rFonts w:eastAsia="SimSun"/>
                <w:lang w:val="en-US"/>
              </w:rPr>
              <w:t>Nervous system disorders</w:t>
            </w:r>
          </w:p>
        </w:tc>
        <w:tc>
          <w:tcPr>
            <w:tcW w:w="1458" w:type="pct"/>
            <w:tcBorders>
              <w:top w:val="single" w:sz="4" w:space="0" w:color="auto"/>
              <w:left w:val="single" w:sz="4" w:space="0" w:color="auto"/>
              <w:bottom w:val="single" w:sz="4" w:space="0" w:color="auto"/>
              <w:right w:val="single" w:sz="4" w:space="0" w:color="auto"/>
            </w:tcBorders>
            <w:vAlign w:val="center"/>
            <w:hideMark/>
          </w:tcPr>
          <w:p w14:paraId="24F38E31" w14:textId="77777777" w:rsidR="006E6C7C" w:rsidRDefault="006E6C7C" w:rsidP="009D7673">
            <w:pPr>
              <w:autoSpaceDE w:val="0"/>
              <w:autoSpaceDN w:val="0"/>
              <w:adjustRightInd w:val="0"/>
              <w:spacing w:line="240" w:lineRule="auto"/>
              <w:jc w:val="center"/>
              <w:rPr>
                <w:szCs w:val="22"/>
                <w:lang w:val="en-US"/>
              </w:rPr>
            </w:pPr>
            <w:r>
              <w:rPr>
                <w:lang w:val="en-US"/>
              </w:rPr>
              <w:t>Very common</w:t>
            </w:r>
          </w:p>
        </w:tc>
        <w:tc>
          <w:tcPr>
            <w:tcW w:w="1667" w:type="pct"/>
            <w:tcBorders>
              <w:top w:val="single" w:sz="4" w:space="0" w:color="auto"/>
              <w:left w:val="single" w:sz="4" w:space="0" w:color="auto"/>
              <w:bottom w:val="single" w:sz="4" w:space="0" w:color="auto"/>
              <w:right w:val="single" w:sz="4" w:space="0" w:color="auto"/>
            </w:tcBorders>
            <w:vAlign w:val="center"/>
            <w:hideMark/>
          </w:tcPr>
          <w:p w14:paraId="2EA2A4F3" w14:textId="77777777" w:rsidR="006E6C7C" w:rsidRDefault="006E6C7C" w:rsidP="009D7673">
            <w:pPr>
              <w:autoSpaceDE w:val="0"/>
              <w:autoSpaceDN w:val="0"/>
              <w:adjustRightInd w:val="0"/>
              <w:spacing w:line="240" w:lineRule="auto"/>
              <w:jc w:val="center"/>
              <w:rPr>
                <w:szCs w:val="22"/>
                <w:vertAlign w:val="superscript"/>
                <w:lang w:val="en-US"/>
              </w:rPr>
            </w:pPr>
            <w:r>
              <w:rPr>
                <w:lang w:val="en-US"/>
              </w:rPr>
              <w:t>Headache</w:t>
            </w:r>
            <w:r w:rsidRPr="00022F7D">
              <w:rPr>
                <w:vertAlign w:val="superscript"/>
                <w:lang w:val="en-US"/>
              </w:rPr>
              <w:t>2</w:t>
            </w:r>
          </w:p>
        </w:tc>
      </w:tr>
      <w:tr w:rsidR="006E6C7C" w14:paraId="79303626" w14:textId="77777777" w:rsidTr="009D7673">
        <w:tc>
          <w:tcPr>
            <w:tcW w:w="0" w:type="auto"/>
            <w:vMerge/>
            <w:tcBorders>
              <w:top w:val="single" w:sz="4" w:space="0" w:color="auto"/>
              <w:left w:val="single" w:sz="4" w:space="0" w:color="auto"/>
              <w:bottom w:val="single" w:sz="4" w:space="0" w:color="auto"/>
              <w:right w:val="single" w:sz="4" w:space="0" w:color="auto"/>
            </w:tcBorders>
            <w:vAlign w:val="center"/>
            <w:hideMark/>
          </w:tcPr>
          <w:p w14:paraId="5709DD43" w14:textId="77777777" w:rsidR="006E6C7C" w:rsidRDefault="006E6C7C" w:rsidP="009D7673">
            <w:pPr>
              <w:tabs>
                <w:tab w:val="clear" w:pos="567"/>
              </w:tabs>
              <w:spacing w:line="240" w:lineRule="auto"/>
              <w:rPr>
                <w:rFonts w:eastAsia="SimSun"/>
                <w:lang w:val="en-US"/>
              </w:rPr>
            </w:pPr>
          </w:p>
        </w:tc>
        <w:tc>
          <w:tcPr>
            <w:tcW w:w="1458" w:type="pct"/>
            <w:tcBorders>
              <w:top w:val="single" w:sz="4" w:space="0" w:color="auto"/>
              <w:left w:val="single" w:sz="4" w:space="0" w:color="auto"/>
              <w:bottom w:val="single" w:sz="4" w:space="0" w:color="auto"/>
              <w:right w:val="single" w:sz="4" w:space="0" w:color="auto"/>
            </w:tcBorders>
            <w:vAlign w:val="center"/>
            <w:hideMark/>
          </w:tcPr>
          <w:p w14:paraId="307A33EC" w14:textId="77777777" w:rsidR="006E6C7C" w:rsidRDefault="006E6C7C" w:rsidP="009D7673">
            <w:pPr>
              <w:autoSpaceDE w:val="0"/>
              <w:autoSpaceDN w:val="0"/>
              <w:adjustRightInd w:val="0"/>
              <w:spacing w:line="240" w:lineRule="auto"/>
              <w:jc w:val="center"/>
              <w:rPr>
                <w:szCs w:val="22"/>
                <w:lang w:val="en-US"/>
              </w:rPr>
            </w:pPr>
            <w:r>
              <w:rPr>
                <w:lang w:val="en-US"/>
              </w:rPr>
              <w:t>Very common</w:t>
            </w:r>
          </w:p>
        </w:tc>
        <w:tc>
          <w:tcPr>
            <w:tcW w:w="1667" w:type="pct"/>
            <w:tcBorders>
              <w:top w:val="single" w:sz="4" w:space="0" w:color="auto"/>
              <w:left w:val="single" w:sz="4" w:space="0" w:color="auto"/>
              <w:bottom w:val="single" w:sz="4" w:space="0" w:color="auto"/>
              <w:right w:val="single" w:sz="4" w:space="0" w:color="auto"/>
            </w:tcBorders>
            <w:vAlign w:val="center"/>
            <w:hideMark/>
          </w:tcPr>
          <w:p w14:paraId="5B26C3BE" w14:textId="77777777" w:rsidR="006E6C7C" w:rsidRDefault="006E6C7C" w:rsidP="009D7673">
            <w:pPr>
              <w:autoSpaceDE w:val="0"/>
              <w:autoSpaceDN w:val="0"/>
              <w:adjustRightInd w:val="0"/>
              <w:spacing w:line="240" w:lineRule="auto"/>
              <w:jc w:val="center"/>
              <w:rPr>
                <w:szCs w:val="22"/>
                <w:lang w:val="en-US"/>
              </w:rPr>
            </w:pPr>
            <w:r>
              <w:rPr>
                <w:lang w:val="en-US"/>
              </w:rPr>
              <w:t>Dizziness</w:t>
            </w:r>
          </w:p>
        </w:tc>
      </w:tr>
      <w:tr w:rsidR="006E6C7C" w14:paraId="6F35336B" w14:textId="77777777" w:rsidTr="009D7673">
        <w:tc>
          <w:tcPr>
            <w:tcW w:w="0" w:type="auto"/>
            <w:vMerge/>
            <w:tcBorders>
              <w:top w:val="single" w:sz="4" w:space="0" w:color="auto"/>
              <w:left w:val="single" w:sz="4" w:space="0" w:color="auto"/>
              <w:bottom w:val="single" w:sz="4" w:space="0" w:color="auto"/>
              <w:right w:val="single" w:sz="4" w:space="0" w:color="auto"/>
            </w:tcBorders>
            <w:vAlign w:val="center"/>
            <w:hideMark/>
          </w:tcPr>
          <w:p w14:paraId="499A3FBF" w14:textId="77777777" w:rsidR="006E6C7C" w:rsidRDefault="006E6C7C" w:rsidP="009D7673">
            <w:pPr>
              <w:tabs>
                <w:tab w:val="clear" w:pos="567"/>
              </w:tabs>
              <w:spacing w:line="240" w:lineRule="auto"/>
              <w:rPr>
                <w:rFonts w:eastAsia="SimSun"/>
                <w:lang w:val="en-US"/>
              </w:rPr>
            </w:pPr>
          </w:p>
        </w:tc>
        <w:tc>
          <w:tcPr>
            <w:tcW w:w="1458" w:type="pct"/>
            <w:tcBorders>
              <w:top w:val="single" w:sz="4" w:space="0" w:color="auto"/>
              <w:left w:val="single" w:sz="4" w:space="0" w:color="auto"/>
              <w:bottom w:val="single" w:sz="4" w:space="0" w:color="auto"/>
              <w:right w:val="single" w:sz="4" w:space="0" w:color="auto"/>
            </w:tcBorders>
            <w:vAlign w:val="center"/>
            <w:hideMark/>
          </w:tcPr>
          <w:p w14:paraId="3D8C6A9D" w14:textId="77777777" w:rsidR="006E6C7C" w:rsidRDefault="006E6C7C" w:rsidP="009D7673">
            <w:pPr>
              <w:autoSpaceDE w:val="0"/>
              <w:autoSpaceDN w:val="0"/>
              <w:adjustRightInd w:val="0"/>
              <w:spacing w:line="240" w:lineRule="auto"/>
              <w:jc w:val="center"/>
              <w:rPr>
                <w:lang w:val="en-US"/>
              </w:rPr>
            </w:pPr>
            <w:r>
              <w:rPr>
                <w:lang w:val="en-US"/>
              </w:rPr>
              <w:t>Very common</w:t>
            </w:r>
          </w:p>
        </w:tc>
        <w:tc>
          <w:tcPr>
            <w:tcW w:w="1667" w:type="pct"/>
            <w:tcBorders>
              <w:top w:val="single" w:sz="4" w:space="0" w:color="auto"/>
              <w:left w:val="single" w:sz="4" w:space="0" w:color="auto"/>
              <w:bottom w:val="single" w:sz="4" w:space="0" w:color="auto"/>
              <w:right w:val="single" w:sz="4" w:space="0" w:color="auto"/>
            </w:tcBorders>
            <w:vAlign w:val="center"/>
            <w:hideMark/>
          </w:tcPr>
          <w:p w14:paraId="4EE2D5E9" w14:textId="77777777" w:rsidR="006E6C7C" w:rsidRDefault="006E6C7C" w:rsidP="009D7673">
            <w:pPr>
              <w:autoSpaceDE w:val="0"/>
              <w:autoSpaceDN w:val="0"/>
              <w:adjustRightInd w:val="0"/>
              <w:spacing w:line="240" w:lineRule="auto"/>
              <w:jc w:val="center"/>
              <w:rPr>
                <w:lang w:val="en-US"/>
              </w:rPr>
            </w:pPr>
            <w:r>
              <w:rPr>
                <w:lang w:val="en-US"/>
              </w:rPr>
              <w:t>Restless legs syndrome</w:t>
            </w:r>
          </w:p>
        </w:tc>
      </w:tr>
      <w:tr w:rsidR="006E6C7C" w14:paraId="2B294791" w14:textId="77777777" w:rsidTr="009D7673">
        <w:tc>
          <w:tcPr>
            <w:tcW w:w="1875" w:type="pct"/>
            <w:tcBorders>
              <w:top w:val="single" w:sz="4" w:space="0" w:color="auto"/>
              <w:left w:val="single" w:sz="4" w:space="0" w:color="auto"/>
              <w:bottom w:val="single" w:sz="4" w:space="0" w:color="auto"/>
              <w:right w:val="single" w:sz="4" w:space="0" w:color="auto"/>
            </w:tcBorders>
            <w:vAlign w:val="center"/>
          </w:tcPr>
          <w:p w14:paraId="67027FA9" w14:textId="77777777" w:rsidR="006E6C7C" w:rsidRDefault="006E6C7C" w:rsidP="009D7673">
            <w:pPr>
              <w:autoSpaceDE w:val="0"/>
              <w:autoSpaceDN w:val="0"/>
              <w:adjustRightInd w:val="0"/>
              <w:spacing w:line="240" w:lineRule="auto"/>
              <w:rPr>
                <w:rFonts w:eastAsia="SimSun"/>
                <w:lang w:val="en-US"/>
              </w:rPr>
            </w:pPr>
            <w:r>
              <w:rPr>
                <w:rFonts w:eastAsia="SimSun"/>
                <w:lang w:val="en-US"/>
              </w:rPr>
              <w:t>Gastrointestinal disorders</w:t>
            </w:r>
          </w:p>
        </w:tc>
        <w:tc>
          <w:tcPr>
            <w:tcW w:w="1458" w:type="pct"/>
            <w:tcBorders>
              <w:top w:val="single" w:sz="4" w:space="0" w:color="auto"/>
              <w:left w:val="single" w:sz="4" w:space="0" w:color="auto"/>
              <w:bottom w:val="single" w:sz="4" w:space="0" w:color="auto"/>
              <w:right w:val="single" w:sz="4" w:space="0" w:color="auto"/>
            </w:tcBorders>
            <w:vAlign w:val="center"/>
          </w:tcPr>
          <w:p w14:paraId="65E876E5" w14:textId="77777777" w:rsidR="006E6C7C" w:rsidRDefault="006E6C7C" w:rsidP="009D7673">
            <w:pPr>
              <w:autoSpaceDE w:val="0"/>
              <w:autoSpaceDN w:val="0"/>
              <w:adjustRightInd w:val="0"/>
              <w:spacing w:line="240" w:lineRule="auto"/>
              <w:jc w:val="center"/>
              <w:rPr>
                <w:lang w:val="en-US"/>
              </w:rPr>
            </w:pPr>
            <w:r>
              <w:rPr>
                <w:lang w:val="en-US"/>
              </w:rPr>
              <w:t>Common</w:t>
            </w:r>
          </w:p>
        </w:tc>
        <w:tc>
          <w:tcPr>
            <w:tcW w:w="1667" w:type="pct"/>
            <w:tcBorders>
              <w:top w:val="single" w:sz="4" w:space="0" w:color="auto"/>
              <w:left w:val="single" w:sz="4" w:space="0" w:color="auto"/>
              <w:bottom w:val="single" w:sz="4" w:space="0" w:color="auto"/>
              <w:right w:val="single" w:sz="4" w:space="0" w:color="auto"/>
            </w:tcBorders>
            <w:vAlign w:val="center"/>
          </w:tcPr>
          <w:p w14:paraId="22261CBD" w14:textId="77777777" w:rsidR="006E6C7C" w:rsidRDefault="006E6C7C" w:rsidP="009D7673">
            <w:pPr>
              <w:autoSpaceDE w:val="0"/>
              <w:autoSpaceDN w:val="0"/>
              <w:adjustRightInd w:val="0"/>
              <w:spacing w:line="240" w:lineRule="auto"/>
              <w:jc w:val="center"/>
              <w:rPr>
                <w:lang w:val="en-US"/>
              </w:rPr>
            </w:pPr>
            <w:r>
              <w:rPr>
                <w:lang w:val="en-US"/>
              </w:rPr>
              <w:t>Constipation</w:t>
            </w:r>
          </w:p>
        </w:tc>
      </w:tr>
      <w:tr w:rsidR="006E6C7C" w14:paraId="75B2EDF4" w14:textId="77777777" w:rsidTr="009D7673">
        <w:tc>
          <w:tcPr>
            <w:tcW w:w="1875" w:type="pct"/>
            <w:vMerge w:val="restart"/>
            <w:tcBorders>
              <w:top w:val="single" w:sz="4" w:space="0" w:color="auto"/>
              <w:left w:val="single" w:sz="4" w:space="0" w:color="auto"/>
              <w:bottom w:val="single" w:sz="4" w:space="0" w:color="auto"/>
              <w:right w:val="single" w:sz="4" w:space="0" w:color="auto"/>
            </w:tcBorders>
            <w:vAlign w:val="center"/>
            <w:hideMark/>
          </w:tcPr>
          <w:p w14:paraId="69AB5566" w14:textId="77777777" w:rsidR="006E6C7C" w:rsidRDefault="006E6C7C" w:rsidP="009D7673">
            <w:pPr>
              <w:autoSpaceDE w:val="0"/>
              <w:autoSpaceDN w:val="0"/>
              <w:adjustRightInd w:val="0"/>
              <w:spacing w:line="240" w:lineRule="auto"/>
              <w:rPr>
                <w:rFonts w:eastAsia="SimSun"/>
                <w:lang w:val="en-US"/>
              </w:rPr>
            </w:pPr>
            <w:r>
              <w:rPr>
                <w:rFonts w:eastAsia="SimSun"/>
                <w:lang w:val="en-US"/>
              </w:rPr>
              <w:t>Musculoskeletal and connective tissue disorders</w:t>
            </w:r>
          </w:p>
        </w:tc>
        <w:tc>
          <w:tcPr>
            <w:tcW w:w="1458" w:type="pct"/>
            <w:tcBorders>
              <w:top w:val="single" w:sz="4" w:space="0" w:color="auto"/>
              <w:left w:val="single" w:sz="4" w:space="0" w:color="auto"/>
              <w:bottom w:val="single" w:sz="4" w:space="0" w:color="auto"/>
              <w:right w:val="single" w:sz="4" w:space="0" w:color="auto"/>
            </w:tcBorders>
            <w:vAlign w:val="center"/>
            <w:hideMark/>
          </w:tcPr>
          <w:p w14:paraId="6CF80E15" w14:textId="77777777" w:rsidR="006E6C7C" w:rsidRDefault="006E6C7C" w:rsidP="009D7673">
            <w:pPr>
              <w:autoSpaceDE w:val="0"/>
              <w:autoSpaceDN w:val="0"/>
              <w:adjustRightInd w:val="0"/>
              <w:spacing w:line="240" w:lineRule="auto"/>
              <w:jc w:val="center"/>
              <w:rPr>
                <w:szCs w:val="22"/>
                <w:lang w:val="en-US"/>
              </w:rPr>
            </w:pPr>
            <w:r>
              <w:rPr>
                <w:lang w:val="en-US"/>
              </w:rPr>
              <w:t>Very common</w:t>
            </w:r>
          </w:p>
        </w:tc>
        <w:tc>
          <w:tcPr>
            <w:tcW w:w="1667" w:type="pct"/>
            <w:tcBorders>
              <w:top w:val="single" w:sz="4" w:space="0" w:color="auto"/>
              <w:left w:val="single" w:sz="4" w:space="0" w:color="auto"/>
              <w:bottom w:val="single" w:sz="4" w:space="0" w:color="auto"/>
              <w:right w:val="single" w:sz="4" w:space="0" w:color="auto"/>
            </w:tcBorders>
            <w:vAlign w:val="center"/>
            <w:hideMark/>
          </w:tcPr>
          <w:p w14:paraId="03412847" w14:textId="77777777" w:rsidR="006E6C7C" w:rsidRDefault="006E6C7C" w:rsidP="009D7673">
            <w:pPr>
              <w:autoSpaceDE w:val="0"/>
              <w:autoSpaceDN w:val="0"/>
              <w:adjustRightInd w:val="0"/>
              <w:spacing w:line="240" w:lineRule="auto"/>
              <w:jc w:val="center"/>
              <w:rPr>
                <w:szCs w:val="22"/>
                <w:lang w:val="en-US"/>
              </w:rPr>
            </w:pPr>
            <w:r>
              <w:rPr>
                <w:lang w:val="en-US"/>
              </w:rPr>
              <w:t>Back pain</w:t>
            </w:r>
          </w:p>
        </w:tc>
      </w:tr>
      <w:tr w:rsidR="006E6C7C" w14:paraId="7230838C" w14:textId="77777777" w:rsidTr="009D7673">
        <w:tc>
          <w:tcPr>
            <w:tcW w:w="0" w:type="auto"/>
            <w:vMerge/>
            <w:tcBorders>
              <w:top w:val="single" w:sz="4" w:space="0" w:color="auto"/>
              <w:left w:val="single" w:sz="4" w:space="0" w:color="auto"/>
              <w:bottom w:val="single" w:sz="4" w:space="0" w:color="auto"/>
              <w:right w:val="single" w:sz="4" w:space="0" w:color="auto"/>
            </w:tcBorders>
            <w:vAlign w:val="center"/>
            <w:hideMark/>
          </w:tcPr>
          <w:p w14:paraId="6C5F9264" w14:textId="77777777" w:rsidR="006E6C7C" w:rsidRDefault="006E6C7C" w:rsidP="009D7673">
            <w:pPr>
              <w:tabs>
                <w:tab w:val="clear" w:pos="567"/>
              </w:tabs>
              <w:spacing w:line="240" w:lineRule="auto"/>
              <w:rPr>
                <w:rFonts w:eastAsia="SimSun"/>
                <w:lang w:val="en-US"/>
              </w:rPr>
            </w:pPr>
          </w:p>
        </w:tc>
        <w:tc>
          <w:tcPr>
            <w:tcW w:w="1458" w:type="pct"/>
            <w:tcBorders>
              <w:top w:val="single" w:sz="4" w:space="0" w:color="auto"/>
              <w:left w:val="single" w:sz="4" w:space="0" w:color="auto"/>
              <w:bottom w:val="single" w:sz="4" w:space="0" w:color="auto"/>
              <w:right w:val="single" w:sz="4" w:space="0" w:color="auto"/>
            </w:tcBorders>
            <w:vAlign w:val="center"/>
            <w:hideMark/>
          </w:tcPr>
          <w:p w14:paraId="297FF4B3" w14:textId="77777777" w:rsidR="006E6C7C" w:rsidRDefault="006E6C7C" w:rsidP="009D7673">
            <w:pPr>
              <w:autoSpaceDE w:val="0"/>
              <w:autoSpaceDN w:val="0"/>
              <w:adjustRightInd w:val="0"/>
              <w:spacing w:line="240" w:lineRule="auto"/>
              <w:jc w:val="center"/>
              <w:rPr>
                <w:lang w:val="en-US"/>
              </w:rPr>
            </w:pPr>
            <w:r>
              <w:rPr>
                <w:lang w:val="en-US"/>
              </w:rPr>
              <w:t>Very Common</w:t>
            </w:r>
          </w:p>
        </w:tc>
        <w:tc>
          <w:tcPr>
            <w:tcW w:w="1667" w:type="pct"/>
            <w:tcBorders>
              <w:top w:val="single" w:sz="4" w:space="0" w:color="auto"/>
              <w:left w:val="single" w:sz="4" w:space="0" w:color="auto"/>
              <w:bottom w:val="single" w:sz="4" w:space="0" w:color="auto"/>
              <w:right w:val="single" w:sz="4" w:space="0" w:color="auto"/>
            </w:tcBorders>
            <w:vAlign w:val="center"/>
            <w:hideMark/>
          </w:tcPr>
          <w:p w14:paraId="2CDB3FEF" w14:textId="77777777" w:rsidR="006E6C7C" w:rsidRDefault="006E6C7C" w:rsidP="009D7673">
            <w:pPr>
              <w:autoSpaceDE w:val="0"/>
              <w:autoSpaceDN w:val="0"/>
              <w:adjustRightInd w:val="0"/>
              <w:spacing w:line="240" w:lineRule="auto"/>
              <w:jc w:val="center"/>
              <w:rPr>
                <w:lang w:val="en-US"/>
              </w:rPr>
            </w:pPr>
            <w:r>
              <w:rPr>
                <w:lang w:val="en-US"/>
              </w:rPr>
              <w:t>Muscle spasms</w:t>
            </w:r>
          </w:p>
        </w:tc>
      </w:tr>
      <w:tr w:rsidR="006E6C7C" w14:paraId="4CAC3390" w14:textId="77777777" w:rsidTr="009D7673">
        <w:tc>
          <w:tcPr>
            <w:tcW w:w="1875" w:type="pct"/>
            <w:vMerge w:val="restart"/>
            <w:tcBorders>
              <w:top w:val="single" w:sz="4" w:space="0" w:color="auto"/>
              <w:left w:val="single" w:sz="4" w:space="0" w:color="auto"/>
              <w:bottom w:val="single" w:sz="4" w:space="0" w:color="auto"/>
              <w:right w:val="single" w:sz="4" w:space="0" w:color="auto"/>
            </w:tcBorders>
            <w:vAlign w:val="center"/>
            <w:hideMark/>
          </w:tcPr>
          <w:p w14:paraId="4A3375E3" w14:textId="77777777" w:rsidR="006E6C7C" w:rsidRDefault="006E6C7C" w:rsidP="009D7673">
            <w:pPr>
              <w:autoSpaceDE w:val="0"/>
              <w:autoSpaceDN w:val="0"/>
              <w:adjustRightInd w:val="0"/>
              <w:spacing w:line="240" w:lineRule="auto"/>
              <w:rPr>
                <w:rFonts w:eastAsia="SimSun"/>
                <w:lang w:val="en-US"/>
              </w:rPr>
            </w:pPr>
            <w:r>
              <w:rPr>
                <w:lang w:val="en-US"/>
              </w:rPr>
              <w:t>Investigations</w:t>
            </w:r>
          </w:p>
        </w:tc>
        <w:tc>
          <w:tcPr>
            <w:tcW w:w="1458" w:type="pct"/>
            <w:tcBorders>
              <w:top w:val="single" w:sz="4" w:space="0" w:color="auto"/>
              <w:left w:val="single" w:sz="4" w:space="0" w:color="auto"/>
              <w:bottom w:val="single" w:sz="4" w:space="0" w:color="auto"/>
              <w:right w:val="single" w:sz="4" w:space="0" w:color="auto"/>
            </w:tcBorders>
            <w:vAlign w:val="center"/>
            <w:hideMark/>
          </w:tcPr>
          <w:p w14:paraId="333E7230" w14:textId="77777777" w:rsidR="006E6C7C" w:rsidRDefault="006E6C7C" w:rsidP="009D7673">
            <w:pPr>
              <w:autoSpaceDE w:val="0"/>
              <w:autoSpaceDN w:val="0"/>
              <w:adjustRightInd w:val="0"/>
              <w:spacing w:line="240" w:lineRule="auto"/>
              <w:jc w:val="center"/>
              <w:rPr>
                <w:szCs w:val="22"/>
                <w:lang w:val="en-US"/>
              </w:rPr>
            </w:pPr>
            <w:r>
              <w:rPr>
                <w:lang w:val="en-US"/>
              </w:rPr>
              <w:t>Very common</w:t>
            </w:r>
          </w:p>
        </w:tc>
        <w:tc>
          <w:tcPr>
            <w:tcW w:w="1667" w:type="pct"/>
            <w:tcBorders>
              <w:top w:val="single" w:sz="4" w:space="0" w:color="auto"/>
              <w:left w:val="single" w:sz="4" w:space="0" w:color="auto"/>
              <w:bottom w:val="single" w:sz="4" w:space="0" w:color="auto"/>
              <w:right w:val="single" w:sz="4" w:space="0" w:color="auto"/>
            </w:tcBorders>
            <w:vAlign w:val="center"/>
            <w:hideMark/>
          </w:tcPr>
          <w:p w14:paraId="7DAF646A" w14:textId="77777777" w:rsidR="006E6C7C" w:rsidRDefault="006E6C7C" w:rsidP="009D7673">
            <w:pPr>
              <w:autoSpaceDE w:val="0"/>
              <w:autoSpaceDN w:val="0"/>
              <w:adjustRightInd w:val="0"/>
              <w:spacing w:line="240" w:lineRule="auto"/>
              <w:jc w:val="center"/>
              <w:rPr>
                <w:szCs w:val="22"/>
                <w:lang w:val="en-US"/>
              </w:rPr>
            </w:pPr>
            <w:r>
              <w:rPr>
                <w:lang w:val="en-US"/>
              </w:rPr>
              <w:t>Vitamin D decreased</w:t>
            </w:r>
            <w:r w:rsidRPr="00A01279">
              <w:rPr>
                <w:vertAlign w:val="superscript"/>
              </w:rPr>
              <w:t>3</w:t>
            </w:r>
          </w:p>
        </w:tc>
      </w:tr>
      <w:tr w:rsidR="006E6C7C" w14:paraId="31992E11" w14:textId="77777777" w:rsidTr="009D7673">
        <w:tc>
          <w:tcPr>
            <w:tcW w:w="0" w:type="auto"/>
            <w:vMerge/>
            <w:tcBorders>
              <w:top w:val="single" w:sz="4" w:space="0" w:color="auto"/>
              <w:left w:val="single" w:sz="4" w:space="0" w:color="auto"/>
              <w:bottom w:val="single" w:sz="4" w:space="0" w:color="auto"/>
              <w:right w:val="single" w:sz="4" w:space="0" w:color="auto"/>
            </w:tcBorders>
            <w:vAlign w:val="center"/>
            <w:hideMark/>
          </w:tcPr>
          <w:p w14:paraId="0542FB4D" w14:textId="77777777" w:rsidR="006E6C7C" w:rsidRDefault="006E6C7C" w:rsidP="009D7673">
            <w:pPr>
              <w:tabs>
                <w:tab w:val="clear" w:pos="567"/>
              </w:tabs>
              <w:spacing w:line="240" w:lineRule="auto"/>
              <w:rPr>
                <w:rFonts w:eastAsia="SimSun"/>
                <w:lang w:val="en-US"/>
              </w:rPr>
            </w:pPr>
          </w:p>
        </w:tc>
        <w:tc>
          <w:tcPr>
            <w:tcW w:w="1458" w:type="pct"/>
            <w:tcBorders>
              <w:top w:val="single" w:sz="4" w:space="0" w:color="auto"/>
              <w:left w:val="single" w:sz="4" w:space="0" w:color="auto"/>
              <w:bottom w:val="single" w:sz="4" w:space="0" w:color="auto"/>
              <w:right w:val="single" w:sz="4" w:space="0" w:color="auto"/>
            </w:tcBorders>
            <w:vAlign w:val="center"/>
            <w:hideMark/>
          </w:tcPr>
          <w:p w14:paraId="75AF603B" w14:textId="77777777" w:rsidR="006E6C7C" w:rsidRDefault="006E6C7C" w:rsidP="009D7673">
            <w:pPr>
              <w:autoSpaceDE w:val="0"/>
              <w:autoSpaceDN w:val="0"/>
              <w:adjustRightInd w:val="0"/>
              <w:spacing w:line="240" w:lineRule="auto"/>
              <w:jc w:val="center"/>
              <w:rPr>
                <w:lang w:val="en-US"/>
              </w:rPr>
            </w:pPr>
            <w:r>
              <w:rPr>
                <w:lang w:val="en-US"/>
              </w:rPr>
              <w:t>Common</w:t>
            </w:r>
          </w:p>
        </w:tc>
        <w:tc>
          <w:tcPr>
            <w:tcW w:w="1667" w:type="pct"/>
            <w:tcBorders>
              <w:top w:val="single" w:sz="4" w:space="0" w:color="auto"/>
              <w:left w:val="single" w:sz="4" w:space="0" w:color="auto"/>
              <w:bottom w:val="single" w:sz="4" w:space="0" w:color="auto"/>
              <w:right w:val="single" w:sz="4" w:space="0" w:color="auto"/>
            </w:tcBorders>
            <w:vAlign w:val="center"/>
            <w:hideMark/>
          </w:tcPr>
          <w:p w14:paraId="640BBE87" w14:textId="77777777" w:rsidR="006E6C7C" w:rsidRDefault="006E6C7C" w:rsidP="009D7673">
            <w:pPr>
              <w:autoSpaceDE w:val="0"/>
              <w:autoSpaceDN w:val="0"/>
              <w:adjustRightInd w:val="0"/>
              <w:spacing w:line="240" w:lineRule="auto"/>
              <w:jc w:val="center"/>
              <w:rPr>
                <w:lang w:val="en-US"/>
              </w:rPr>
            </w:pPr>
            <w:r>
              <w:rPr>
                <w:lang w:val="en-US"/>
              </w:rPr>
              <w:t>Blood phosphorus increased</w:t>
            </w:r>
            <w:r>
              <w:rPr>
                <w:vertAlign w:val="superscript"/>
                <w:lang w:val="en-US"/>
              </w:rPr>
              <w:t>4</w:t>
            </w:r>
          </w:p>
        </w:tc>
      </w:tr>
    </w:tbl>
    <w:p w14:paraId="527A8F31" w14:textId="77777777" w:rsidR="00796CF6" w:rsidRDefault="00796CF6" w:rsidP="006E6C7C">
      <w:pPr>
        <w:pStyle w:val="TableCellLeft"/>
        <w:spacing w:before="0" w:after="0"/>
        <w:rPr>
          <w:color w:val="000000" w:themeColor="text1"/>
          <w:sz w:val="16"/>
          <w:szCs w:val="16"/>
          <w:vertAlign w:val="superscript"/>
        </w:rPr>
      </w:pPr>
    </w:p>
    <w:p w14:paraId="5C8900AA" w14:textId="485A7D02" w:rsidR="006E6C7C" w:rsidRPr="00A01279" w:rsidRDefault="006E6C7C" w:rsidP="006E6C7C">
      <w:pPr>
        <w:pStyle w:val="TableCellLeft"/>
        <w:spacing w:before="0" w:after="0"/>
        <w:rPr>
          <w:color w:val="000000" w:themeColor="text1"/>
          <w:sz w:val="18"/>
          <w:szCs w:val="18"/>
        </w:rPr>
      </w:pPr>
      <w:r w:rsidRPr="003D4A13">
        <w:rPr>
          <w:color w:val="000000" w:themeColor="text1"/>
          <w:sz w:val="16"/>
          <w:szCs w:val="16"/>
          <w:vertAlign w:val="superscript"/>
        </w:rPr>
        <w:t>1</w:t>
      </w:r>
      <w:r w:rsidRPr="00E00AB4">
        <w:rPr>
          <w:rFonts w:ascii="Arial" w:hAnsi="Arial" w:cs="Arial"/>
          <w:color w:val="000000" w:themeColor="text1"/>
          <w:sz w:val="16"/>
          <w:szCs w:val="16"/>
          <w:vertAlign w:val="superscript"/>
        </w:rPr>
        <w:t xml:space="preserve"> </w:t>
      </w:r>
      <w:r w:rsidRPr="00A01279">
        <w:rPr>
          <w:color w:val="000000" w:themeColor="text1"/>
          <w:sz w:val="18"/>
          <w:szCs w:val="18"/>
        </w:rPr>
        <w:t xml:space="preserve">Tooth infection includes: </w:t>
      </w:r>
      <w:r w:rsidRPr="00A01279">
        <w:rPr>
          <w:i/>
          <w:iCs/>
          <w:color w:val="000000" w:themeColor="text1"/>
          <w:sz w:val="18"/>
          <w:szCs w:val="18"/>
        </w:rPr>
        <w:t>tooth abscess and tooth infectio</w:t>
      </w:r>
      <w:r>
        <w:rPr>
          <w:i/>
          <w:iCs/>
          <w:color w:val="000000" w:themeColor="text1"/>
          <w:sz w:val="18"/>
          <w:szCs w:val="18"/>
        </w:rPr>
        <w:t>n</w:t>
      </w:r>
    </w:p>
    <w:p w14:paraId="0EEB6655" w14:textId="77777777" w:rsidR="006E6C7C" w:rsidRPr="00A37D71" w:rsidRDefault="006E6C7C" w:rsidP="006E6C7C">
      <w:pPr>
        <w:pStyle w:val="TableCellLeft"/>
        <w:spacing w:before="0" w:after="0"/>
        <w:rPr>
          <w:color w:val="000000" w:themeColor="text1"/>
          <w:sz w:val="18"/>
          <w:szCs w:val="18"/>
        </w:rPr>
      </w:pPr>
      <w:r w:rsidRPr="003D4A13">
        <w:rPr>
          <w:color w:val="000000" w:themeColor="text1"/>
          <w:sz w:val="16"/>
          <w:szCs w:val="16"/>
          <w:vertAlign w:val="superscript"/>
        </w:rPr>
        <w:t xml:space="preserve">2 </w:t>
      </w:r>
      <w:r w:rsidRPr="00A01279">
        <w:rPr>
          <w:color w:val="000000" w:themeColor="text1"/>
          <w:sz w:val="18"/>
          <w:szCs w:val="18"/>
        </w:rPr>
        <w:t>Headache includes</w:t>
      </w:r>
      <w:r w:rsidRPr="00A01279">
        <w:rPr>
          <w:i/>
          <w:iCs/>
          <w:color w:val="000000" w:themeColor="text1"/>
          <w:sz w:val="18"/>
          <w:szCs w:val="18"/>
        </w:rPr>
        <w:t>: headache and head discomfort</w:t>
      </w:r>
      <w:r w:rsidRPr="00A01279">
        <w:rPr>
          <w:color w:val="000000" w:themeColor="text1"/>
          <w:sz w:val="18"/>
          <w:szCs w:val="18"/>
        </w:rPr>
        <w:t xml:space="preserve"> </w:t>
      </w:r>
    </w:p>
    <w:p w14:paraId="77C185EB" w14:textId="77777777" w:rsidR="006E6C7C" w:rsidRDefault="006E6C7C" w:rsidP="006E6C7C">
      <w:pPr>
        <w:keepNext/>
        <w:keepLines/>
        <w:autoSpaceDE w:val="0"/>
        <w:autoSpaceDN w:val="0"/>
        <w:adjustRightInd w:val="0"/>
        <w:spacing w:line="240" w:lineRule="auto"/>
        <w:jc w:val="both"/>
        <w:rPr>
          <w:i/>
          <w:sz w:val="18"/>
          <w:szCs w:val="18"/>
        </w:rPr>
      </w:pPr>
      <w:r w:rsidRPr="00583877">
        <w:rPr>
          <w:sz w:val="16"/>
          <w:szCs w:val="16"/>
          <w:vertAlign w:val="superscript"/>
        </w:rPr>
        <w:t>3</w:t>
      </w:r>
      <w:r w:rsidRPr="001632CF">
        <w:rPr>
          <w:sz w:val="18"/>
          <w:szCs w:val="18"/>
        </w:rPr>
        <w:t xml:space="preserve">Vitamin D decreased includes: </w:t>
      </w:r>
      <w:r w:rsidRPr="001632CF">
        <w:rPr>
          <w:i/>
          <w:sz w:val="18"/>
          <w:szCs w:val="18"/>
        </w:rPr>
        <w:t>Vitamin D deficiency, Blood 25-hydroxycholecalciferol decreased, and Vitamin D decreased</w:t>
      </w:r>
    </w:p>
    <w:p w14:paraId="563B8DAB" w14:textId="77777777" w:rsidR="006E6C7C" w:rsidRDefault="006E6C7C" w:rsidP="006E6C7C">
      <w:pPr>
        <w:autoSpaceDE w:val="0"/>
        <w:autoSpaceDN w:val="0"/>
        <w:adjustRightInd w:val="0"/>
        <w:spacing w:line="240" w:lineRule="auto"/>
        <w:jc w:val="both"/>
        <w:rPr>
          <w:u w:val="single"/>
        </w:rPr>
      </w:pPr>
      <w:r w:rsidRPr="00583877">
        <w:rPr>
          <w:sz w:val="16"/>
          <w:szCs w:val="16"/>
          <w:vertAlign w:val="superscript"/>
        </w:rPr>
        <w:t>4</w:t>
      </w:r>
      <w:r w:rsidRPr="001632CF">
        <w:rPr>
          <w:sz w:val="18"/>
          <w:szCs w:val="18"/>
        </w:rPr>
        <w:t xml:space="preserve">Blood phosphorus increased </w:t>
      </w:r>
      <w:proofErr w:type="gramStart"/>
      <w:r w:rsidRPr="001632CF">
        <w:rPr>
          <w:sz w:val="18"/>
          <w:szCs w:val="18"/>
        </w:rPr>
        <w:t>include</w:t>
      </w:r>
      <w:r>
        <w:rPr>
          <w:sz w:val="18"/>
          <w:szCs w:val="18"/>
        </w:rPr>
        <w:t>s:</w:t>
      </w:r>
      <w:proofErr w:type="gramEnd"/>
      <w:r w:rsidRPr="009D4596">
        <w:rPr>
          <w:i/>
          <w:iCs/>
        </w:rPr>
        <w:t xml:space="preserve"> </w:t>
      </w:r>
      <w:r w:rsidRPr="001632CF">
        <w:rPr>
          <w:i/>
          <w:sz w:val="18"/>
          <w:szCs w:val="18"/>
        </w:rPr>
        <w:t xml:space="preserve">blood phosphorus increased, and </w:t>
      </w:r>
      <w:proofErr w:type="spellStart"/>
      <w:r w:rsidRPr="001632CF">
        <w:rPr>
          <w:i/>
          <w:sz w:val="18"/>
          <w:szCs w:val="18"/>
        </w:rPr>
        <w:t>hyperphosphataemia</w:t>
      </w:r>
      <w:proofErr w:type="spellEnd"/>
    </w:p>
    <w:p w14:paraId="45B6B85B" w14:textId="77777777" w:rsidR="008C393A" w:rsidRDefault="008C393A" w:rsidP="5F2EC82B">
      <w:pPr>
        <w:autoSpaceDE w:val="0"/>
        <w:autoSpaceDN w:val="0"/>
        <w:adjustRightInd w:val="0"/>
        <w:spacing w:line="240" w:lineRule="auto"/>
        <w:jc w:val="both"/>
        <w:rPr>
          <w:u w:val="single"/>
        </w:rPr>
      </w:pPr>
    </w:p>
    <w:p w14:paraId="0DCB4FBB" w14:textId="77777777" w:rsidR="006E6C7C" w:rsidRDefault="006E6C7C" w:rsidP="5F2EC82B">
      <w:pPr>
        <w:autoSpaceDE w:val="0"/>
        <w:autoSpaceDN w:val="0"/>
        <w:adjustRightInd w:val="0"/>
        <w:spacing w:line="240" w:lineRule="auto"/>
        <w:jc w:val="both"/>
        <w:rPr>
          <w:u w:val="single"/>
        </w:rPr>
      </w:pPr>
    </w:p>
    <w:p w14:paraId="4BBE7626" w14:textId="5F9EDE08" w:rsidR="00124AD4" w:rsidRDefault="001D0951" w:rsidP="006456FA">
      <w:pPr>
        <w:keepNext/>
        <w:keepLines/>
        <w:autoSpaceDE w:val="0"/>
        <w:autoSpaceDN w:val="0"/>
        <w:adjustRightInd w:val="0"/>
        <w:spacing w:line="240" w:lineRule="auto"/>
        <w:jc w:val="both"/>
        <w:rPr>
          <w:u w:val="single"/>
        </w:rPr>
      </w:pPr>
      <w:r w:rsidRPr="5F2EC82B">
        <w:rPr>
          <w:u w:val="single"/>
        </w:rPr>
        <w:lastRenderedPageBreak/>
        <w:t>Description of selected adverse reactions</w:t>
      </w:r>
      <w:r w:rsidR="006E6C7C">
        <w:rPr>
          <w:u w:val="single"/>
        </w:rPr>
        <w:t xml:space="preserve"> </w:t>
      </w:r>
    </w:p>
    <w:p w14:paraId="64C77901" w14:textId="77777777" w:rsidR="008D719B" w:rsidRPr="00BA4BF5" w:rsidRDefault="008D719B" w:rsidP="006456FA">
      <w:pPr>
        <w:keepNext/>
        <w:keepLines/>
        <w:autoSpaceDE w:val="0"/>
        <w:autoSpaceDN w:val="0"/>
        <w:adjustRightInd w:val="0"/>
        <w:spacing w:line="240" w:lineRule="auto"/>
        <w:jc w:val="both"/>
        <w:rPr>
          <w:u w:val="single"/>
        </w:rPr>
      </w:pPr>
    </w:p>
    <w:p w14:paraId="5379F61A" w14:textId="41C02E21" w:rsidR="00124AD4" w:rsidRDefault="001D0951" w:rsidP="006456FA">
      <w:pPr>
        <w:keepNext/>
        <w:keepLines/>
        <w:tabs>
          <w:tab w:val="clear" w:pos="567"/>
        </w:tabs>
        <w:autoSpaceDE w:val="0"/>
        <w:autoSpaceDN w:val="0"/>
        <w:adjustRightInd w:val="0"/>
        <w:spacing w:line="240" w:lineRule="auto"/>
        <w:rPr>
          <w:rFonts w:eastAsia="SimSun"/>
          <w:i/>
          <w:iCs/>
        </w:rPr>
      </w:pPr>
      <w:r w:rsidRPr="001F3359">
        <w:rPr>
          <w:rFonts w:eastAsia="SimSun"/>
          <w:i/>
          <w:iCs/>
        </w:rPr>
        <w:t>Injection site reactions</w:t>
      </w:r>
    </w:p>
    <w:p w14:paraId="04B677DE" w14:textId="213DD94F" w:rsidR="00302A98" w:rsidRPr="006456FA" w:rsidRDefault="001D45B0" w:rsidP="006456FA">
      <w:pPr>
        <w:keepNext/>
        <w:keepLines/>
        <w:tabs>
          <w:tab w:val="clear" w:pos="567"/>
        </w:tabs>
        <w:autoSpaceDE w:val="0"/>
        <w:autoSpaceDN w:val="0"/>
        <w:adjustRightInd w:val="0"/>
        <w:spacing w:line="240" w:lineRule="auto"/>
      </w:pPr>
      <w:r>
        <w:rPr>
          <w:rFonts w:eastAsia="SimSun"/>
          <w:i/>
          <w:iCs/>
        </w:rPr>
        <w:t>P</w:t>
      </w:r>
      <w:r w:rsidR="00E7349D" w:rsidRPr="006456FA">
        <w:rPr>
          <w:rFonts w:eastAsia="SimSun"/>
          <w:i/>
          <w:iCs/>
        </w:rPr>
        <w:t>aediatric patients</w:t>
      </w:r>
      <w:r w:rsidR="00302A98" w:rsidRPr="006456FA">
        <w:rPr>
          <w:rFonts w:eastAsia="SimSun"/>
          <w:i/>
          <w:iCs/>
        </w:rPr>
        <w:t>:</w:t>
      </w:r>
    </w:p>
    <w:p w14:paraId="08E31C04" w14:textId="17355375" w:rsidR="00124AD4" w:rsidRDefault="001D0951" w:rsidP="006456FA">
      <w:pPr>
        <w:keepNext/>
        <w:keepLines/>
        <w:autoSpaceDE w:val="0"/>
        <w:autoSpaceDN w:val="0"/>
        <w:adjustRightInd w:val="0"/>
        <w:spacing w:line="240" w:lineRule="auto"/>
      </w:pPr>
      <w:r>
        <w:t xml:space="preserve">Local reactions (e.g. injection site urticaria, erythema, rash, swelling, bruising, pain, pruritus, and haematoma) have occurred at the site of injection. In the paediatric studies, </w:t>
      </w:r>
      <w:r w:rsidRPr="00E7349D">
        <w:t xml:space="preserve">approximately </w:t>
      </w:r>
      <w:r w:rsidR="00F23197" w:rsidRPr="00E7349D">
        <w:t>56</w:t>
      </w:r>
      <w:r w:rsidRPr="00E7349D">
        <w:t>% of th</w:t>
      </w:r>
      <w:r>
        <w:t>e patients had an injection site reaction. The injection site reactions were generally mild in severity, occurred within 1 day of medicinal product administration, lasted approximately 1 to 3 days, required no treatment, and res</w:t>
      </w:r>
      <w:r w:rsidR="005171A3">
        <w:t>olved in almost all instances.</w:t>
      </w:r>
    </w:p>
    <w:p w14:paraId="73CF6779" w14:textId="5CC67CC5" w:rsidR="00302A98" w:rsidRPr="006456FA" w:rsidRDefault="001D45B0" w:rsidP="006456FA">
      <w:pPr>
        <w:keepNext/>
        <w:keepLines/>
        <w:autoSpaceDE w:val="0"/>
        <w:autoSpaceDN w:val="0"/>
        <w:adjustRightInd w:val="0"/>
        <w:spacing w:line="240" w:lineRule="auto"/>
        <w:rPr>
          <w:i/>
          <w:iCs/>
        </w:rPr>
      </w:pPr>
      <w:r>
        <w:rPr>
          <w:i/>
          <w:iCs/>
        </w:rPr>
        <w:t>A</w:t>
      </w:r>
      <w:r w:rsidR="00302A98" w:rsidRPr="006456FA">
        <w:rPr>
          <w:i/>
          <w:iCs/>
        </w:rPr>
        <w:t>dult</w:t>
      </w:r>
      <w:r w:rsidR="00E7349D" w:rsidRPr="006456FA">
        <w:rPr>
          <w:i/>
          <w:iCs/>
        </w:rPr>
        <w:t xml:space="preserve"> patients</w:t>
      </w:r>
      <w:r w:rsidR="00302A98" w:rsidRPr="006456FA">
        <w:rPr>
          <w:i/>
          <w:iCs/>
        </w:rPr>
        <w:t>:</w:t>
      </w:r>
    </w:p>
    <w:p w14:paraId="35B69AA2" w14:textId="77777777" w:rsidR="00CE5F1A" w:rsidRPr="00D056D7" w:rsidRDefault="00CE5F1A" w:rsidP="006456FA">
      <w:pPr>
        <w:keepNext/>
        <w:keepLines/>
        <w:tabs>
          <w:tab w:val="clear" w:pos="567"/>
          <w:tab w:val="left" w:pos="720"/>
        </w:tabs>
        <w:autoSpaceDE w:val="0"/>
        <w:autoSpaceDN w:val="0"/>
        <w:adjustRightInd w:val="0"/>
        <w:spacing w:line="240" w:lineRule="auto"/>
        <w:rPr>
          <w:rFonts w:eastAsia="SimSun"/>
          <w:iCs/>
        </w:rPr>
      </w:pPr>
      <w:r w:rsidRPr="00CE5F1A">
        <w:rPr>
          <w:rFonts w:eastAsia="SimSun"/>
          <w:iCs/>
        </w:rPr>
        <w:t xml:space="preserve">The frequency of injection site reactions was 12% in both </w:t>
      </w:r>
      <w:proofErr w:type="spellStart"/>
      <w:r w:rsidRPr="00CE5F1A">
        <w:rPr>
          <w:rFonts w:eastAsia="SimSun"/>
          <w:iCs/>
        </w:rPr>
        <w:t>burosumab</w:t>
      </w:r>
      <w:proofErr w:type="spellEnd"/>
      <w:r w:rsidRPr="00CE5F1A">
        <w:rPr>
          <w:rFonts w:eastAsia="SimSun"/>
          <w:iCs/>
        </w:rPr>
        <w:t xml:space="preserve"> and placebo treatment groups (injection site reaction, erythema, rash, bruising, pain, </w:t>
      </w:r>
      <w:r w:rsidRPr="00D056D7">
        <w:rPr>
          <w:rFonts w:eastAsia="SimSun"/>
          <w:iCs/>
        </w:rPr>
        <w:t>pruritis and haematoma).  The injection site reactions were generally mild in severity, occurred within 1 day of medicinal product injection, lasted approximately 1 to 3 days, required no treatment, and resolved in almost all instances.</w:t>
      </w:r>
    </w:p>
    <w:p w14:paraId="00995A49" w14:textId="77777777" w:rsidR="00E87013" w:rsidRPr="00B96FD0" w:rsidRDefault="00E87013" w:rsidP="00124AD4">
      <w:pPr>
        <w:autoSpaceDE w:val="0"/>
        <w:autoSpaceDN w:val="0"/>
        <w:adjustRightInd w:val="0"/>
        <w:spacing w:line="240" w:lineRule="auto"/>
        <w:rPr>
          <w:szCs w:val="22"/>
        </w:rPr>
      </w:pPr>
    </w:p>
    <w:p w14:paraId="64CE90DA" w14:textId="77777777" w:rsidR="00CE5F1A" w:rsidRPr="00E7349D" w:rsidRDefault="001D0951" w:rsidP="005C43DC">
      <w:pPr>
        <w:autoSpaceDE w:val="0"/>
        <w:autoSpaceDN w:val="0"/>
        <w:adjustRightInd w:val="0"/>
        <w:spacing w:line="240" w:lineRule="auto"/>
        <w:rPr>
          <w:i/>
          <w:iCs/>
        </w:rPr>
      </w:pPr>
      <w:r w:rsidRPr="00E7349D">
        <w:rPr>
          <w:i/>
          <w:iCs/>
        </w:rPr>
        <w:t>Hypersensitivity</w:t>
      </w:r>
    </w:p>
    <w:p w14:paraId="6397E165" w14:textId="2C11E305" w:rsidR="00CE5F1A" w:rsidRPr="006456FA" w:rsidRDefault="001D45B0" w:rsidP="00CE5F1A">
      <w:pPr>
        <w:tabs>
          <w:tab w:val="clear" w:pos="567"/>
        </w:tabs>
        <w:autoSpaceDE w:val="0"/>
        <w:autoSpaceDN w:val="0"/>
        <w:adjustRightInd w:val="0"/>
        <w:spacing w:line="240" w:lineRule="auto"/>
      </w:pPr>
      <w:r w:rsidRPr="00737A6E">
        <w:rPr>
          <w:rFonts w:eastAsia="SimSun"/>
          <w:i/>
          <w:iCs/>
        </w:rPr>
        <w:t>P</w:t>
      </w:r>
      <w:r w:rsidR="00E7349D" w:rsidRPr="00737A6E">
        <w:rPr>
          <w:rFonts w:eastAsia="SimSun"/>
          <w:i/>
          <w:iCs/>
        </w:rPr>
        <w:t>aediatric patients</w:t>
      </w:r>
      <w:r w:rsidR="00CE5F1A" w:rsidRPr="00737A6E">
        <w:rPr>
          <w:rFonts w:eastAsia="SimSun"/>
          <w:i/>
          <w:iCs/>
        </w:rPr>
        <w:t>:</w:t>
      </w:r>
    </w:p>
    <w:p w14:paraId="48978294" w14:textId="52814821" w:rsidR="005C43DC" w:rsidRDefault="001D0951" w:rsidP="005C43DC">
      <w:pPr>
        <w:autoSpaceDE w:val="0"/>
        <w:autoSpaceDN w:val="0"/>
        <w:adjustRightInd w:val="0"/>
        <w:spacing w:line="240" w:lineRule="auto"/>
      </w:pPr>
      <w:r w:rsidRPr="00E7349D">
        <w:rPr>
          <w:iCs/>
        </w:rPr>
        <w:t>Hypersensitivity reactions (</w:t>
      </w:r>
      <w:proofErr w:type="gramStart"/>
      <w:r w:rsidRPr="00E7349D">
        <w:rPr>
          <w:iCs/>
        </w:rPr>
        <w:t>including:</w:t>
      </w:r>
      <w:proofErr w:type="gramEnd"/>
      <w:r w:rsidRPr="00E7349D">
        <w:rPr>
          <w:i/>
          <w:iCs/>
        </w:rPr>
        <w:t xml:space="preserve"> </w:t>
      </w:r>
      <w:r w:rsidRPr="00E7349D">
        <w:t xml:space="preserve">injection site rash, rash, urticaria, swelling face, dermatitis) were reported in 18% of </w:t>
      </w:r>
      <w:r w:rsidR="006E5726" w:rsidRPr="00E7349D">
        <w:t xml:space="preserve">paediatric </w:t>
      </w:r>
      <w:r w:rsidRPr="00E7349D">
        <w:t>patients. All reported reactions were mild or moderate in severity</w:t>
      </w:r>
      <w:r w:rsidR="00875035" w:rsidRPr="00E7349D">
        <w:t>.</w:t>
      </w:r>
    </w:p>
    <w:p w14:paraId="6AA1057F" w14:textId="453EFF92" w:rsidR="000F6659" w:rsidRPr="006456FA" w:rsidRDefault="001D45B0" w:rsidP="000F6659">
      <w:pPr>
        <w:autoSpaceDE w:val="0"/>
        <w:autoSpaceDN w:val="0"/>
        <w:adjustRightInd w:val="0"/>
        <w:spacing w:line="240" w:lineRule="auto"/>
        <w:rPr>
          <w:i/>
          <w:iCs/>
        </w:rPr>
      </w:pPr>
      <w:r>
        <w:rPr>
          <w:i/>
          <w:iCs/>
        </w:rPr>
        <w:t>A</w:t>
      </w:r>
      <w:r w:rsidR="000F6659" w:rsidRPr="006456FA">
        <w:rPr>
          <w:i/>
          <w:iCs/>
        </w:rPr>
        <w:t>dult</w:t>
      </w:r>
      <w:r w:rsidR="00E7349D" w:rsidRPr="006456FA">
        <w:rPr>
          <w:i/>
          <w:iCs/>
        </w:rPr>
        <w:t xml:space="preserve"> patient</w:t>
      </w:r>
      <w:r w:rsidR="000F6659" w:rsidRPr="006456FA">
        <w:rPr>
          <w:i/>
          <w:iCs/>
        </w:rPr>
        <w:t>s:</w:t>
      </w:r>
    </w:p>
    <w:p w14:paraId="69FF4CB7" w14:textId="022EF581" w:rsidR="000F6659" w:rsidRDefault="000F6659" w:rsidP="000F6659">
      <w:pPr>
        <w:tabs>
          <w:tab w:val="clear" w:pos="567"/>
          <w:tab w:val="left" w:pos="720"/>
        </w:tabs>
        <w:autoSpaceDE w:val="0"/>
        <w:autoSpaceDN w:val="0"/>
        <w:adjustRightInd w:val="0"/>
        <w:spacing w:line="240" w:lineRule="auto"/>
        <w:rPr>
          <w:rFonts w:eastAsia="SimSun"/>
          <w:iCs/>
        </w:rPr>
      </w:pPr>
      <w:r>
        <w:rPr>
          <w:rFonts w:eastAsia="SimSun"/>
          <w:iCs/>
        </w:rPr>
        <w:t xml:space="preserve">The incidence of potential hypersensitivity reactions was similar (6%) in the </w:t>
      </w:r>
      <w:proofErr w:type="spellStart"/>
      <w:r>
        <w:rPr>
          <w:rFonts w:eastAsia="SimSun"/>
          <w:iCs/>
        </w:rPr>
        <w:t>burosumab</w:t>
      </w:r>
      <w:proofErr w:type="spellEnd"/>
      <w:r>
        <w:rPr>
          <w:rFonts w:eastAsia="SimSun"/>
          <w:iCs/>
        </w:rPr>
        <w:t xml:space="preserve"> treated and placebo treated adults.  The events were mild to moderate in severity.</w:t>
      </w:r>
    </w:p>
    <w:p w14:paraId="1175AE01" w14:textId="77777777" w:rsidR="000F6659" w:rsidRPr="00662578" w:rsidRDefault="000F6659" w:rsidP="005C43DC">
      <w:pPr>
        <w:autoSpaceDE w:val="0"/>
        <w:autoSpaceDN w:val="0"/>
        <w:adjustRightInd w:val="0"/>
        <w:spacing w:line="240" w:lineRule="auto"/>
        <w:rPr>
          <w:szCs w:val="22"/>
        </w:rPr>
      </w:pPr>
    </w:p>
    <w:p w14:paraId="369EDBCA" w14:textId="3675B564" w:rsidR="00816ED7" w:rsidRPr="00E7349D" w:rsidRDefault="001D0951" w:rsidP="00E7349D">
      <w:pPr>
        <w:keepNext/>
        <w:autoSpaceDE w:val="0"/>
        <w:autoSpaceDN w:val="0"/>
        <w:adjustRightInd w:val="0"/>
        <w:spacing w:line="240" w:lineRule="auto"/>
        <w:rPr>
          <w:i/>
        </w:rPr>
      </w:pPr>
      <w:r w:rsidRPr="00E7349D">
        <w:rPr>
          <w:i/>
        </w:rPr>
        <w:t>Vitamin D Decreased</w:t>
      </w:r>
    </w:p>
    <w:p w14:paraId="26ACEA5F" w14:textId="11A60AAB" w:rsidR="00D564AF" w:rsidRPr="00E7349D" w:rsidRDefault="001D45B0" w:rsidP="000F6659">
      <w:pPr>
        <w:tabs>
          <w:tab w:val="clear" w:pos="567"/>
        </w:tabs>
        <w:autoSpaceDE w:val="0"/>
        <w:autoSpaceDN w:val="0"/>
        <w:adjustRightInd w:val="0"/>
        <w:spacing w:line="240" w:lineRule="auto"/>
        <w:rPr>
          <w:u w:val="single"/>
        </w:rPr>
      </w:pPr>
      <w:r>
        <w:rPr>
          <w:rFonts w:eastAsia="SimSun"/>
          <w:i/>
          <w:iCs/>
        </w:rPr>
        <w:t>P</w:t>
      </w:r>
      <w:r w:rsidR="00E7349D" w:rsidRPr="006456FA">
        <w:rPr>
          <w:rFonts w:eastAsia="SimSun"/>
          <w:i/>
          <w:iCs/>
        </w:rPr>
        <w:t>aediatric patients:</w:t>
      </w:r>
    </w:p>
    <w:p w14:paraId="0762AFA7" w14:textId="431027C3" w:rsidR="00C8260A" w:rsidRPr="004038E3" w:rsidRDefault="001D0951" w:rsidP="00816ED7">
      <w:pPr>
        <w:autoSpaceDE w:val="0"/>
        <w:autoSpaceDN w:val="0"/>
        <w:adjustRightInd w:val="0"/>
        <w:spacing w:line="240" w:lineRule="auto"/>
        <w:rPr>
          <w:lang w:val="en-US"/>
        </w:rPr>
      </w:pPr>
      <w:bookmarkStart w:id="5" w:name="_Hlk5180881"/>
      <w:r w:rsidRPr="00E7349D">
        <w:t>Reduced serum 25</w:t>
      </w:r>
      <w:r w:rsidR="00FF3486" w:rsidRPr="00E7349D">
        <w:t xml:space="preserve"> hydroxy-vitamin D</w:t>
      </w:r>
      <w:r w:rsidRPr="00E7349D">
        <w:t xml:space="preserve"> has been observed </w:t>
      </w:r>
      <w:bookmarkEnd w:id="5"/>
      <w:r w:rsidRPr="00E7349D">
        <w:t xml:space="preserve">following initiation of </w:t>
      </w:r>
      <w:proofErr w:type="spellStart"/>
      <w:r w:rsidRPr="00E7349D">
        <w:t>burosumab</w:t>
      </w:r>
      <w:proofErr w:type="spellEnd"/>
      <w:r w:rsidRPr="00E7349D">
        <w:t xml:space="preserve"> treatment in approximately 8% of </w:t>
      </w:r>
      <w:r w:rsidR="00E87013" w:rsidRPr="00E7349D">
        <w:t xml:space="preserve">paediatric </w:t>
      </w:r>
      <w:r w:rsidRPr="00E7349D">
        <w:t xml:space="preserve">patients, possibly due to increased conversion to activated </w:t>
      </w:r>
      <w:r w:rsidR="00B6603D" w:rsidRPr="00E7349D">
        <w:t>1,</w:t>
      </w:r>
      <w:r w:rsidR="001C4E22" w:rsidRPr="00E7349D">
        <w:t xml:space="preserve">25 </w:t>
      </w:r>
      <w:r w:rsidR="001E2727" w:rsidRPr="00E7349D">
        <w:t>di</w:t>
      </w:r>
      <w:r w:rsidR="001C4E22" w:rsidRPr="00E7349D">
        <w:t>hydroxy-vitamin D</w:t>
      </w:r>
      <w:r w:rsidRPr="00E7349D">
        <w:t xml:space="preserve">.  Supplementation with inactive </w:t>
      </w:r>
      <w:r w:rsidR="001F045A">
        <w:t>v</w:t>
      </w:r>
      <w:r w:rsidR="001F045A" w:rsidRPr="00E7349D">
        <w:t xml:space="preserve">itamin </w:t>
      </w:r>
      <w:r w:rsidRPr="00E7349D">
        <w:t>D was successful in restoring plasma levels to normal.</w:t>
      </w:r>
      <w:r w:rsidRPr="004038E3">
        <w:t xml:space="preserve"> </w:t>
      </w:r>
    </w:p>
    <w:p w14:paraId="554D1B13" w14:textId="77777777" w:rsidR="006E6C7C" w:rsidRDefault="006E6C7C" w:rsidP="00934E46">
      <w:pPr>
        <w:autoSpaceDE w:val="0"/>
        <w:autoSpaceDN w:val="0"/>
        <w:adjustRightInd w:val="0"/>
        <w:spacing w:line="240" w:lineRule="auto"/>
        <w:jc w:val="both"/>
        <w:rPr>
          <w:szCs w:val="22"/>
          <w:lang w:val="en-US"/>
        </w:rPr>
      </w:pPr>
    </w:p>
    <w:p w14:paraId="6310C318" w14:textId="7C7D93ED" w:rsidR="006E6C7C" w:rsidRDefault="006E6C7C" w:rsidP="006E6C7C">
      <w:pPr>
        <w:tabs>
          <w:tab w:val="clear" w:pos="567"/>
          <w:tab w:val="left" w:pos="720"/>
        </w:tabs>
        <w:autoSpaceDE w:val="0"/>
        <w:autoSpaceDN w:val="0"/>
        <w:adjustRightInd w:val="0"/>
        <w:spacing w:line="240" w:lineRule="auto"/>
        <w:rPr>
          <w:rFonts w:eastAsia="SimSun"/>
          <w:i/>
          <w:iCs/>
          <w:szCs w:val="24"/>
          <w:lang w:val="en-US" w:eastAsia="ja-JP"/>
        </w:rPr>
      </w:pPr>
      <w:proofErr w:type="spellStart"/>
      <w:r>
        <w:rPr>
          <w:rFonts w:eastAsia="SimSun"/>
          <w:i/>
          <w:iCs/>
          <w:szCs w:val="24"/>
          <w:lang w:val="en-US" w:eastAsia="ja-JP"/>
        </w:rPr>
        <w:t>Hyperphosphataemia</w:t>
      </w:r>
      <w:proofErr w:type="spellEnd"/>
    </w:p>
    <w:p w14:paraId="78A0DD6F" w14:textId="0E44C74C" w:rsidR="00145625" w:rsidRPr="006456FA" w:rsidRDefault="001D45B0" w:rsidP="006E5726">
      <w:pPr>
        <w:autoSpaceDE w:val="0"/>
        <w:autoSpaceDN w:val="0"/>
        <w:adjustRightInd w:val="0"/>
        <w:spacing w:line="240" w:lineRule="auto"/>
        <w:rPr>
          <w:i/>
          <w:iCs/>
        </w:rPr>
      </w:pPr>
      <w:r>
        <w:rPr>
          <w:i/>
          <w:iCs/>
        </w:rPr>
        <w:t>A</w:t>
      </w:r>
      <w:r w:rsidR="00145625" w:rsidRPr="006456FA">
        <w:rPr>
          <w:i/>
          <w:iCs/>
        </w:rPr>
        <w:t>dult</w:t>
      </w:r>
      <w:r w:rsidR="00E7349D" w:rsidRPr="006456FA">
        <w:rPr>
          <w:i/>
          <w:iCs/>
        </w:rPr>
        <w:t xml:space="preserve"> patient</w:t>
      </w:r>
      <w:r w:rsidR="00145625" w:rsidRPr="006456FA">
        <w:rPr>
          <w:i/>
          <w:iCs/>
        </w:rPr>
        <w:t>s:</w:t>
      </w:r>
    </w:p>
    <w:p w14:paraId="1D96D65C" w14:textId="77777777" w:rsidR="00E7349D" w:rsidRDefault="002862DE" w:rsidP="002862DE">
      <w:pPr>
        <w:tabs>
          <w:tab w:val="clear" w:pos="567"/>
        </w:tabs>
        <w:autoSpaceDE w:val="0"/>
        <w:autoSpaceDN w:val="0"/>
        <w:adjustRightInd w:val="0"/>
        <w:spacing w:line="240" w:lineRule="auto"/>
        <w:rPr>
          <w:rFonts w:eastAsia="SimSun"/>
          <w:iCs/>
        </w:rPr>
      </w:pPr>
      <w:bookmarkStart w:id="6" w:name="_Hlk35440953"/>
      <w:r w:rsidRPr="002862DE">
        <w:rPr>
          <w:rFonts w:eastAsia="SimSun"/>
          <w:iCs/>
        </w:rPr>
        <w:t xml:space="preserve">In the double-blind period of Study UX023-CL303, in the </w:t>
      </w:r>
      <w:proofErr w:type="spellStart"/>
      <w:r w:rsidRPr="002862DE">
        <w:rPr>
          <w:rFonts w:eastAsia="SimSun"/>
          <w:iCs/>
        </w:rPr>
        <w:t>burosumab</w:t>
      </w:r>
      <w:proofErr w:type="spellEnd"/>
      <w:r w:rsidRPr="002862DE">
        <w:rPr>
          <w:rFonts w:eastAsia="SimSun"/>
          <w:iCs/>
        </w:rPr>
        <w:t xml:space="preserve"> group during the</w:t>
      </w:r>
    </w:p>
    <w:p w14:paraId="2A35BE0E" w14:textId="4846C811" w:rsidR="002862DE" w:rsidRPr="002862DE" w:rsidRDefault="002862DE" w:rsidP="002862DE">
      <w:pPr>
        <w:tabs>
          <w:tab w:val="clear" w:pos="567"/>
        </w:tabs>
        <w:autoSpaceDE w:val="0"/>
        <w:autoSpaceDN w:val="0"/>
        <w:adjustRightInd w:val="0"/>
        <w:spacing w:line="240" w:lineRule="auto"/>
        <w:rPr>
          <w:rFonts w:eastAsia="SimSun"/>
          <w:iCs/>
        </w:rPr>
      </w:pPr>
      <w:r w:rsidRPr="002862DE">
        <w:rPr>
          <w:rFonts w:eastAsia="SimSun"/>
          <w:iCs/>
        </w:rPr>
        <w:t>Placebo</w:t>
      </w:r>
      <w:r w:rsidR="00E7349D">
        <w:rPr>
          <w:rFonts w:eastAsia="SimSun"/>
          <w:iCs/>
        </w:rPr>
        <w:t>-</w:t>
      </w:r>
      <w:r w:rsidRPr="002862DE">
        <w:rPr>
          <w:rFonts w:eastAsia="SimSun"/>
          <w:iCs/>
        </w:rPr>
        <w:t>controlled Treatment Period, 9 subjects (13.2%) had high serum phosph</w:t>
      </w:r>
      <w:r w:rsidR="00934E46">
        <w:rPr>
          <w:rFonts w:eastAsia="SimSun"/>
          <w:iCs/>
        </w:rPr>
        <w:t>ate</w:t>
      </w:r>
      <w:r w:rsidRPr="002862DE">
        <w:rPr>
          <w:rFonts w:eastAsia="SimSun"/>
          <w:iCs/>
        </w:rPr>
        <w:t xml:space="preserve"> at least</w:t>
      </w:r>
    </w:p>
    <w:p w14:paraId="536D7BDD" w14:textId="19BC0C2A" w:rsidR="002862DE" w:rsidRPr="002862DE" w:rsidRDefault="002862DE" w:rsidP="002862DE">
      <w:pPr>
        <w:spacing w:after="1" w:line="228" w:lineRule="auto"/>
        <w:ind w:right="147"/>
        <w:jc w:val="both"/>
        <w:rPr>
          <w:rFonts w:eastAsia="SimSun"/>
          <w:iCs/>
        </w:rPr>
      </w:pPr>
      <w:r w:rsidRPr="002862DE">
        <w:rPr>
          <w:rFonts w:eastAsia="SimSun"/>
          <w:iCs/>
        </w:rPr>
        <w:t xml:space="preserve">once; 5 of these 9 required protocol-specified dose reduction(s). After initiation of </w:t>
      </w:r>
      <w:proofErr w:type="spellStart"/>
      <w:r w:rsidRPr="002862DE">
        <w:rPr>
          <w:rFonts w:eastAsia="SimSun"/>
          <w:iCs/>
        </w:rPr>
        <w:t>burosumab</w:t>
      </w:r>
      <w:proofErr w:type="spellEnd"/>
      <w:r w:rsidRPr="002862DE">
        <w:rPr>
          <w:rFonts w:eastAsia="SimSun"/>
          <w:iCs/>
        </w:rPr>
        <w:t xml:space="preserve"> in the open-label Treatment Continuation Period, 8 subjects (12.1%) in the </w:t>
      </w:r>
      <w:proofErr w:type="spellStart"/>
      <w:r w:rsidRPr="002862DE">
        <w:rPr>
          <w:rFonts w:eastAsia="SimSun"/>
          <w:iCs/>
        </w:rPr>
        <w:t>placebo→burosumab</w:t>
      </w:r>
      <w:proofErr w:type="spellEnd"/>
      <w:r w:rsidRPr="002862DE">
        <w:rPr>
          <w:rFonts w:eastAsia="SimSun"/>
          <w:iCs/>
        </w:rPr>
        <w:t xml:space="preserve"> group had high serum phosph</w:t>
      </w:r>
      <w:r w:rsidR="00934E46">
        <w:rPr>
          <w:rFonts w:eastAsia="SimSun"/>
          <w:iCs/>
        </w:rPr>
        <w:t>ate levels</w:t>
      </w:r>
      <w:r w:rsidRPr="002862DE">
        <w:rPr>
          <w:rFonts w:eastAsia="SimSun"/>
          <w:iCs/>
        </w:rPr>
        <w:t>. Four of these 8 subjects required protocol-specified dose reduction(s).  The dose for all patients meeting the protocol-specified criteria was reduced by 50</w:t>
      </w:r>
      <w:r w:rsidR="00934E46">
        <w:rPr>
          <w:rFonts w:eastAsia="SimSun"/>
          <w:iCs/>
        </w:rPr>
        <w:t>%</w:t>
      </w:r>
      <w:r w:rsidRPr="002862DE">
        <w:rPr>
          <w:rFonts w:eastAsia="SimSun"/>
          <w:iCs/>
        </w:rPr>
        <w:t xml:space="preserve">. A single patient (1%) required a second dose reduction for continued </w:t>
      </w:r>
      <w:proofErr w:type="spellStart"/>
      <w:r w:rsidRPr="002862DE">
        <w:rPr>
          <w:rFonts w:eastAsia="SimSun"/>
          <w:iCs/>
        </w:rPr>
        <w:t>hyperphosphat</w:t>
      </w:r>
      <w:r w:rsidR="00934E46">
        <w:rPr>
          <w:rFonts w:eastAsia="SimSun"/>
          <w:iCs/>
        </w:rPr>
        <w:t>a</w:t>
      </w:r>
      <w:r w:rsidRPr="002862DE">
        <w:rPr>
          <w:rFonts w:eastAsia="SimSun"/>
          <w:iCs/>
        </w:rPr>
        <w:t>emia</w:t>
      </w:r>
      <w:proofErr w:type="spellEnd"/>
      <w:r w:rsidRPr="002862DE">
        <w:rPr>
          <w:rFonts w:eastAsia="SimSun"/>
          <w:iCs/>
        </w:rPr>
        <w:t>.</w:t>
      </w:r>
    </w:p>
    <w:bookmarkEnd w:id="6"/>
    <w:p w14:paraId="0ACAEF37" w14:textId="77777777" w:rsidR="006E6C7C" w:rsidRDefault="006E6C7C" w:rsidP="006E6C7C">
      <w:pPr>
        <w:tabs>
          <w:tab w:val="clear" w:pos="567"/>
          <w:tab w:val="left" w:pos="720"/>
        </w:tabs>
        <w:autoSpaceDE w:val="0"/>
        <w:autoSpaceDN w:val="0"/>
        <w:adjustRightInd w:val="0"/>
        <w:spacing w:line="240" w:lineRule="auto"/>
        <w:rPr>
          <w:rFonts w:eastAsia="SimSun"/>
          <w:i/>
          <w:iCs/>
          <w:sz w:val="20"/>
          <w:u w:val="single"/>
          <w:lang w:val="en-US"/>
        </w:rPr>
      </w:pPr>
    </w:p>
    <w:p w14:paraId="2647B5FF" w14:textId="6BD7E5A1" w:rsidR="006E6C7C" w:rsidRDefault="006E6C7C" w:rsidP="006E6C7C">
      <w:pPr>
        <w:tabs>
          <w:tab w:val="clear" w:pos="567"/>
          <w:tab w:val="left" w:pos="720"/>
        </w:tabs>
        <w:autoSpaceDE w:val="0"/>
        <w:autoSpaceDN w:val="0"/>
        <w:adjustRightInd w:val="0"/>
        <w:spacing w:line="240" w:lineRule="auto"/>
        <w:rPr>
          <w:rFonts w:eastAsia="SimSun"/>
          <w:i/>
          <w:iCs/>
        </w:rPr>
      </w:pPr>
      <w:r>
        <w:rPr>
          <w:rFonts w:eastAsia="SimSun"/>
          <w:i/>
          <w:iCs/>
        </w:rPr>
        <w:t>Restless legs syndrome</w:t>
      </w:r>
    </w:p>
    <w:p w14:paraId="54913C7C" w14:textId="3D61EA56" w:rsidR="006E5726" w:rsidRPr="006456FA" w:rsidRDefault="001D45B0" w:rsidP="006E5726">
      <w:pPr>
        <w:autoSpaceDE w:val="0"/>
        <w:autoSpaceDN w:val="0"/>
        <w:adjustRightInd w:val="0"/>
        <w:spacing w:line="240" w:lineRule="auto"/>
        <w:rPr>
          <w:i/>
          <w:iCs/>
        </w:rPr>
      </w:pPr>
      <w:r>
        <w:rPr>
          <w:i/>
          <w:iCs/>
        </w:rPr>
        <w:t>A</w:t>
      </w:r>
      <w:r w:rsidR="006E5726" w:rsidRPr="006456FA">
        <w:rPr>
          <w:i/>
          <w:iCs/>
        </w:rPr>
        <w:t>dult</w:t>
      </w:r>
      <w:r w:rsidR="00E7349D" w:rsidRPr="006456FA">
        <w:rPr>
          <w:i/>
          <w:iCs/>
        </w:rPr>
        <w:t xml:space="preserve"> patient</w:t>
      </w:r>
      <w:r w:rsidR="006E5726" w:rsidRPr="006456FA">
        <w:rPr>
          <w:i/>
          <w:iCs/>
        </w:rPr>
        <w:t>s:</w:t>
      </w:r>
    </w:p>
    <w:p w14:paraId="281DC723" w14:textId="7067A90D" w:rsidR="006E6C7C" w:rsidRDefault="00007C6C" w:rsidP="006E6C7C">
      <w:pPr>
        <w:tabs>
          <w:tab w:val="clear" w:pos="567"/>
          <w:tab w:val="left" w:pos="720"/>
        </w:tabs>
        <w:autoSpaceDE w:val="0"/>
        <w:autoSpaceDN w:val="0"/>
        <w:adjustRightInd w:val="0"/>
        <w:spacing w:line="240" w:lineRule="auto"/>
        <w:rPr>
          <w:rFonts w:eastAsia="SimSun"/>
          <w:iCs/>
        </w:rPr>
      </w:pPr>
      <w:r>
        <w:rPr>
          <w:rFonts w:eastAsia="SimSun"/>
          <w:iCs/>
        </w:rPr>
        <w:t>In adults, a</w:t>
      </w:r>
      <w:r w:rsidR="006E6C7C">
        <w:rPr>
          <w:rFonts w:eastAsia="SimSun"/>
          <w:iCs/>
        </w:rPr>
        <w:t xml:space="preserve">pproximately 12% of the </w:t>
      </w:r>
      <w:proofErr w:type="spellStart"/>
      <w:r w:rsidR="006E6C7C">
        <w:rPr>
          <w:rFonts w:eastAsia="SimSun"/>
          <w:iCs/>
        </w:rPr>
        <w:t>burosumab</w:t>
      </w:r>
      <w:proofErr w:type="spellEnd"/>
      <w:r w:rsidR="006E6C7C">
        <w:rPr>
          <w:rFonts w:eastAsia="SimSun"/>
          <w:iCs/>
        </w:rPr>
        <w:t xml:space="preserve"> treatment group and 8% in the placebo group had a worsening of baseline restless legs syndrome or new onset restless legs syndrome of mild to moderate severity.</w:t>
      </w:r>
    </w:p>
    <w:p w14:paraId="02D46701" w14:textId="77777777" w:rsidR="006E6C7C" w:rsidRDefault="006E6C7C" w:rsidP="006E6C7C">
      <w:pPr>
        <w:tabs>
          <w:tab w:val="clear" w:pos="567"/>
          <w:tab w:val="left" w:pos="720"/>
        </w:tabs>
        <w:autoSpaceDE w:val="0"/>
        <w:autoSpaceDN w:val="0"/>
        <w:adjustRightInd w:val="0"/>
        <w:spacing w:line="240" w:lineRule="auto"/>
        <w:rPr>
          <w:rFonts w:eastAsia="SimSun"/>
          <w:iCs/>
        </w:rPr>
      </w:pPr>
    </w:p>
    <w:p w14:paraId="7A81C8D6" w14:textId="77777777" w:rsidR="00E7349D" w:rsidRDefault="006E6C7C" w:rsidP="00640C47">
      <w:pPr>
        <w:keepNext/>
        <w:keepLines/>
        <w:tabs>
          <w:tab w:val="clear" w:pos="567"/>
          <w:tab w:val="left" w:pos="720"/>
        </w:tabs>
        <w:autoSpaceDE w:val="0"/>
        <w:autoSpaceDN w:val="0"/>
        <w:adjustRightInd w:val="0"/>
        <w:spacing w:line="240" w:lineRule="auto"/>
        <w:rPr>
          <w:rFonts w:eastAsia="SimSun"/>
          <w:i/>
          <w:iCs/>
        </w:rPr>
      </w:pPr>
      <w:r>
        <w:rPr>
          <w:rFonts w:eastAsia="SimSun"/>
          <w:i/>
          <w:iCs/>
        </w:rPr>
        <w:t>Immunogenicity</w:t>
      </w:r>
      <w:r w:rsidR="00E7349D">
        <w:rPr>
          <w:rFonts w:eastAsia="SimSun"/>
          <w:i/>
          <w:iCs/>
        </w:rPr>
        <w:t xml:space="preserve">: </w:t>
      </w:r>
    </w:p>
    <w:p w14:paraId="29805061" w14:textId="0393823C" w:rsidR="006E6C7C" w:rsidRPr="006456FA" w:rsidRDefault="00CD4F25" w:rsidP="00640C47">
      <w:pPr>
        <w:keepNext/>
        <w:keepLines/>
        <w:tabs>
          <w:tab w:val="clear" w:pos="567"/>
          <w:tab w:val="left" w:pos="720"/>
        </w:tabs>
        <w:autoSpaceDE w:val="0"/>
        <w:autoSpaceDN w:val="0"/>
        <w:adjustRightInd w:val="0"/>
        <w:spacing w:line="240" w:lineRule="auto"/>
        <w:rPr>
          <w:rFonts w:eastAsia="SimSun"/>
          <w:i/>
          <w:iCs/>
        </w:rPr>
      </w:pPr>
      <w:r>
        <w:rPr>
          <w:rFonts w:eastAsia="SimSun"/>
          <w:i/>
          <w:iCs/>
        </w:rPr>
        <w:t>P</w:t>
      </w:r>
      <w:r w:rsidR="00E7349D" w:rsidRPr="006456FA">
        <w:rPr>
          <w:rFonts w:eastAsia="SimSun"/>
          <w:i/>
          <w:iCs/>
        </w:rPr>
        <w:t>aediatric and adult patients</w:t>
      </w:r>
    </w:p>
    <w:p w14:paraId="0D340EC0" w14:textId="177DD076" w:rsidR="00145625" w:rsidRPr="00145625" w:rsidRDefault="00145625" w:rsidP="00145625">
      <w:pPr>
        <w:spacing w:after="3" w:line="248" w:lineRule="auto"/>
        <w:ind w:left="10" w:hanging="10"/>
        <w:rPr>
          <w:kern w:val="2"/>
          <w:lang w:val="en-US"/>
        </w:rPr>
      </w:pPr>
      <w:r w:rsidRPr="00145625">
        <w:rPr>
          <w:color w:val="000000"/>
          <w:kern w:val="2"/>
          <w:lang w:val="en-US" w:eastAsia="ja-JP"/>
        </w:rPr>
        <w:t>Overall, the incidence</w:t>
      </w:r>
      <w:r w:rsidRPr="00145625">
        <w:rPr>
          <w:color w:val="000000"/>
          <w:kern w:val="2"/>
          <w:lang w:val="en-US"/>
        </w:rPr>
        <w:t xml:space="preserve"> of anti-drug antibodies </w:t>
      </w:r>
      <w:r w:rsidRPr="00145625">
        <w:rPr>
          <w:color w:val="000000"/>
          <w:kern w:val="2"/>
          <w:lang w:val="en-US" w:eastAsia="ja-JP"/>
        </w:rPr>
        <w:t>(ADA)</w:t>
      </w:r>
      <w:r w:rsidRPr="00145625">
        <w:rPr>
          <w:color w:val="000000"/>
          <w:kern w:val="2"/>
          <w:lang w:val="en-US"/>
        </w:rPr>
        <w:t xml:space="preserve"> to </w:t>
      </w:r>
      <w:proofErr w:type="spellStart"/>
      <w:r w:rsidRPr="00145625">
        <w:rPr>
          <w:color w:val="000000"/>
          <w:kern w:val="2"/>
          <w:lang w:val="en-US" w:eastAsia="ja-JP"/>
        </w:rPr>
        <w:t>burosumab</w:t>
      </w:r>
      <w:proofErr w:type="spellEnd"/>
      <w:r w:rsidRPr="00145625">
        <w:rPr>
          <w:color w:val="000000"/>
          <w:kern w:val="2"/>
          <w:lang w:val="en-US" w:eastAsia="ja-JP"/>
        </w:rPr>
        <w:t xml:space="preserve"> was &lt;10% in adults and </w:t>
      </w:r>
      <w:proofErr w:type="spellStart"/>
      <w:r w:rsidRPr="00145625">
        <w:rPr>
          <w:color w:val="000000"/>
          <w:kern w:val="2"/>
          <w:lang w:val="en-US" w:eastAsia="ja-JP"/>
        </w:rPr>
        <w:t>paediatric</w:t>
      </w:r>
      <w:proofErr w:type="spellEnd"/>
      <w:r w:rsidRPr="00145625">
        <w:rPr>
          <w:color w:val="000000"/>
          <w:kern w:val="2"/>
          <w:lang w:val="en-US" w:eastAsia="ja-JP"/>
        </w:rPr>
        <w:t xml:space="preserve"> subjects administered </w:t>
      </w:r>
      <w:proofErr w:type="spellStart"/>
      <w:r w:rsidRPr="00145625">
        <w:rPr>
          <w:color w:val="000000"/>
          <w:kern w:val="2"/>
          <w:lang w:val="en-US" w:eastAsia="ja-JP"/>
        </w:rPr>
        <w:t>burosumab</w:t>
      </w:r>
      <w:proofErr w:type="spellEnd"/>
      <w:r w:rsidRPr="00145625">
        <w:rPr>
          <w:color w:val="000000"/>
          <w:kern w:val="2"/>
          <w:lang w:val="en-US" w:eastAsia="ja-JP"/>
        </w:rPr>
        <w:t xml:space="preserve">. The incidence of </w:t>
      </w:r>
      <w:proofErr w:type="spellStart"/>
      <w:r w:rsidRPr="00145625">
        <w:rPr>
          <w:color w:val="000000"/>
          <w:kern w:val="2"/>
          <w:lang w:val="en-US" w:eastAsia="ja-JP"/>
        </w:rPr>
        <w:t>neutrali</w:t>
      </w:r>
      <w:r w:rsidR="00D66164">
        <w:rPr>
          <w:color w:val="000000"/>
          <w:kern w:val="2"/>
          <w:lang w:val="en-US" w:eastAsia="ja-JP"/>
        </w:rPr>
        <w:t>s</w:t>
      </w:r>
      <w:r w:rsidRPr="00145625">
        <w:rPr>
          <w:color w:val="000000"/>
          <w:kern w:val="2"/>
          <w:lang w:val="en-US" w:eastAsia="ja-JP"/>
        </w:rPr>
        <w:t>ing</w:t>
      </w:r>
      <w:proofErr w:type="spellEnd"/>
      <w:r w:rsidRPr="00145625">
        <w:rPr>
          <w:color w:val="000000"/>
          <w:kern w:val="2"/>
          <w:lang w:val="en-US" w:eastAsia="ja-JP"/>
        </w:rPr>
        <w:t xml:space="preserve"> ADA was 3.2% and </w:t>
      </w:r>
      <w:proofErr w:type="spellStart"/>
      <w:r w:rsidRPr="00145625">
        <w:rPr>
          <w:color w:val="000000"/>
          <w:kern w:val="2"/>
          <w:lang w:val="en-US" w:eastAsia="ja-JP"/>
        </w:rPr>
        <w:t>neutrali</w:t>
      </w:r>
      <w:r w:rsidR="00D66164">
        <w:rPr>
          <w:color w:val="000000"/>
          <w:kern w:val="2"/>
          <w:lang w:val="en-US" w:eastAsia="ja-JP"/>
        </w:rPr>
        <w:t>s</w:t>
      </w:r>
      <w:r w:rsidRPr="00145625">
        <w:rPr>
          <w:color w:val="000000"/>
          <w:kern w:val="2"/>
          <w:lang w:val="en-US" w:eastAsia="ja-JP"/>
        </w:rPr>
        <w:t>ing</w:t>
      </w:r>
      <w:proofErr w:type="spellEnd"/>
      <w:r w:rsidRPr="00145625">
        <w:rPr>
          <w:color w:val="000000"/>
          <w:kern w:val="2"/>
          <w:lang w:val="en-US" w:eastAsia="ja-JP"/>
        </w:rPr>
        <w:t xml:space="preserve"> ADA were only found in </w:t>
      </w:r>
      <w:proofErr w:type="spellStart"/>
      <w:r w:rsidRPr="00145625">
        <w:rPr>
          <w:color w:val="000000"/>
          <w:kern w:val="2"/>
          <w:lang w:val="en-US" w:eastAsia="ja-JP"/>
        </w:rPr>
        <w:t>p</w:t>
      </w:r>
      <w:r w:rsidR="00D66164">
        <w:rPr>
          <w:color w:val="000000"/>
          <w:kern w:val="2"/>
          <w:lang w:val="en-US" w:eastAsia="ja-JP"/>
        </w:rPr>
        <w:t>a</w:t>
      </w:r>
      <w:r w:rsidRPr="00145625">
        <w:rPr>
          <w:color w:val="000000"/>
          <w:kern w:val="2"/>
          <w:lang w:val="en-US" w:eastAsia="ja-JP"/>
        </w:rPr>
        <w:t>ediatric</w:t>
      </w:r>
      <w:proofErr w:type="spellEnd"/>
      <w:r w:rsidRPr="00145625">
        <w:rPr>
          <w:color w:val="000000"/>
          <w:kern w:val="2"/>
          <w:lang w:val="en-US" w:eastAsia="ja-JP"/>
        </w:rPr>
        <w:t xml:space="preserve"> subjects. No </w:t>
      </w:r>
      <w:r w:rsidRPr="00145625">
        <w:rPr>
          <w:color w:val="000000"/>
          <w:kern w:val="2"/>
          <w:lang w:val="en-US"/>
        </w:rPr>
        <w:t>adverse events</w:t>
      </w:r>
      <w:r w:rsidRPr="00145625">
        <w:rPr>
          <w:color w:val="000000"/>
          <w:kern w:val="2"/>
          <w:lang w:val="en-US" w:eastAsia="ja-JP"/>
        </w:rPr>
        <w:t>,</w:t>
      </w:r>
      <w:r w:rsidRPr="00145625">
        <w:rPr>
          <w:color w:val="000000"/>
          <w:kern w:val="2"/>
          <w:lang w:val="en-US"/>
        </w:rPr>
        <w:t xml:space="preserve"> loss of efficacy</w:t>
      </w:r>
      <w:r w:rsidRPr="00145625">
        <w:t>, or changes in pharmacokinetics profile</w:t>
      </w:r>
      <w:r w:rsidRPr="00145625">
        <w:rPr>
          <w:color w:val="000000"/>
          <w:kern w:val="2"/>
          <w:lang w:val="en-US"/>
        </w:rPr>
        <w:t xml:space="preserve"> were associated with these findings. </w:t>
      </w:r>
    </w:p>
    <w:p w14:paraId="64CC505E" w14:textId="77777777" w:rsidR="00145625" w:rsidRDefault="00145625" w:rsidP="006E6C7C">
      <w:pPr>
        <w:tabs>
          <w:tab w:val="clear" w:pos="567"/>
        </w:tabs>
        <w:autoSpaceDE w:val="0"/>
        <w:autoSpaceDN w:val="0"/>
        <w:adjustRightInd w:val="0"/>
        <w:spacing w:line="240" w:lineRule="auto"/>
        <w:rPr>
          <w:rFonts w:eastAsia="SimSun"/>
          <w:iCs/>
        </w:rPr>
      </w:pPr>
    </w:p>
    <w:p w14:paraId="04221EDA" w14:textId="77777777" w:rsidR="006E6C7C" w:rsidRPr="00C56B34" w:rsidRDefault="006E6C7C" w:rsidP="006E6C7C">
      <w:pPr>
        <w:tabs>
          <w:tab w:val="clear" w:pos="567"/>
        </w:tabs>
        <w:autoSpaceDE w:val="0"/>
        <w:autoSpaceDN w:val="0"/>
        <w:adjustRightInd w:val="0"/>
        <w:spacing w:line="240" w:lineRule="auto"/>
        <w:rPr>
          <w:rFonts w:eastAsia="SimSun"/>
          <w:szCs w:val="22"/>
        </w:rPr>
      </w:pPr>
    </w:p>
    <w:p w14:paraId="2C064353" w14:textId="77777777" w:rsidR="00124AD4" w:rsidRDefault="001D0951" w:rsidP="5F2EC82B">
      <w:pPr>
        <w:keepNext/>
        <w:keepLines/>
        <w:autoSpaceDE w:val="0"/>
        <w:autoSpaceDN w:val="0"/>
        <w:adjustRightInd w:val="0"/>
        <w:spacing w:line="240" w:lineRule="auto"/>
        <w:rPr>
          <w:u w:val="single"/>
        </w:rPr>
      </w:pPr>
      <w:r w:rsidRPr="5F2EC82B">
        <w:rPr>
          <w:u w:val="single"/>
        </w:rPr>
        <w:lastRenderedPageBreak/>
        <w:t>Reporting of suspected adverse reactions</w:t>
      </w:r>
    </w:p>
    <w:p w14:paraId="07518E7D" w14:textId="77777777" w:rsidR="008D719B" w:rsidRPr="00BA4BF5" w:rsidRDefault="008D719B" w:rsidP="5F2EC82B">
      <w:pPr>
        <w:keepNext/>
        <w:keepLines/>
        <w:autoSpaceDE w:val="0"/>
        <w:autoSpaceDN w:val="0"/>
        <w:adjustRightInd w:val="0"/>
        <w:spacing w:line="240" w:lineRule="auto"/>
        <w:rPr>
          <w:u w:val="single"/>
        </w:rPr>
      </w:pPr>
    </w:p>
    <w:p w14:paraId="5ED401E3" w14:textId="77777777" w:rsidR="00124AD4" w:rsidRPr="00662578" w:rsidRDefault="001D0951" w:rsidP="50BD9E82">
      <w:pPr>
        <w:keepNext/>
        <w:keepLines/>
        <w:autoSpaceDE w:val="0"/>
        <w:autoSpaceDN w:val="0"/>
        <w:adjustRightInd w:val="0"/>
        <w:spacing w:line="240" w:lineRule="auto"/>
        <w:rPr>
          <w:szCs w:val="22"/>
        </w:rPr>
      </w:pPr>
      <w:r w:rsidRPr="00595956">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Pr="001F3359">
        <w:rPr>
          <w:highlight w:val="lightGray"/>
        </w:rPr>
        <w:t>the national reporting system</w:t>
      </w:r>
      <w:r w:rsidRPr="00595956">
        <w:t xml:space="preserve"> </w:t>
      </w:r>
      <w:r w:rsidRPr="00CE3491">
        <w:rPr>
          <w:shd w:val="clear" w:color="auto" w:fill="BFBFBF"/>
        </w:rPr>
        <w:t xml:space="preserve">listed in </w:t>
      </w:r>
      <w:hyperlink r:id="rId12" w:history="1">
        <w:r w:rsidR="005171A3">
          <w:rPr>
            <w:rStyle w:val="Hyperlink"/>
            <w:szCs w:val="22"/>
            <w:highlight w:val="lightGray"/>
          </w:rPr>
          <w:t>Appendix V</w:t>
        </w:r>
      </w:hyperlink>
      <w:r w:rsidRPr="00BA4BF5">
        <w:t>.</w:t>
      </w:r>
    </w:p>
    <w:p w14:paraId="06594F50" w14:textId="77777777" w:rsidR="00124AD4" w:rsidRPr="00C56B34" w:rsidRDefault="00124AD4">
      <w:pPr>
        <w:spacing w:line="240" w:lineRule="auto"/>
        <w:rPr>
          <w:noProof/>
          <w:szCs w:val="22"/>
        </w:rPr>
      </w:pPr>
    </w:p>
    <w:p w14:paraId="2B446E7B" w14:textId="77777777" w:rsidR="00124AD4" w:rsidRDefault="001D0951" w:rsidP="00124AD4">
      <w:pPr>
        <w:spacing w:line="240" w:lineRule="auto"/>
        <w:ind w:left="567" w:hanging="567"/>
        <w:outlineLvl w:val="0"/>
        <w:rPr>
          <w:b/>
          <w:bCs/>
          <w:noProof/>
        </w:rPr>
      </w:pPr>
      <w:r>
        <w:rPr>
          <w:b/>
          <w:bCs/>
          <w:noProof/>
        </w:rPr>
        <w:t>4.9</w:t>
      </w:r>
      <w:r w:rsidR="00B33B49" w:rsidRPr="00C56B34">
        <w:rPr>
          <w:b/>
          <w:noProof/>
          <w:szCs w:val="22"/>
        </w:rPr>
        <w:tab/>
      </w:r>
      <w:r w:rsidR="00B33B49" w:rsidRPr="00595956">
        <w:rPr>
          <w:b/>
          <w:bCs/>
          <w:noProof/>
        </w:rPr>
        <w:t>Overdose</w:t>
      </w:r>
    </w:p>
    <w:p w14:paraId="7B4F23EB" w14:textId="77777777" w:rsidR="00D352C1" w:rsidRPr="00BA4BF5" w:rsidRDefault="00D352C1" w:rsidP="00124AD4">
      <w:pPr>
        <w:spacing w:line="240" w:lineRule="auto"/>
        <w:ind w:left="567" w:hanging="567"/>
        <w:outlineLvl w:val="0"/>
        <w:rPr>
          <w:noProof/>
        </w:rPr>
      </w:pPr>
    </w:p>
    <w:p w14:paraId="2621FA44" w14:textId="77777777" w:rsidR="00124AD4" w:rsidRDefault="001D0951" w:rsidP="00124AD4">
      <w:pPr>
        <w:spacing w:line="240" w:lineRule="auto"/>
      </w:pPr>
      <w:r w:rsidRPr="00BA4BF5">
        <w:t xml:space="preserve">There is no experience with overdose of </w:t>
      </w:r>
      <w:proofErr w:type="spellStart"/>
      <w:r w:rsidR="000660A6">
        <w:t>burosumab</w:t>
      </w:r>
      <w:proofErr w:type="spellEnd"/>
      <w:r w:rsidRPr="07120F5B">
        <w:t xml:space="preserve">. </w:t>
      </w:r>
      <w:proofErr w:type="spellStart"/>
      <w:r w:rsidR="000660A6">
        <w:t>Burosumab</w:t>
      </w:r>
      <w:proofErr w:type="spellEnd"/>
      <w:r w:rsidRPr="00BA4BF5">
        <w:t xml:space="preserve"> has been administered in paediatric clinical trials without dose limiting toxicity using doses up to 2.0 mg/kg body weight </w:t>
      </w:r>
      <w:r w:rsidRPr="00BA4BF5">
        <w:rPr>
          <w:shd w:val="clear" w:color="auto" w:fill="FFFFFF" w:themeFill="background1"/>
        </w:rPr>
        <w:t xml:space="preserve">with a maximal dose of 90 mg every two weeks. </w:t>
      </w:r>
      <w:r w:rsidRPr="00BA4BF5">
        <w:t>In adult clinical trials no dose limiting toxicity has been observed using doses up to 1.0 mg/kg or a maximal total dose of 128 mg every 4 weeks</w:t>
      </w:r>
      <w:r w:rsidRPr="00BA4BF5">
        <w:rPr>
          <w:shd w:val="clear" w:color="auto" w:fill="FFFFFF" w:themeFill="background1"/>
        </w:rPr>
        <w:t>.</w:t>
      </w:r>
    </w:p>
    <w:p w14:paraId="008ABAFA" w14:textId="77777777" w:rsidR="005B5B4F" w:rsidRDefault="005B5B4F" w:rsidP="00124AD4">
      <w:pPr>
        <w:spacing w:line="240" w:lineRule="auto"/>
      </w:pPr>
    </w:p>
    <w:p w14:paraId="6533CC1B" w14:textId="77777777" w:rsidR="00124AD4" w:rsidRDefault="001D0951" w:rsidP="005171A3">
      <w:pPr>
        <w:keepNext/>
        <w:spacing w:line="240" w:lineRule="auto"/>
        <w:rPr>
          <w:u w:val="single"/>
        </w:rPr>
      </w:pPr>
      <w:r w:rsidRPr="5F2EC82B">
        <w:rPr>
          <w:u w:val="single"/>
        </w:rPr>
        <w:t>Management</w:t>
      </w:r>
    </w:p>
    <w:p w14:paraId="0F2A05FF" w14:textId="77777777" w:rsidR="008D719B" w:rsidRPr="00F862F5" w:rsidRDefault="008D719B" w:rsidP="005171A3">
      <w:pPr>
        <w:keepNext/>
        <w:spacing w:line="240" w:lineRule="auto"/>
        <w:rPr>
          <w:u w:val="single"/>
        </w:rPr>
      </w:pPr>
    </w:p>
    <w:p w14:paraId="5A34D2F0" w14:textId="77777777" w:rsidR="00124AD4" w:rsidRPr="005B5B4F" w:rsidRDefault="001D0951" w:rsidP="005171A3">
      <w:pPr>
        <w:keepNext/>
        <w:spacing w:line="240" w:lineRule="auto"/>
      </w:pPr>
      <w:r>
        <w:t xml:space="preserve">In case of overdose, it is recommended to stop </w:t>
      </w:r>
      <w:proofErr w:type="spellStart"/>
      <w:r>
        <w:t>burosumab</w:t>
      </w:r>
      <w:proofErr w:type="spellEnd"/>
      <w:r>
        <w:t xml:space="preserve"> and to monitor biochemical response.</w:t>
      </w:r>
    </w:p>
    <w:p w14:paraId="378D3015" w14:textId="77777777" w:rsidR="00124AD4" w:rsidRDefault="00124AD4">
      <w:pPr>
        <w:spacing w:line="240" w:lineRule="auto"/>
        <w:rPr>
          <w:noProof/>
          <w:szCs w:val="22"/>
        </w:rPr>
      </w:pPr>
    </w:p>
    <w:p w14:paraId="3E7A68E0" w14:textId="77777777" w:rsidR="00D352C1" w:rsidRPr="00C56B34" w:rsidRDefault="00D352C1">
      <w:pPr>
        <w:spacing w:line="240" w:lineRule="auto"/>
        <w:rPr>
          <w:noProof/>
          <w:szCs w:val="22"/>
        </w:rPr>
      </w:pPr>
    </w:p>
    <w:p w14:paraId="79162BA5" w14:textId="77777777" w:rsidR="00124AD4" w:rsidRPr="00662578" w:rsidRDefault="001D0951" w:rsidP="000D4495">
      <w:pPr>
        <w:keepNext/>
        <w:suppressAutoHyphens/>
        <w:spacing w:line="240" w:lineRule="auto"/>
        <w:ind w:left="567" w:hanging="567"/>
        <w:rPr>
          <w:szCs w:val="22"/>
        </w:rPr>
      </w:pPr>
      <w:r w:rsidRPr="00595956">
        <w:rPr>
          <w:b/>
          <w:bCs/>
        </w:rPr>
        <w:t>5.</w:t>
      </w:r>
      <w:r w:rsidRPr="00662578">
        <w:rPr>
          <w:b/>
          <w:szCs w:val="22"/>
        </w:rPr>
        <w:tab/>
      </w:r>
      <w:r w:rsidRPr="00595956">
        <w:rPr>
          <w:b/>
          <w:bCs/>
        </w:rPr>
        <w:t>PHARMACOLOGICAL PROPERTIES</w:t>
      </w:r>
    </w:p>
    <w:p w14:paraId="629543B6" w14:textId="77777777" w:rsidR="00124AD4" w:rsidRPr="00B96FD0" w:rsidRDefault="00124AD4" w:rsidP="000D4495">
      <w:pPr>
        <w:keepNext/>
        <w:spacing w:line="240" w:lineRule="auto"/>
        <w:rPr>
          <w:szCs w:val="22"/>
        </w:rPr>
      </w:pPr>
    </w:p>
    <w:p w14:paraId="1353972E" w14:textId="77777777" w:rsidR="00124AD4" w:rsidRPr="00B96FD0" w:rsidRDefault="001D0951" w:rsidP="000D4495">
      <w:pPr>
        <w:keepNext/>
        <w:spacing w:line="240" w:lineRule="auto"/>
        <w:ind w:left="567" w:hanging="567"/>
        <w:outlineLvl w:val="0"/>
        <w:rPr>
          <w:szCs w:val="22"/>
        </w:rPr>
      </w:pPr>
      <w:r w:rsidRPr="00595956">
        <w:rPr>
          <w:b/>
          <w:bCs/>
        </w:rPr>
        <w:t>5.1</w:t>
      </w:r>
      <w:r w:rsidRPr="00B96FD0">
        <w:rPr>
          <w:b/>
          <w:szCs w:val="22"/>
        </w:rPr>
        <w:tab/>
      </w:r>
      <w:r w:rsidRPr="00595956">
        <w:rPr>
          <w:b/>
          <w:bCs/>
        </w:rPr>
        <w:t>Pharmacodynamic properties</w:t>
      </w:r>
    </w:p>
    <w:p w14:paraId="08DB6F12" w14:textId="77777777" w:rsidR="00124AD4" w:rsidRPr="00B96FD0" w:rsidRDefault="00124AD4" w:rsidP="000D4495">
      <w:pPr>
        <w:keepNext/>
        <w:spacing w:line="240" w:lineRule="auto"/>
        <w:rPr>
          <w:szCs w:val="22"/>
        </w:rPr>
      </w:pPr>
    </w:p>
    <w:p w14:paraId="6540B138" w14:textId="77777777" w:rsidR="00124AD4" w:rsidRPr="00BA4BF5" w:rsidRDefault="001D0951" w:rsidP="00124AD4">
      <w:pPr>
        <w:spacing w:line="240" w:lineRule="auto"/>
        <w:rPr>
          <w:shd w:val="clear" w:color="auto" w:fill="BFBFBF"/>
        </w:rPr>
      </w:pPr>
      <w:r>
        <w:t xml:space="preserve">Pharmacotherapeutic group: </w:t>
      </w:r>
      <w:r w:rsidR="008D719B">
        <w:t>Drugs</w:t>
      </w:r>
      <w:r>
        <w:t xml:space="preserve"> for the treatment of bone diseases, other </w:t>
      </w:r>
      <w:r w:rsidR="008D719B">
        <w:t>drugs</w:t>
      </w:r>
      <w:r>
        <w:t xml:space="preserve"> affecting bone structure and mineralisation, ATC code: M05BX05.</w:t>
      </w:r>
    </w:p>
    <w:p w14:paraId="7DDBAD92" w14:textId="77777777" w:rsidR="00124AD4" w:rsidRPr="00B96FD0" w:rsidRDefault="00124AD4">
      <w:pPr>
        <w:spacing w:line="240" w:lineRule="auto"/>
        <w:rPr>
          <w:szCs w:val="22"/>
        </w:rPr>
      </w:pPr>
    </w:p>
    <w:p w14:paraId="6F9EC062" w14:textId="77777777" w:rsidR="00124AD4" w:rsidRDefault="001D0951" w:rsidP="5F2EC82B">
      <w:pPr>
        <w:spacing w:line="240" w:lineRule="auto"/>
        <w:ind w:right="-2"/>
        <w:rPr>
          <w:u w:val="single"/>
        </w:rPr>
      </w:pPr>
      <w:r w:rsidRPr="5F2EC82B">
        <w:rPr>
          <w:u w:val="single"/>
        </w:rPr>
        <w:t>Mechanism of action</w:t>
      </w:r>
    </w:p>
    <w:p w14:paraId="384763AB" w14:textId="77777777" w:rsidR="008D719B" w:rsidRPr="00BA4BF5" w:rsidRDefault="008D719B" w:rsidP="5F2EC82B">
      <w:pPr>
        <w:spacing w:line="240" w:lineRule="auto"/>
        <w:ind w:right="-2"/>
        <w:rPr>
          <w:u w:val="single"/>
        </w:rPr>
      </w:pPr>
    </w:p>
    <w:p w14:paraId="25C75889" w14:textId="77777777" w:rsidR="00124AD4" w:rsidRPr="0040403D" w:rsidRDefault="001D0951" w:rsidP="50BD9E82">
      <w:pPr>
        <w:tabs>
          <w:tab w:val="clear" w:pos="567"/>
        </w:tabs>
        <w:autoSpaceDE w:val="0"/>
        <w:autoSpaceDN w:val="0"/>
        <w:adjustRightInd w:val="0"/>
        <w:spacing w:line="240" w:lineRule="auto"/>
        <w:rPr>
          <w:szCs w:val="22"/>
        </w:rPr>
      </w:pPr>
      <w:proofErr w:type="spellStart"/>
      <w:r>
        <w:t>Burosumab</w:t>
      </w:r>
      <w:proofErr w:type="spellEnd"/>
      <w:r>
        <w:t xml:space="preserve"> is a recombinant human monoclonal antibody (IgG1) that binds to and inhibits the activity of fibroblast growth factor 23 (FGF23). By inhibiting FGF23, </w:t>
      </w:r>
      <w:proofErr w:type="spellStart"/>
      <w:r>
        <w:t>burosumab</w:t>
      </w:r>
      <w:proofErr w:type="spellEnd"/>
      <w:r>
        <w:t xml:space="preserve"> increases tubular reabsorption of phosphate from the kidney and increases serum concentration of 1,25</w:t>
      </w:r>
      <w:r w:rsidRPr="07120F5B">
        <w:t> </w:t>
      </w:r>
      <w:r>
        <w:t>dihydroxy</w:t>
      </w:r>
      <w:r w:rsidRPr="001F5190">
        <w:noBreakHyphen/>
      </w:r>
      <w:r>
        <w:t>Vitamin D.</w:t>
      </w:r>
    </w:p>
    <w:p w14:paraId="6B9C4932" w14:textId="77777777" w:rsidR="00124AD4" w:rsidRPr="00C56B34" w:rsidRDefault="00124AD4" w:rsidP="00124AD4">
      <w:pPr>
        <w:autoSpaceDE w:val="0"/>
        <w:autoSpaceDN w:val="0"/>
        <w:adjustRightInd w:val="0"/>
        <w:spacing w:line="240" w:lineRule="auto"/>
        <w:rPr>
          <w:szCs w:val="22"/>
        </w:rPr>
      </w:pPr>
    </w:p>
    <w:p w14:paraId="65B103AA" w14:textId="616917DE" w:rsidR="00124AD4" w:rsidRDefault="001D0951" w:rsidP="5F2EC82B">
      <w:pPr>
        <w:autoSpaceDE w:val="0"/>
        <w:autoSpaceDN w:val="0"/>
        <w:adjustRightInd w:val="0"/>
        <w:spacing w:line="240" w:lineRule="auto"/>
        <w:rPr>
          <w:u w:val="single"/>
        </w:rPr>
      </w:pPr>
      <w:r w:rsidRPr="00640C47">
        <w:rPr>
          <w:u w:val="single"/>
        </w:rPr>
        <w:t xml:space="preserve">Clinical efficacy </w:t>
      </w:r>
      <w:r w:rsidR="006E6C7C" w:rsidRPr="00640C47">
        <w:rPr>
          <w:u w:val="single"/>
        </w:rPr>
        <w:t xml:space="preserve">in </w:t>
      </w:r>
      <w:r w:rsidR="00CA56B6" w:rsidRPr="00640C47">
        <w:rPr>
          <w:u w:val="single"/>
        </w:rPr>
        <w:t>paediatric patients</w:t>
      </w:r>
      <w:r w:rsidR="006E6C7C" w:rsidRPr="00640C47">
        <w:rPr>
          <w:u w:val="single"/>
        </w:rPr>
        <w:t xml:space="preserve"> with XLH</w:t>
      </w:r>
    </w:p>
    <w:p w14:paraId="52E67E61" w14:textId="77777777" w:rsidR="008D719B" w:rsidRDefault="008D719B" w:rsidP="5F2EC82B">
      <w:pPr>
        <w:autoSpaceDE w:val="0"/>
        <w:autoSpaceDN w:val="0"/>
        <w:adjustRightInd w:val="0"/>
        <w:spacing w:line="240" w:lineRule="auto"/>
        <w:rPr>
          <w:u w:val="single"/>
        </w:rPr>
      </w:pPr>
    </w:p>
    <w:p w14:paraId="6F8B1F1C" w14:textId="303C4021" w:rsidR="00F0458E" w:rsidRPr="00E7349D" w:rsidRDefault="001D0951" w:rsidP="00F0458E">
      <w:pPr>
        <w:autoSpaceDE w:val="0"/>
        <w:autoSpaceDN w:val="0"/>
        <w:adjustRightInd w:val="0"/>
        <w:spacing w:line="240" w:lineRule="auto"/>
        <w:rPr>
          <w:i/>
          <w:u w:val="single"/>
        </w:rPr>
      </w:pPr>
      <w:r w:rsidRPr="00E7349D">
        <w:rPr>
          <w:i/>
          <w:u w:val="single"/>
        </w:rPr>
        <w:t xml:space="preserve">Study </w:t>
      </w:r>
      <w:r w:rsidR="00E7349D">
        <w:rPr>
          <w:i/>
          <w:u w:val="single"/>
        </w:rPr>
        <w:t>UX023-</w:t>
      </w:r>
      <w:r w:rsidRPr="00E7349D">
        <w:rPr>
          <w:i/>
          <w:u w:val="single"/>
        </w:rPr>
        <w:t>CL301</w:t>
      </w:r>
    </w:p>
    <w:p w14:paraId="47356723" w14:textId="531EECE2" w:rsidR="00527086" w:rsidRPr="00E7349D" w:rsidRDefault="001D0951" w:rsidP="00F0458E">
      <w:pPr>
        <w:pStyle w:val="BodyText"/>
        <w:rPr>
          <w:i w:val="0"/>
          <w:color w:val="auto"/>
        </w:rPr>
      </w:pPr>
      <w:r w:rsidRPr="00E7349D">
        <w:rPr>
          <w:i w:val="0"/>
          <w:color w:val="auto"/>
        </w:rPr>
        <w:t xml:space="preserve">In paediatric study </w:t>
      </w:r>
      <w:r w:rsidR="006860D3">
        <w:rPr>
          <w:i w:val="0"/>
          <w:color w:val="auto"/>
        </w:rPr>
        <w:t>UX023-</w:t>
      </w:r>
      <w:r w:rsidRPr="00E7349D">
        <w:rPr>
          <w:i w:val="0"/>
          <w:color w:val="auto"/>
        </w:rPr>
        <w:t>CL301 61 patients aged 1 to 12 years (56% female; 44% male, Age at first dose</w:t>
      </w:r>
      <w:r w:rsidR="00875035" w:rsidRPr="00E7349D">
        <w:rPr>
          <w:i w:val="0"/>
          <w:color w:val="auto"/>
        </w:rPr>
        <w:t>,</w:t>
      </w:r>
      <w:r w:rsidRPr="00E7349D">
        <w:rPr>
          <w:i w:val="0"/>
          <w:color w:val="auto"/>
        </w:rPr>
        <w:t xml:space="preserve"> mean (SD): 6.3 (3.31) years) were randomised to </w:t>
      </w:r>
      <w:proofErr w:type="spellStart"/>
      <w:r w:rsidRPr="00E7349D">
        <w:rPr>
          <w:i w:val="0"/>
          <w:color w:val="auto"/>
        </w:rPr>
        <w:t>burosumab</w:t>
      </w:r>
      <w:proofErr w:type="spellEnd"/>
      <w:r w:rsidRPr="00E7349D">
        <w:rPr>
          <w:i w:val="0"/>
          <w:color w:val="auto"/>
        </w:rPr>
        <w:t xml:space="preserve"> (n=29) or active control (n=3</w:t>
      </w:r>
      <w:r w:rsidR="003B040C" w:rsidRPr="00E7349D">
        <w:rPr>
          <w:i w:val="0"/>
          <w:color w:val="auto"/>
        </w:rPr>
        <w:t>2</w:t>
      </w:r>
      <w:r w:rsidRPr="00E7349D">
        <w:rPr>
          <w:i w:val="0"/>
          <w:color w:val="auto"/>
        </w:rPr>
        <w:t xml:space="preserve">; oral phosphate and active vitamin D). At entry to the study all patients had to have had a minimum of 6 months treatment of oral phosphate and active </w:t>
      </w:r>
      <w:r w:rsidR="0031142D" w:rsidRPr="00E7349D">
        <w:rPr>
          <w:i w:val="0"/>
          <w:color w:val="auto"/>
        </w:rPr>
        <w:t>v</w:t>
      </w:r>
      <w:r w:rsidRPr="00E7349D">
        <w:rPr>
          <w:i w:val="0"/>
          <w:color w:val="auto"/>
        </w:rPr>
        <w:t xml:space="preserve">itamin D. All patients had </w:t>
      </w:r>
      <w:r w:rsidR="005C43DC" w:rsidRPr="00E7349D">
        <w:rPr>
          <w:i w:val="0"/>
          <w:color w:val="auto"/>
        </w:rPr>
        <w:t>r</w:t>
      </w:r>
      <w:r w:rsidR="00583946" w:rsidRPr="00E7349D">
        <w:rPr>
          <w:i w:val="0"/>
          <w:color w:val="auto"/>
        </w:rPr>
        <w:t>adiographic evidence of bone disease due to XLH</w:t>
      </w:r>
      <w:r w:rsidR="00583946" w:rsidRPr="00E7349D">
        <w:rPr>
          <w:i w:val="0"/>
        </w:rPr>
        <w:t xml:space="preserve"> </w:t>
      </w:r>
      <w:r w:rsidRPr="00E7349D">
        <w:rPr>
          <w:i w:val="0"/>
          <w:color w:val="auto"/>
        </w:rPr>
        <w:t xml:space="preserve">(Rickets severity score ≥2).  </w:t>
      </w:r>
      <w:proofErr w:type="spellStart"/>
      <w:r w:rsidRPr="00E7349D">
        <w:rPr>
          <w:i w:val="0"/>
          <w:color w:val="auto"/>
        </w:rPr>
        <w:t>Burosumab</w:t>
      </w:r>
      <w:proofErr w:type="spellEnd"/>
      <w:r w:rsidRPr="00E7349D">
        <w:rPr>
          <w:i w:val="0"/>
          <w:color w:val="auto"/>
        </w:rPr>
        <w:t xml:space="preserve"> was started at a dose of 0.8</w:t>
      </w:r>
      <w:r w:rsidR="005C43DC" w:rsidRPr="00E7349D">
        <w:rPr>
          <w:i w:val="0"/>
          <w:color w:val="auto"/>
        </w:rPr>
        <w:t xml:space="preserve"> </w:t>
      </w:r>
      <w:r w:rsidRPr="00E7349D">
        <w:rPr>
          <w:i w:val="0"/>
          <w:color w:val="auto"/>
        </w:rPr>
        <w:t>mg/kg every 2 weeks and increased to 1.2</w:t>
      </w:r>
      <w:r w:rsidR="005C43DC" w:rsidRPr="00E7349D">
        <w:rPr>
          <w:i w:val="0"/>
          <w:color w:val="auto"/>
        </w:rPr>
        <w:t xml:space="preserve"> </w:t>
      </w:r>
      <w:r w:rsidRPr="00E7349D">
        <w:rPr>
          <w:i w:val="0"/>
          <w:color w:val="auto"/>
        </w:rPr>
        <w:t xml:space="preserve">mg/kg if there was inadequate response, as measured by fasting serum phosphate.  Those patients randomised to active control group received multiple daily doses of oral phosphate and active </w:t>
      </w:r>
      <w:r w:rsidR="00583946" w:rsidRPr="00E7349D">
        <w:rPr>
          <w:i w:val="0"/>
          <w:color w:val="auto"/>
        </w:rPr>
        <w:t>v</w:t>
      </w:r>
      <w:r w:rsidRPr="00E7349D">
        <w:rPr>
          <w:i w:val="0"/>
          <w:color w:val="auto"/>
        </w:rPr>
        <w:t xml:space="preserve">itamin D.   </w:t>
      </w:r>
    </w:p>
    <w:p w14:paraId="7321F5CB" w14:textId="77777777" w:rsidR="006860D3" w:rsidRDefault="006860D3" w:rsidP="00F0458E">
      <w:pPr>
        <w:pStyle w:val="BodyText"/>
        <w:rPr>
          <w:i w:val="0"/>
          <w:color w:val="auto"/>
        </w:rPr>
      </w:pPr>
    </w:p>
    <w:p w14:paraId="66C28E31" w14:textId="7CD0D901" w:rsidR="0088087D" w:rsidRPr="00E7349D" w:rsidRDefault="001D0951" w:rsidP="00F0458E">
      <w:pPr>
        <w:pStyle w:val="BodyText"/>
        <w:rPr>
          <w:i w:val="0"/>
          <w:color w:val="auto"/>
        </w:rPr>
      </w:pPr>
      <w:r w:rsidRPr="00E7349D">
        <w:rPr>
          <w:i w:val="0"/>
          <w:color w:val="auto"/>
        </w:rPr>
        <w:t xml:space="preserve">The primary efficacy endpoint </w:t>
      </w:r>
      <w:r w:rsidR="00527086" w:rsidRPr="00E7349D">
        <w:rPr>
          <w:i w:val="0"/>
          <w:color w:val="auto"/>
        </w:rPr>
        <w:t>was</w:t>
      </w:r>
      <w:r w:rsidR="00583946" w:rsidRPr="00E7349D">
        <w:rPr>
          <w:i w:val="0"/>
          <w:color w:val="auto"/>
        </w:rPr>
        <w:t xml:space="preserve"> </w:t>
      </w:r>
      <w:r w:rsidRPr="00E7349D">
        <w:rPr>
          <w:i w:val="0"/>
          <w:color w:val="auto"/>
        </w:rPr>
        <w:t xml:space="preserve">the change in </w:t>
      </w:r>
      <w:r w:rsidR="00583946" w:rsidRPr="00E7349D">
        <w:rPr>
          <w:i w:val="0"/>
          <w:color w:val="auto"/>
        </w:rPr>
        <w:t xml:space="preserve">severity of </w:t>
      </w:r>
      <w:r w:rsidRPr="00E7349D">
        <w:rPr>
          <w:i w:val="0"/>
          <w:color w:val="auto"/>
        </w:rPr>
        <w:t>rickets at Week 40</w:t>
      </w:r>
      <w:r w:rsidR="00583946" w:rsidRPr="00E7349D">
        <w:rPr>
          <w:i w:val="0"/>
          <w:color w:val="auto"/>
        </w:rPr>
        <w:t>,</w:t>
      </w:r>
      <w:r w:rsidRPr="00E7349D">
        <w:rPr>
          <w:i w:val="0"/>
          <w:color w:val="auto"/>
        </w:rPr>
        <w:t xml:space="preserve"> as assessed by the RGI-C </w:t>
      </w:r>
      <w:r w:rsidR="00527086" w:rsidRPr="00E7349D">
        <w:rPr>
          <w:i w:val="0"/>
          <w:color w:val="auto"/>
        </w:rPr>
        <w:t>(Radiographic Global Impression of change)</w:t>
      </w:r>
      <w:r w:rsidR="00527086" w:rsidRPr="00E7349D">
        <w:rPr>
          <w:szCs w:val="22"/>
        </w:rPr>
        <w:t xml:space="preserve"> </w:t>
      </w:r>
      <w:r w:rsidRPr="00E7349D">
        <w:rPr>
          <w:i w:val="0"/>
          <w:color w:val="auto"/>
        </w:rPr>
        <w:t xml:space="preserve">score, compared between the </w:t>
      </w:r>
      <w:proofErr w:type="spellStart"/>
      <w:r w:rsidRPr="00E7349D">
        <w:rPr>
          <w:i w:val="0"/>
          <w:color w:val="auto"/>
        </w:rPr>
        <w:t>burosumab</w:t>
      </w:r>
      <w:proofErr w:type="spellEnd"/>
      <w:r w:rsidRPr="00E7349D">
        <w:rPr>
          <w:i w:val="0"/>
          <w:color w:val="auto"/>
        </w:rPr>
        <w:t xml:space="preserve"> and active control groups.  </w:t>
      </w:r>
    </w:p>
    <w:p w14:paraId="50D5DDE5" w14:textId="77777777" w:rsidR="0088087D" w:rsidRPr="00E7349D" w:rsidRDefault="0088087D" w:rsidP="0088087D">
      <w:pPr>
        <w:spacing w:line="240" w:lineRule="auto"/>
        <w:ind w:right="-2"/>
      </w:pPr>
    </w:p>
    <w:p w14:paraId="37AE69D7" w14:textId="77777777" w:rsidR="0088087D" w:rsidRPr="00E7349D" w:rsidRDefault="001D0951" w:rsidP="0088087D">
      <w:pPr>
        <w:spacing w:line="240" w:lineRule="auto"/>
        <w:ind w:right="-2"/>
        <w:rPr>
          <w:szCs w:val="22"/>
        </w:rPr>
      </w:pPr>
      <w:r w:rsidRPr="00E7349D">
        <w:t xml:space="preserve">The RGI-C is a relative rating scale that compares a patient’s rickets before and after treatment utilising a 7-point ordinal scale to evaluate change in the same abnormalities rated in the RSS (as described below). Scores range from -3 (indicating severe worsening of rickets) to +3 (indicating complete healing of rickets). </w:t>
      </w:r>
    </w:p>
    <w:p w14:paraId="391F3A2B" w14:textId="77777777" w:rsidR="0088087D" w:rsidRPr="00E7349D" w:rsidRDefault="0088087D" w:rsidP="00F0458E">
      <w:pPr>
        <w:pStyle w:val="BodyText"/>
        <w:rPr>
          <w:i w:val="0"/>
          <w:color w:val="auto"/>
        </w:rPr>
      </w:pPr>
    </w:p>
    <w:p w14:paraId="7E074E05" w14:textId="77777777" w:rsidR="0088087D" w:rsidRPr="00E7349D" w:rsidRDefault="001D0951" w:rsidP="006456FA">
      <w:pPr>
        <w:pStyle w:val="BodyText"/>
        <w:keepNext/>
        <w:keepLines/>
        <w:rPr>
          <w:color w:val="auto"/>
        </w:rPr>
      </w:pPr>
      <w:r w:rsidRPr="00E7349D">
        <w:rPr>
          <w:i w:val="0"/>
          <w:color w:val="auto"/>
        </w:rPr>
        <w:lastRenderedPageBreak/>
        <w:t xml:space="preserve">The severity of paediatric rickets was measured using the RSS, a radiographic scoring method based on the degree of metaphyseal fraying, concavity, and the proportion of the growth plate affected. In the UX023-CL301 study, the RSS was scored using a predefined scale looking at specific </w:t>
      </w:r>
      <w:r w:rsidRPr="00E7349D">
        <w:rPr>
          <w:rFonts w:eastAsia="TimesNewRoman"/>
          <w:i w:val="0"/>
          <w:color w:val="auto"/>
        </w:rPr>
        <w:t xml:space="preserve">abnormalities in the wrists and knees. </w:t>
      </w:r>
    </w:p>
    <w:p w14:paraId="7949242D" w14:textId="77777777" w:rsidR="00F0458E" w:rsidRPr="00E7349D" w:rsidRDefault="00F0458E" w:rsidP="00F0458E">
      <w:pPr>
        <w:pStyle w:val="BodyText"/>
        <w:rPr>
          <w:i w:val="0"/>
          <w:color w:val="auto"/>
        </w:rPr>
      </w:pPr>
    </w:p>
    <w:p w14:paraId="05FDD70D" w14:textId="77777777" w:rsidR="00F0458E" w:rsidRPr="00E7349D" w:rsidRDefault="001D0951" w:rsidP="00F0458E">
      <w:pPr>
        <w:pStyle w:val="BodyText"/>
      </w:pPr>
      <w:r w:rsidRPr="00E7349D">
        <w:rPr>
          <w:i w:val="0"/>
          <w:color w:val="auto"/>
        </w:rPr>
        <w:t xml:space="preserve">All patients completed at least 64 weeks of randomised treatment, no patients had dose reductions and 8 (28%) of </w:t>
      </w:r>
      <w:proofErr w:type="spellStart"/>
      <w:r w:rsidRPr="00E7349D">
        <w:rPr>
          <w:i w:val="0"/>
          <w:color w:val="auto"/>
        </w:rPr>
        <w:t>burosumab</w:t>
      </w:r>
      <w:proofErr w:type="spellEnd"/>
      <w:r w:rsidRPr="00E7349D">
        <w:rPr>
          <w:i w:val="0"/>
          <w:color w:val="auto"/>
        </w:rPr>
        <w:t>-treated patients received dose escalations to 1.2</w:t>
      </w:r>
      <w:r w:rsidR="002B7C2C" w:rsidRPr="00E7349D">
        <w:rPr>
          <w:i w:val="0"/>
          <w:color w:val="auto"/>
        </w:rPr>
        <w:t xml:space="preserve"> </w:t>
      </w:r>
      <w:r w:rsidRPr="00E7349D">
        <w:rPr>
          <w:i w:val="0"/>
          <w:color w:val="auto"/>
        </w:rPr>
        <w:t>mg/kg.</w:t>
      </w:r>
    </w:p>
    <w:p w14:paraId="762FB535" w14:textId="77777777" w:rsidR="00F0458E" w:rsidRPr="00E7349D" w:rsidRDefault="00F0458E" w:rsidP="00F0458E">
      <w:pPr>
        <w:autoSpaceDE w:val="0"/>
        <w:autoSpaceDN w:val="0"/>
        <w:adjustRightInd w:val="0"/>
        <w:spacing w:line="240" w:lineRule="auto"/>
      </w:pPr>
    </w:p>
    <w:p w14:paraId="1F47A7E5" w14:textId="77777777" w:rsidR="00F0458E" w:rsidRPr="00E7349D" w:rsidRDefault="001D0951" w:rsidP="00F0458E">
      <w:pPr>
        <w:tabs>
          <w:tab w:val="clear" w:pos="567"/>
        </w:tabs>
        <w:autoSpaceDE w:val="0"/>
        <w:autoSpaceDN w:val="0"/>
        <w:adjustRightInd w:val="0"/>
        <w:spacing w:line="240" w:lineRule="auto"/>
        <w:rPr>
          <w:szCs w:val="22"/>
          <w:u w:val="single"/>
        </w:rPr>
      </w:pPr>
      <w:r w:rsidRPr="00E7349D">
        <w:rPr>
          <w:szCs w:val="22"/>
          <w:u w:val="single"/>
        </w:rPr>
        <w:t>Primary Efficacy Results</w:t>
      </w:r>
    </w:p>
    <w:p w14:paraId="1B00B690" w14:textId="77777777" w:rsidR="00F0458E" w:rsidRPr="00BD2463" w:rsidRDefault="001D0951" w:rsidP="00F0458E">
      <w:pPr>
        <w:tabs>
          <w:tab w:val="clear" w:pos="567"/>
        </w:tabs>
        <w:autoSpaceDE w:val="0"/>
        <w:autoSpaceDN w:val="0"/>
        <w:adjustRightInd w:val="0"/>
        <w:spacing w:line="240" w:lineRule="auto"/>
        <w:rPr>
          <w:rFonts w:eastAsia="SimSun"/>
          <w:szCs w:val="22"/>
          <w:lang w:eastAsia="ja-JP"/>
        </w:rPr>
      </w:pPr>
      <w:r w:rsidRPr="00E7349D">
        <w:rPr>
          <w:szCs w:val="22"/>
        </w:rPr>
        <w:t xml:space="preserve">Greater healing of rickets at Week 40 was seen with </w:t>
      </w:r>
      <w:proofErr w:type="spellStart"/>
      <w:r w:rsidRPr="00E7349D">
        <w:rPr>
          <w:szCs w:val="22"/>
        </w:rPr>
        <w:t>burosumab</w:t>
      </w:r>
      <w:proofErr w:type="spellEnd"/>
      <w:r w:rsidRPr="00E7349D">
        <w:rPr>
          <w:szCs w:val="22"/>
        </w:rPr>
        <w:t xml:space="preserve"> treatment compared to active control and </w:t>
      </w:r>
      <w:r w:rsidR="00F1336F" w:rsidRPr="00E7349D">
        <w:rPr>
          <w:szCs w:val="22"/>
        </w:rPr>
        <w:t xml:space="preserve">this effect was maintained </w:t>
      </w:r>
      <w:r w:rsidRPr="00E7349D">
        <w:rPr>
          <w:szCs w:val="22"/>
        </w:rPr>
        <w:t>at week 64</w:t>
      </w:r>
      <w:r w:rsidR="002B7C2C" w:rsidRPr="00E7349D">
        <w:rPr>
          <w:szCs w:val="22"/>
        </w:rPr>
        <w:t>, as shown in</w:t>
      </w:r>
      <w:r w:rsidRPr="00E7349D">
        <w:rPr>
          <w:rFonts w:eastAsia="SimSun"/>
          <w:szCs w:val="22"/>
          <w:lang w:eastAsia="ja-JP"/>
        </w:rPr>
        <w:t xml:space="preserve"> Figure </w:t>
      </w:r>
      <w:r w:rsidR="00F42F7D" w:rsidRPr="00E7349D">
        <w:rPr>
          <w:rFonts w:eastAsia="SimSun"/>
          <w:szCs w:val="22"/>
          <w:lang w:eastAsia="ja-JP"/>
        </w:rPr>
        <w:t>1.</w:t>
      </w:r>
    </w:p>
    <w:p w14:paraId="056878E6" w14:textId="77777777" w:rsidR="00F0458E" w:rsidRDefault="00F0458E" w:rsidP="00F0458E">
      <w:pPr>
        <w:tabs>
          <w:tab w:val="clear" w:pos="567"/>
        </w:tabs>
        <w:autoSpaceDE w:val="0"/>
        <w:autoSpaceDN w:val="0"/>
        <w:adjustRightInd w:val="0"/>
        <w:spacing w:line="240" w:lineRule="auto"/>
        <w:rPr>
          <w:rFonts w:eastAsia="SimSun"/>
          <w:sz w:val="24"/>
          <w:szCs w:val="24"/>
          <w:lang w:eastAsia="ja-JP"/>
        </w:rPr>
      </w:pPr>
    </w:p>
    <w:p w14:paraId="13F2C714" w14:textId="55CBB235" w:rsidR="00F0458E" w:rsidRPr="000124CF" w:rsidRDefault="001D0951" w:rsidP="006456FA">
      <w:pPr>
        <w:pStyle w:val="Caption"/>
        <w:keepNext/>
        <w:ind w:left="851" w:hanging="851"/>
        <w:rPr>
          <w:rFonts w:eastAsia="SimSun"/>
          <w:sz w:val="22"/>
          <w:szCs w:val="22"/>
          <w:lang w:eastAsia="ja-JP"/>
        </w:rPr>
      </w:pPr>
      <w:bookmarkStart w:id="7" w:name="_Ref514775561"/>
      <w:bookmarkStart w:id="8" w:name="_Toc531854490"/>
      <w:r w:rsidRPr="000124CF">
        <w:rPr>
          <w:sz w:val="22"/>
          <w:szCs w:val="22"/>
        </w:rPr>
        <w:t>Figure</w:t>
      </w:r>
      <w:bookmarkEnd w:id="7"/>
      <w:r w:rsidRPr="000124CF">
        <w:rPr>
          <w:sz w:val="22"/>
          <w:szCs w:val="22"/>
        </w:rPr>
        <w:t xml:space="preserve"> </w:t>
      </w:r>
      <w:r w:rsidR="00F42F7D" w:rsidRPr="000124CF">
        <w:rPr>
          <w:sz w:val="22"/>
          <w:szCs w:val="22"/>
        </w:rPr>
        <w:t>1</w:t>
      </w:r>
      <w:r w:rsidRPr="000124CF">
        <w:rPr>
          <w:sz w:val="22"/>
          <w:szCs w:val="22"/>
        </w:rPr>
        <w:t>:</w:t>
      </w:r>
      <w:r w:rsidR="00796CF6">
        <w:rPr>
          <w:sz w:val="22"/>
          <w:szCs w:val="22"/>
        </w:rPr>
        <w:t xml:space="preserve"> </w:t>
      </w:r>
      <w:r w:rsidRPr="000124CF">
        <w:rPr>
          <w:sz w:val="22"/>
          <w:szCs w:val="22"/>
        </w:rPr>
        <w:t>RGI-C Global Score (Mean ± SE) – Primary Efficacy Endpoint at Week 40 and 64 (Full Analysis Set)</w:t>
      </w:r>
      <w:bookmarkEnd w:id="8"/>
    </w:p>
    <w:p w14:paraId="33FA35B5" w14:textId="77777777" w:rsidR="00F0458E" w:rsidRPr="00811BA8" w:rsidRDefault="00F0458E" w:rsidP="00D81672">
      <w:pPr>
        <w:keepNext/>
        <w:autoSpaceDE w:val="0"/>
        <w:autoSpaceDN w:val="0"/>
        <w:adjustRightInd w:val="0"/>
        <w:spacing w:line="240" w:lineRule="auto"/>
        <w:rPr>
          <w:rFonts w:eastAsia="SimSun"/>
          <w:szCs w:val="24"/>
          <w:lang w:eastAsia="ja-JP"/>
        </w:rPr>
      </w:pPr>
    </w:p>
    <w:p w14:paraId="20EB2E28" w14:textId="77777777" w:rsidR="00F0458E" w:rsidRDefault="00F0458E" w:rsidP="00D81672">
      <w:pPr>
        <w:keepNext/>
        <w:autoSpaceDE w:val="0"/>
        <w:autoSpaceDN w:val="0"/>
        <w:adjustRightInd w:val="0"/>
        <w:spacing w:line="240" w:lineRule="auto"/>
        <w:rPr>
          <w:szCs w:val="22"/>
          <w:u w:val="single"/>
        </w:rPr>
      </w:pPr>
    </w:p>
    <w:p w14:paraId="7956805B" w14:textId="00C16B9A" w:rsidR="00F0458E" w:rsidRDefault="00413DBA" w:rsidP="00F0458E">
      <w:pPr>
        <w:tabs>
          <w:tab w:val="clear" w:pos="567"/>
        </w:tabs>
        <w:spacing w:line="240" w:lineRule="auto"/>
        <w:rPr>
          <w:szCs w:val="22"/>
          <w:u w:val="single"/>
        </w:rPr>
      </w:pPr>
      <w:r>
        <w:rPr>
          <w:noProof/>
        </w:rPr>
        <w:drawing>
          <wp:inline distT="0" distB="0" distL="0" distR="0" wp14:anchorId="36783130" wp14:editId="29DDF4BF">
            <wp:extent cx="5760085" cy="4107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4107180"/>
                    </a:xfrm>
                    <a:prstGeom prst="rect">
                      <a:avLst/>
                    </a:prstGeom>
                    <a:noFill/>
                    <a:ln>
                      <a:noFill/>
                    </a:ln>
                  </pic:spPr>
                </pic:pic>
              </a:graphicData>
            </a:graphic>
          </wp:inline>
        </w:drawing>
      </w:r>
      <w:r w:rsidR="001D0951">
        <w:rPr>
          <w:szCs w:val="22"/>
          <w:u w:val="single"/>
        </w:rPr>
        <w:br w:type="page"/>
      </w:r>
    </w:p>
    <w:p w14:paraId="06871C5F" w14:textId="5F75E535" w:rsidR="00F0458E" w:rsidRDefault="001D0951" w:rsidP="00F0458E">
      <w:pPr>
        <w:autoSpaceDE w:val="0"/>
        <w:autoSpaceDN w:val="0"/>
        <w:adjustRightInd w:val="0"/>
        <w:spacing w:line="240" w:lineRule="auto"/>
        <w:rPr>
          <w:szCs w:val="22"/>
          <w:u w:val="single"/>
        </w:rPr>
      </w:pPr>
      <w:r w:rsidRPr="003933A7">
        <w:rPr>
          <w:szCs w:val="22"/>
          <w:u w:val="single"/>
        </w:rPr>
        <w:lastRenderedPageBreak/>
        <w:t>Secondary Efficacy Results</w:t>
      </w:r>
    </w:p>
    <w:p w14:paraId="08581EFD" w14:textId="17C58ED8" w:rsidR="00F0458E" w:rsidRPr="00811106" w:rsidRDefault="001D0951" w:rsidP="00F0458E">
      <w:pPr>
        <w:autoSpaceDE w:val="0"/>
        <w:autoSpaceDN w:val="0"/>
        <w:adjustRightInd w:val="0"/>
        <w:spacing w:line="240" w:lineRule="auto"/>
        <w:rPr>
          <w:szCs w:val="22"/>
          <w:u w:val="single"/>
        </w:rPr>
      </w:pPr>
      <w:r w:rsidRPr="00811106">
        <w:rPr>
          <w:szCs w:val="22"/>
        </w:rPr>
        <w:t xml:space="preserve">Key Secondary efficacy endpoint results are presented in Table </w:t>
      </w:r>
      <w:r w:rsidR="00796CF6">
        <w:rPr>
          <w:szCs w:val="22"/>
        </w:rPr>
        <w:t>3</w:t>
      </w:r>
      <w:r w:rsidRPr="00811106">
        <w:rPr>
          <w:szCs w:val="22"/>
        </w:rPr>
        <w:t xml:space="preserve">.  </w:t>
      </w:r>
    </w:p>
    <w:p w14:paraId="37A98569" w14:textId="77777777" w:rsidR="00F0458E" w:rsidRPr="00811106" w:rsidRDefault="00F0458E" w:rsidP="00F0458E">
      <w:pPr>
        <w:autoSpaceDE w:val="0"/>
        <w:autoSpaceDN w:val="0"/>
        <w:adjustRightInd w:val="0"/>
        <w:spacing w:line="240" w:lineRule="auto"/>
        <w:rPr>
          <w:szCs w:val="22"/>
          <w:u w:val="single"/>
        </w:rPr>
      </w:pPr>
    </w:p>
    <w:p w14:paraId="7D6FDB24" w14:textId="24391BDC" w:rsidR="00F0458E" w:rsidRPr="00811106" w:rsidRDefault="001D0951" w:rsidP="00F0458E">
      <w:pPr>
        <w:autoSpaceDE w:val="0"/>
        <w:autoSpaceDN w:val="0"/>
        <w:adjustRightInd w:val="0"/>
        <w:spacing w:line="240" w:lineRule="auto"/>
        <w:jc w:val="both"/>
        <w:rPr>
          <w:b/>
          <w:szCs w:val="22"/>
          <w:u w:val="single"/>
        </w:rPr>
      </w:pPr>
      <w:r w:rsidRPr="00811106">
        <w:rPr>
          <w:b/>
          <w:szCs w:val="22"/>
        </w:rPr>
        <w:t xml:space="preserve">Table </w:t>
      </w:r>
      <w:r w:rsidR="00B3263F">
        <w:rPr>
          <w:b/>
          <w:szCs w:val="22"/>
        </w:rPr>
        <w:t>3</w:t>
      </w:r>
      <w:r w:rsidR="00796CF6">
        <w:rPr>
          <w:b/>
          <w:szCs w:val="22"/>
        </w:rPr>
        <w:t>:</w:t>
      </w:r>
      <w:r w:rsidR="00B3263F" w:rsidRPr="00811106">
        <w:rPr>
          <w:b/>
          <w:szCs w:val="22"/>
        </w:rPr>
        <w:t xml:space="preserve"> </w:t>
      </w:r>
      <w:r w:rsidRPr="00811106">
        <w:rPr>
          <w:b/>
          <w:szCs w:val="22"/>
        </w:rPr>
        <w:t xml:space="preserve">Secondary Efficacy </w:t>
      </w:r>
      <w:r w:rsidR="002B7C2C" w:rsidRPr="00811106">
        <w:rPr>
          <w:b/>
          <w:szCs w:val="22"/>
        </w:rPr>
        <w:t xml:space="preserve">Endpoint </w:t>
      </w:r>
      <w:r w:rsidR="00411401" w:rsidRPr="00811106">
        <w:rPr>
          <w:b/>
          <w:szCs w:val="22"/>
        </w:rPr>
        <w:t xml:space="preserve">Results </w:t>
      </w:r>
    </w:p>
    <w:p w14:paraId="4736F7A7" w14:textId="77777777" w:rsidR="00411401" w:rsidRPr="00811106" w:rsidRDefault="00411401" w:rsidP="00C60F72">
      <w:pPr>
        <w:rPr>
          <w:rFonts w:eastAsia="SimSun"/>
          <w:sz w:val="18"/>
          <w:szCs w:val="18"/>
        </w:rPr>
      </w:pPr>
    </w:p>
    <w:tbl>
      <w:tblPr>
        <w:tblStyle w:val="TableGrid"/>
        <w:tblW w:w="0" w:type="auto"/>
        <w:tblLook w:val="04A0" w:firstRow="1" w:lastRow="0" w:firstColumn="1" w:lastColumn="0" w:noHBand="0" w:noVBand="1"/>
      </w:tblPr>
      <w:tblGrid>
        <w:gridCol w:w="2245"/>
        <w:gridCol w:w="1115"/>
        <w:gridCol w:w="1911"/>
        <w:gridCol w:w="2020"/>
        <w:gridCol w:w="1770"/>
      </w:tblGrid>
      <w:tr w:rsidR="005208C7" w:rsidRPr="00811106" w14:paraId="7159F47F" w14:textId="77777777" w:rsidTr="000124CF">
        <w:tc>
          <w:tcPr>
            <w:tcW w:w="2245" w:type="dxa"/>
          </w:tcPr>
          <w:p w14:paraId="22C79A03" w14:textId="77777777" w:rsidR="00411401" w:rsidRPr="00811106" w:rsidRDefault="001D0951" w:rsidP="00B92425">
            <w:pPr>
              <w:jc w:val="center"/>
              <w:rPr>
                <w:b/>
              </w:rPr>
            </w:pPr>
            <w:r w:rsidRPr="00811106">
              <w:rPr>
                <w:b/>
              </w:rPr>
              <w:t>Endpoint</w:t>
            </w:r>
          </w:p>
        </w:tc>
        <w:tc>
          <w:tcPr>
            <w:tcW w:w="1115" w:type="dxa"/>
          </w:tcPr>
          <w:p w14:paraId="5E6C1E7C" w14:textId="77777777" w:rsidR="00411401" w:rsidRPr="00811106" w:rsidRDefault="001D0951" w:rsidP="00B92425">
            <w:pPr>
              <w:jc w:val="center"/>
              <w:rPr>
                <w:b/>
              </w:rPr>
            </w:pPr>
            <w:r w:rsidRPr="00811106">
              <w:rPr>
                <w:b/>
              </w:rPr>
              <w:t>Week</w:t>
            </w:r>
          </w:p>
        </w:tc>
        <w:tc>
          <w:tcPr>
            <w:tcW w:w="1911" w:type="dxa"/>
          </w:tcPr>
          <w:p w14:paraId="74DA5A21" w14:textId="77777777" w:rsidR="00411401" w:rsidRPr="00811106" w:rsidRDefault="001D0951" w:rsidP="00B92425">
            <w:pPr>
              <w:jc w:val="center"/>
              <w:rPr>
                <w:b/>
              </w:rPr>
            </w:pPr>
            <w:r w:rsidRPr="00811106">
              <w:rPr>
                <w:b/>
              </w:rPr>
              <w:t>Active Control</w:t>
            </w:r>
          </w:p>
          <w:p w14:paraId="77C09115" w14:textId="77777777" w:rsidR="00411401" w:rsidRPr="00811106" w:rsidRDefault="001D0951" w:rsidP="00B92425">
            <w:pPr>
              <w:jc w:val="center"/>
              <w:rPr>
                <w:b/>
              </w:rPr>
            </w:pPr>
            <w:r w:rsidRPr="00811106">
              <w:t>LS Mean (SE)</w:t>
            </w:r>
          </w:p>
        </w:tc>
        <w:tc>
          <w:tcPr>
            <w:tcW w:w="2020" w:type="dxa"/>
            <w:shd w:val="clear" w:color="auto" w:fill="FFFFFF" w:themeFill="background1"/>
          </w:tcPr>
          <w:p w14:paraId="318ABE74" w14:textId="77777777" w:rsidR="00411401" w:rsidRPr="006738F4" w:rsidRDefault="001D0951" w:rsidP="00B92425">
            <w:pPr>
              <w:jc w:val="center"/>
              <w:rPr>
                <w:b/>
              </w:rPr>
            </w:pPr>
            <w:proofErr w:type="spellStart"/>
            <w:r w:rsidRPr="006738F4">
              <w:rPr>
                <w:b/>
              </w:rPr>
              <w:t>Burosumab</w:t>
            </w:r>
            <w:proofErr w:type="spellEnd"/>
          </w:p>
          <w:p w14:paraId="32B92A4E" w14:textId="77777777" w:rsidR="00411401" w:rsidRPr="003F184D" w:rsidRDefault="001D0951" w:rsidP="00B92425">
            <w:pPr>
              <w:jc w:val="center"/>
              <w:rPr>
                <w:b/>
              </w:rPr>
            </w:pPr>
            <w:r w:rsidRPr="003F184D">
              <w:t>LS Mean (SE)</w:t>
            </w:r>
          </w:p>
        </w:tc>
        <w:tc>
          <w:tcPr>
            <w:tcW w:w="1770" w:type="dxa"/>
          </w:tcPr>
          <w:p w14:paraId="0498B4BA" w14:textId="77777777" w:rsidR="00411401" w:rsidRPr="00811106" w:rsidRDefault="001D0951" w:rsidP="00B92425">
            <w:pPr>
              <w:jc w:val="center"/>
              <w:rPr>
                <w:b/>
              </w:rPr>
            </w:pPr>
            <w:r w:rsidRPr="00811106">
              <w:t xml:space="preserve"> </w:t>
            </w:r>
            <w:r w:rsidRPr="00811106">
              <w:rPr>
                <w:rFonts w:eastAsia="SimSun"/>
                <w:b/>
                <w:lang w:val="en-US" w:eastAsia="ja-JP"/>
              </w:rPr>
              <w:t>Difference</w:t>
            </w:r>
            <w:r w:rsidRPr="00811106">
              <w:rPr>
                <w:rFonts w:eastAsia="SimSun"/>
                <w:lang w:val="en-US" w:eastAsia="ja-JP"/>
              </w:rPr>
              <w:t xml:space="preserve"> </w:t>
            </w:r>
            <w:r w:rsidRPr="00811106">
              <w:t>(</w:t>
            </w:r>
            <w:proofErr w:type="spellStart"/>
            <w:r w:rsidRPr="00811106">
              <w:t>burosumab</w:t>
            </w:r>
            <w:proofErr w:type="spellEnd"/>
            <w:r w:rsidRPr="00811106">
              <w:t xml:space="preserve"> – active control)</w:t>
            </w:r>
          </w:p>
        </w:tc>
      </w:tr>
      <w:tr w:rsidR="005208C7" w:rsidRPr="00811106" w14:paraId="63794501" w14:textId="77777777" w:rsidTr="000124CF">
        <w:tc>
          <w:tcPr>
            <w:tcW w:w="2245" w:type="dxa"/>
            <w:vMerge w:val="restart"/>
            <w:vAlign w:val="center"/>
          </w:tcPr>
          <w:p w14:paraId="23059D6E" w14:textId="77777777" w:rsidR="00411401" w:rsidRPr="00811106" w:rsidRDefault="001D0951" w:rsidP="00B92425">
            <w:r w:rsidRPr="00811106">
              <w:t>Lower Limb Deformity; assessed by RGI-C</w:t>
            </w:r>
          </w:p>
          <w:p w14:paraId="29755104" w14:textId="77777777" w:rsidR="00411401" w:rsidRPr="00811106" w:rsidRDefault="001D0951" w:rsidP="00B92425">
            <w:r w:rsidRPr="00811106">
              <w:t xml:space="preserve"> (GEE model)</w:t>
            </w:r>
          </w:p>
        </w:tc>
        <w:tc>
          <w:tcPr>
            <w:tcW w:w="1115" w:type="dxa"/>
          </w:tcPr>
          <w:p w14:paraId="14B1C7F2" w14:textId="77777777" w:rsidR="00411401" w:rsidRPr="00811106" w:rsidRDefault="001D0951" w:rsidP="00B92425">
            <w:r w:rsidRPr="00811106">
              <w:t>40</w:t>
            </w:r>
          </w:p>
        </w:tc>
        <w:tc>
          <w:tcPr>
            <w:tcW w:w="1911" w:type="dxa"/>
          </w:tcPr>
          <w:p w14:paraId="035038F4" w14:textId="77777777" w:rsidR="00411401" w:rsidRPr="00811106" w:rsidRDefault="001D0951" w:rsidP="00B92425">
            <w:r w:rsidRPr="00811106">
              <w:t>+0.22 (0.080)</w:t>
            </w:r>
          </w:p>
        </w:tc>
        <w:tc>
          <w:tcPr>
            <w:tcW w:w="2020" w:type="dxa"/>
            <w:shd w:val="clear" w:color="auto" w:fill="FFFFFF" w:themeFill="background1"/>
          </w:tcPr>
          <w:p w14:paraId="37A5984C" w14:textId="77777777" w:rsidR="00411401" w:rsidRPr="006738F4" w:rsidRDefault="001D0951" w:rsidP="00B92425">
            <w:r w:rsidRPr="006738F4">
              <w:t>+0.62 (0.153)</w:t>
            </w:r>
          </w:p>
        </w:tc>
        <w:tc>
          <w:tcPr>
            <w:tcW w:w="1770" w:type="dxa"/>
          </w:tcPr>
          <w:p w14:paraId="052977C5" w14:textId="77777777" w:rsidR="00F62D29" w:rsidRDefault="001D0951" w:rsidP="00B92425">
            <w:r w:rsidRPr="00811106">
              <w:t xml:space="preserve">+0.40 [95% CI: 0.07, 0.72] </w:t>
            </w:r>
          </w:p>
          <w:p w14:paraId="66D0632B" w14:textId="4B43DAB0" w:rsidR="00411401" w:rsidRPr="00811106" w:rsidRDefault="001D0951" w:rsidP="00B92425">
            <w:r w:rsidRPr="00811106">
              <w:t>p = 0.0162</w:t>
            </w:r>
          </w:p>
        </w:tc>
      </w:tr>
      <w:tr w:rsidR="005208C7" w:rsidRPr="00811106" w14:paraId="2D46BECE" w14:textId="77777777" w:rsidTr="000124CF">
        <w:tc>
          <w:tcPr>
            <w:tcW w:w="2245" w:type="dxa"/>
            <w:vMerge/>
            <w:vAlign w:val="center"/>
          </w:tcPr>
          <w:p w14:paraId="3E593624" w14:textId="77777777" w:rsidR="00411401" w:rsidRPr="00811106" w:rsidRDefault="00411401" w:rsidP="00B92425"/>
        </w:tc>
        <w:tc>
          <w:tcPr>
            <w:tcW w:w="1115" w:type="dxa"/>
          </w:tcPr>
          <w:p w14:paraId="7F7EE9CD" w14:textId="77777777" w:rsidR="00411401" w:rsidRPr="00811106" w:rsidRDefault="001D0951" w:rsidP="00B92425">
            <w:r w:rsidRPr="00811106">
              <w:t>64</w:t>
            </w:r>
          </w:p>
        </w:tc>
        <w:tc>
          <w:tcPr>
            <w:tcW w:w="1911" w:type="dxa"/>
          </w:tcPr>
          <w:p w14:paraId="42DC5ECD" w14:textId="77777777" w:rsidR="00411401" w:rsidRPr="00811106" w:rsidRDefault="001D0951" w:rsidP="00B92425">
            <w:r w:rsidRPr="00811106">
              <w:t>+0.29 (0.119)</w:t>
            </w:r>
          </w:p>
        </w:tc>
        <w:tc>
          <w:tcPr>
            <w:tcW w:w="2020" w:type="dxa"/>
            <w:shd w:val="clear" w:color="auto" w:fill="FFFFFF" w:themeFill="background1"/>
          </w:tcPr>
          <w:p w14:paraId="1B2DA5BB" w14:textId="725346D9" w:rsidR="00411401" w:rsidRPr="006738F4" w:rsidRDefault="001D0951" w:rsidP="00B92425">
            <w:r w:rsidRPr="006738F4">
              <w:t xml:space="preserve"> +1.25 (0.170)</w:t>
            </w:r>
          </w:p>
        </w:tc>
        <w:tc>
          <w:tcPr>
            <w:tcW w:w="1770" w:type="dxa"/>
          </w:tcPr>
          <w:p w14:paraId="14A027B9" w14:textId="361EDEEB" w:rsidR="00F62D29" w:rsidRDefault="001D0951" w:rsidP="00B92425">
            <w:r w:rsidRPr="00811106">
              <w:t>+0.97 [95%</w:t>
            </w:r>
            <w:r w:rsidR="003F184D">
              <w:t xml:space="preserve"> </w:t>
            </w:r>
            <w:r w:rsidRPr="00811106">
              <w:t>CI:</w:t>
            </w:r>
            <w:r w:rsidR="00F62D29">
              <w:t xml:space="preserve"> </w:t>
            </w:r>
            <w:r w:rsidRPr="00811106">
              <w:t xml:space="preserve">+0.57, +1.37] </w:t>
            </w:r>
          </w:p>
          <w:p w14:paraId="413BC6CF" w14:textId="35CD00B0" w:rsidR="00411401" w:rsidRPr="00811106" w:rsidRDefault="001D0951" w:rsidP="00B92425">
            <w:r w:rsidRPr="00811106">
              <w:t xml:space="preserve">p &lt;0.0001 </w:t>
            </w:r>
          </w:p>
        </w:tc>
      </w:tr>
      <w:tr w:rsidR="005208C7" w:rsidRPr="00811106" w14:paraId="1FAD64A9" w14:textId="77777777" w:rsidTr="000124CF">
        <w:tc>
          <w:tcPr>
            <w:tcW w:w="2245" w:type="dxa"/>
            <w:vMerge w:val="restart"/>
            <w:vAlign w:val="center"/>
          </w:tcPr>
          <w:p w14:paraId="0E12A2E1" w14:textId="77777777" w:rsidR="00411401" w:rsidRPr="00811106" w:rsidRDefault="001D0951" w:rsidP="00B92425">
            <w:r w:rsidRPr="00811106">
              <w:t xml:space="preserve">Height; Z-score </w:t>
            </w:r>
          </w:p>
        </w:tc>
        <w:tc>
          <w:tcPr>
            <w:tcW w:w="1115" w:type="dxa"/>
          </w:tcPr>
          <w:p w14:paraId="7BFF547F" w14:textId="77777777" w:rsidR="00411401" w:rsidRPr="00811106" w:rsidRDefault="001D0951" w:rsidP="00B92425">
            <w:r w:rsidRPr="00811106">
              <w:t>Baseline</w:t>
            </w:r>
          </w:p>
        </w:tc>
        <w:tc>
          <w:tcPr>
            <w:tcW w:w="1911" w:type="dxa"/>
          </w:tcPr>
          <w:p w14:paraId="0D598646" w14:textId="77777777" w:rsidR="00411401" w:rsidRPr="00811106" w:rsidRDefault="001D0951" w:rsidP="00B92425">
            <w:r w:rsidRPr="00811106">
              <w:t>-2.05 (0.87)</w:t>
            </w:r>
          </w:p>
        </w:tc>
        <w:tc>
          <w:tcPr>
            <w:tcW w:w="2020" w:type="dxa"/>
            <w:shd w:val="clear" w:color="auto" w:fill="FFFFFF" w:themeFill="background1"/>
          </w:tcPr>
          <w:p w14:paraId="3E80E1E7" w14:textId="77777777" w:rsidR="00411401" w:rsidRPr="006738F4" w:rsidRDefault="001D0951" w:rsidP="00B92425">
            <w:r w:rsidRPr="006738F4">
              <w:t>-2.32 (1.17)</w:t>
            </w:r>
          </w:p>
        </w:tc>
        <w:tc>
          <w:tcPr>
            <w:tcW w:w="1770" w:type="dxa"/>
          </w:tcPr>
          <w:p w14:paraId="716736C7" w14:textId="77777777" w:rsidR="00411401" w:rsidRPr="00811106" w:rsidRDefault="00411401" w:rsidP="00B92425">
            <w:pPr>
              <w:jc w:val="center"/>
            </w:pPr>
          </w:p>
        </w:tc>
      </w:tr>
      <w:tr w:rsidR="005208C7" w:rsidRPr="00811106" w14:paraId="26BCDF27" w14:textId="77777777" w:rsidTr="000124CF">
        <w:tc>
          <w:tcPr>
            <w:tcW w:w="2245" w:type="dxa"/>
            <w:vMerge/>
            <w:vAlign w:val="center"/>
          </w:tcPr>
          <w:p w14:paraId="59FB5E51" w14:textId="77777777" w:rsidR="00411401" w:rsidRPr="00811106" w:rsidRDefault="00411401" w:rsidP="00B92425"/>
        </w:tc>
        <w:tc>
          <w:tcPr>
            <w:tcW w:w="1115" w:type="dxa"/>
          </w:tcPr>
          <w:p w14:paraId="1B5E28BD" w14:textId="77777777" w:rsidR="00411401" w:rsidRPr="00811106" w:rsidRDefault="001D0951" w:rsidP="00B92425">
            <w:r w:rsidRPr="00811106">
              <w:t>40</w:t>
            </w:r>
            <w:r w:rsidRPr="00811106">
              <w:rPr>
                <w:vertAlign w:val="superscript"/>
              </w:rPr>
              <w:t xml:space="preserve"> a</w:t>
            </w:r>
          </w:p>
        </w:tc>
        <w:tc>
          <w:tcPr>
            <w:tcW w:w="1911" w:type="dxa"/>
          </w:tcPr>
          <w:p w14:paraId="064D8FF0" w14:textId="77777777" w:rsidR="00411401" w:rsidRPr="00811106" w:rsidRDefault="001D0951" w:rsidP="00B92425">
            <w:r w:rsidRPr="00811106">
              <w:t>+0.03 (0.031)</w:t>
            </w:r>
          </w:p>
        </w:tc>
        <w:tc>
          <w:tcPr>
            <w:tcW w:w="2020" w:type="dxa"/>
            <w:shd w:val="clear" w:color="auto" w:fill="FFFFFF" w:themeFill="background1"/>
          </w:tcPr>
          <w:p w14:paraId="6897A348" w14:textId="77777777" w:rsidR="00411401" w:rsidRPr="006738F4" w:rsidRDefault="001D0951" w:rsidP="00B92425">
            <w:r w:rsidRPr="006738F4">
              <w:t>+0.16 (0.052)</w:t>
            </w:r>
          </w:p>
        </w:tc>
        <w:tc>
          <w:tcPr>
            <w:tcW w:w="1770" w:type="dxa"/>
          </w:tcPr>
          <w:p w14:paraId="306745A1" w14:textId="77777777" w:rsidR="00F62D29" w:rsidRDefault="001D0951" w:rsidP="00F62D29">
            <w:r w:rsidRPr="00811106">
              <w:t xml:space="preserve">+0.12 [95% CI: 0.01, 0.24] </w:t>
            </w:r>
          </w:p>
          <w:p w14:paraId="1C5FEABC" w14:textId="19FC43D2" w:rsidR="00411401" w:rsidRPr="00811106" w:rsidRDefault="001D0951" w:rsidP="00F62D29">
            <w:r w:rsidRPr="00811106">
              <w:t xml:space="preserve">p = 0.0408 </w:t>
            </w:r>
          </w:p>
        </w:tc>
      </w:tr>
      <w:tr w:rsidR="005208C7" w:rsidRPr="00811106" w14:paraId="1A041912" w14:textId="77777777" w:rsidTr="000124CF">
        <w:tc>
          <w:tcPr>
            <w:tcW w:w="2245" w:type="dxa"/>
            <w:vMerge/>
            <w:vAlign w:val="center"/>
          </w:tcPr>
          <w:p w14:paraId="36C99F21" w14:textId="77777777" w:rsidR="00411401" w:rsidRPr="00811106" w:rsidRDefault="00411401" w:rsidP="00B92425"/>
        </w:tc>
        <w:tc>
          <w:tcPr>
            <w:tcW w:w="1115" w:type="dxa"/>
          </w:tcPr>
          <w:p w14:paraId="6FEA8529" w14:textId="77777777" w:rsidR="00411401" w:rsidRPr="00811106" w:rsidRDefault="001D0951" w:rsidP="00B92425">
            <w:r w:rsidRPr="00811106">
              <w:t>64</w:t>
            </w:r>
            <w:r w:rsidRPr="00811106">
              <w:rPr>
                <w:vertAlign w:val="superscript"/>
              </w:rPr>
              <w:t xml:space="preserve"> b</w:t>
            </w:r>
          </w:p>
        </w:tc>
        <w:tc>
          <w:tcPr>
            <w:tcW w:w="1911" w:type="dxa"/>
          </w:tcPr>
          <w:p w14:paraId="13035D60" w14:textId="77777777" w:rsidR="00411401" w:rsidRPr="00811106" w:rsidRDefault="001D0951" w:rsidP="00B92425">
            <w:r w:rsidRPr="00811106">
              <w:t>+0.02 (0.035)</w:t>
            </w:r>
          </w:p>
        </w:tc>
        <w:tc>
          <w:tcPr>
            <w:tcW w:w="2020" w:type="dxa"/>
            <w:shd w:val="clear" w:color="auto" w:fill="FFFFFF" w:themeFill="background1"/>
          </w:tcPr>
          <w:p w14:paraId="0321D983" w14:textId="77777777" w:rsidR="00411401" w:rsidRPr="006738F4" w:rsidRDefault="001D0951" w:rsidP="00B92425">
            <w:r w:rsidRPr="006738F4">
              <w:t>+0.17 (0.066)</w:t>
            </w:r>
          </w:p>
        </w:tc>
        <w:tc>
          <w:tcPr>
            <w:tcW w:w="1770" w:type="dxa"/>
          </w:tcPr>
          <w:p w14:paraId="3D438C35" w14:textId="77777777" w:rsidR="00F62D29" w:rsidRDefault="001D0951" w:rsidP="00B92425">
            <w:r w:rsidRPr="00811106">
              <w:t>+0.14 [95% CI: 0.00, 0.29]</w:t>
            </w:r>
          </w:p>
          <w:p w14:paraId="44A21B74" w14:textId="6366A345" w:rsidR="00411401" w:rsidRPr="00811106" w:rsidRDefault="001D0951" w:rsidP="00B92425">
            <w:r w:rsidRPr="00811106">
              <w:t xml:space="preserve">p = 0.0490 </w:t>
            </w:r>
          </w:p>
        </w:tc>
      </w:tr>
      <w:tr w:rsidR="005208C7" w:rsidRPr="00811106" w14:paraId="6D7023D0" w14:textId="77777777" w:rsidTr="000124CF">
        <w:tc>
          <w:tcPr>
            <w:tcW w:w="2245" w:type="dxa"/>
            <w:vMerge w:val="restart"/>
            <w:vAlign w:val="center"/>
          </w:tcPr>
          <w:p w14:paraId="2A428F8C" w14:textId="77777777" w:rsidR="00411401" w:rsidRPr="00811106" w:rsidRDefault="001D0951" w:rsidP="00B92425">
            <w:pPr>
              <w:spacing w:line="240" w:lineRule="auto"/>
            </w:pPr>
            <w:r w:rsidRPr="00811106">
              <w:t xml:space="preserve">Rickets severity, RSS total Score </w:t>
            </w:r>
          </w:p>
        </w:tc>
        <w:tc>
          <w:tcPr>
            <w:tcW w:w="1115" w:type="dxa"/>
          </w:tcPr>
          <w:p w14:paraId="5689B6B0" w14:textId="77777777" w:rsidR="00411401" w:rsidRPr="00811106" w:rsidRDefault="001D0951" w:rsidP="00B92425">
            <w:r w:rsidRPr="00811106">
              <w:t>Baseline</w:t>
            </w:r>
          </w:p>
        </w:tc>
        <w:tc>
          <w:tcPr>
            <w:tcW w:w="1911" w:type="dxa"/>
          </w:tcPr>
          <w:p w14:paraId="7C326D0E" w14:textId="77777777" w:rsidR="00411401" w:rsidRPr="00811106" w:rsidRDefault="001D0951" w:rsidP="00B92425">
            <w:r w:rsidRPr="00811106">
              <w:t>3.19 (1.141)</w:t>
            </w:r>
          </w:p>
        </w:tc>
        <w:tc>
          <w:tcPr>
            <w:tcW w:w="2020" w:type="dxa"/>
            <w:shd w:val="clear" w:color="auto" w:fill="FFFFFF" w:themeFill="background1"/>
          </w:tcPr>
          <w:p w14:paraId="358E9A3D" w14:textId="77777777" w:rsidR="00411401" w:rsidRPr="006738F4" w:rsidRDefault="001D0951" w:rsidP="00B92425">
            <w:r w:rsidRPr="006738F4">
              <w:t>3.17 (0.975)</w:t>
            </w:r>
          </w:p>
        </w:tc>
        <w:tc>
          <w:tcPr>
            <w:tcW w:w="1770" w:type="dxa"/>
          </w:tcPr>
          <w:p w14:paraId="3ABFDC38" w14:textId="77777777" w:rsidR="00411401" w:rsidRPr="00811106" w:rsidRDefault="00411401" w:rsidP="00B92425"/>
        </w:tc>
      </w:tr>
      <w:tr w:rsidR="005208C7" w:rsidRPr="00811106" w14:paraId="43AC1D40" w14:textId="77777777" w:rsidTr="000124CF">
        <w:tc>
          <w:tcPr>
            <w:tcW w:w="2245" w:type="dxa"/>
            <w:vMerge/>
            <w:vAlign w:val="center"/>
          </w:tcPr>
          <w:p w14:paraId="021AC9BE" w14:textId="77777777" w:rsidR="00411401" w:rsidRPr="00811106" w:rsidRDefault="00411401" w:rsidP="00B92425"/>
        </w:tc>
        <w:tc>
          <w:tcPr>
            <w:tcW w:w="1115" w:type="dxa"/>
          </w:tcPr>
          <w:p w14:paraId="58BA3625" w14:textId="77777777" w:rsidR="00411401" w:rsidRPr="00811106" w:rsidRDefault="001D0951" w:rsidP="00B92425">
            <w:r w:rsidRPr="00811106">
              <w:t>40</w:t>
            </w:r>
            <w:r w:rsidRPr="00811106">
              <w:rPr>
                <w:vertAlign w:val="superscript"/>
              </w:rPr>
              <w:t xml:space="preserve"> a</w:t>
            </w:r>
          </w:p>
        </w:tc>
        <w:tc>
          <w:tcPr>
            <w:tcW w:w="1911" w:type="dxa"/>
          </w:tcPr>
          <w:p w14:paraId="7ABC0527" w14:textId="77777777" w:rsidR="00411401" w:rsidRPr="00811106" w:rsidRDefault="001D0951" w:rsidP="00B92425">
            <w:r w:rsidRPr="00811106">
              <w:t>-0.72 (0.162)</w:t>
            </w:r>
          </w:p>
        </w:tc>
        <w:tc>
          <w:tcPr>
            <w:tcW w:w="2020" w:type="dxa"/>
            <w:shd w:val="clear" w:color="auto" w:fill="FFFFFF" w:themeFill="background1"/>
          </w:tcPr>
          <w:p w14:paraId="1A1EA69A" w14:textId="77777777" w:rsidR="00411401" w:rsidRPr="006738F4" w:rsidRDefault="001D0951" w:rsidP="00B92425">
            <w:r w:rsidRPr="006738F4">
              <w:t>-2.08 (0.104)</w:t>
            </w:r>
          </w:p>
        </w:tc>
        <w:tc>
          <w:tcPr>
            <w:tcW w:w="1770" w:type="dxa"/>
          </w:tcPr>
          <w:p w14:paraId="45A620E1" w14:textId="77777777" w:rsidR="00811106" w:rsidRDefault="001D0951" w:rsidP="00B92425">
            <w:r w:rsidRPr="00811106">
              <w:t>-1.34 [95% CI</w:t>
            </w:r>
            <w:r w:rsidR="00811106">
              <w:t>:</w:t>
            </w:r>
          </w:p>
          <w:p w14:paraId="24EA181F" w14:textId="6ADD44D2" w:rsidR="00411401" w:rsidRPr="00811106" w:rsidRDefault="001D0951" w:rsidP="00B92425">
            <w:r w:rsidRPr="00811106">
              <w:t xml:space="preserve">1.74, -0.94] p &lt; 0.0001 </w:t>
            </w:r>
          </w:p>
        </w:tc>
      </w:tr>
      <w:tr w:rsidR="005208C7" w:rsidRPr="00811106" w14:paraId="2DF49480" w14:textId="77777777" w:rsidTr="000124CF">
        <w:tc>
          <w:tcPr>
            <w:tcW w:w="2245" w:type="dxa"/>
            <w:vMerge/>
            <w:vAlign w:val="center"/>
          </w:tcPr>
          <w:p w14:paraId="3CEAFEBC" w14:textId="77777777" w:rsidR="00411401" w:rsidRPr="00811106" w:rsidRDefault="00411401" w:rsidP="00B92425"/>
        </w:tc>
        <w:tc>
          <w:tcPr>
            <w:tcW w:w="1115" w:type="dxa"/>
          </w:tcPr>
          <w:p w14:paraId="1E3B4E03" w14:textId="77777777" w:rsidR="00411401" w:rsidRPr="00811106" w:rsidRDefault="001D0951" w:rsidP="00B92425">
            <w:r w:rsidRPr="00811106">
              <w:t>64</w:t>
            </w:r>
            <w:r w:rsidRPr="00811106">
              <w:rPr>
                <w:vertAlign w:val="superscript"/>
              </w:rPr>
              <w:t xml:space="preserve"> b</w:t>
            </w:r>
          </w:p>
        </w:tc>
        <w:tc>
          <w:tcPr>
            <w:tcW w:w="1911" w:type="dxa"/>
          </w:tcPr>
          <w:p w14:paraId="642C8927" w14:textId="77777777" w:rsidR="00411401" w:rsidRPr="00811106" w:rsidRDefault="001D0951" w:rsidP="00B92425">
            <w:r w:rsidRPr="00811106">
              <w:t>-1.01 (0.151)</w:t>
            </w:r>
          </w:p>
        </w:tc>
        <w:tc>
          <w:tcPr>
            <w:tcW w:w="2020" w:type="dxa"/>
            <w:shd w:val="clear" w:color="auto" w:fill="FFFFFF" w:themeFill="background1"/>
          </w:tcPr>
          <w:p w14:paraId="1B9682A0" w14:textId="77777777" w:rsidR="00411401" w:rsidRPr="006738F4" w:rsidRDefault="001D0951" w:rsidP="00B92425">
            <w:r w:rsidRPr="006738F4">
              <w:t>-2.23 (0.117)</w:t>
            </w:r>
          </w:p>
        </w:tc>
        <w:tc>
          <w:tcPr>
            <w:tcW w:w="1770" w:type="dxa"/>
          </w:tcPr>
          <w:p w14:paraId="2A4D44E1" w14:textId="77777777" w:rsidR="00F62D29" w:rsidRDefault="001D0951" w:rsidP="00B92425">
            <w:r w:rsidRPr="00811106">
              <w:t xml:space="preserve">-1.21 [95% CI: </w:t>
            </w:r>
          </w:p>
          <w:p w14:paraId="781DE55A" w14:textId="55AB5E4B" w:rsidR="00411401" w:rsidRPr="00811106" w:rsidRDefault="001D0951" w:rsidP="00B92425">
            <w:r w:rsidRPr="00811106">
              <w:t>-1.59, -0.83] p &lt; 0.0001</w:t>
            </w:r>
          </w:p>
        </w:tc>
      </w:tr>
      <w:tr w:rsidR="005208C7" w:rsidRPr="00811106" w14:paraId="1A066F59" w14:textId="77777777" w:rsidTr="000124CF">
        <w:tc>
          <w:tcPr>
            <w:tcW w:w="2245" w:type="dxa"/>
            <w:vMerge w:val="restart"/>
            <w:vAlign w:val="center"/>
          </w:tcPr>
          <w:p w14:paraId="1AF1AE12" w14:textId="77777777" w:rsidR="00AA7BF7" w:rsidRPr="00811106" w:rsidRDefault="001D0951" w:rsidP="00AA7BF7">
            <w:pPr>
              <w:spacing w:line="240" w:lineRule="auto"/>
            </w:pPr>
            <w:r w:rsidRPr="00811106">
              <w:t>Serum ALP (U/L)</w:t>
            </w:r>
          </w:p>
        </w:tc>
        <w:tc>
          <w:tcPr>
            <w:tcW w:w="1115" w:type="dxa"/>
          </w:tcPr>
          <w:p w14:paraId="44AFAB86" w14:textId="77777777" w:rsidR="00AA7BF7" w:rsidRPr="00811106" w:rsidRDefault="001D0951" w:rsidP="00AA7BF7">
            <w:r w:rsidRPr="00811106">
              <w:t>Baseline</w:t>
            </w:r>
          </w:p>
        </w:tc>
        <w:tc>
          <w:tcPr>
            <w:tcW w:w="1911" w:type="dxa"/>
          </w:tcPr>
          <w:p w14:paraId="22541C5B" w14:textId="77777777" w:rsidR="00AA7BF7" w:rsidRPr="00811106" w:rsidRDefault="001D0951" w:rsidP="00AA7BF7">
            <w:r w:rsidRPr="00811106">
              <w:t>523 (154)</w:t>
            </w:r>
          </w:p>
        </w:tc>
        <w:tc>
          <w:tcPr>
            <w:tcW w:w="2020" w:type="dxa"/>
            <w:shd w:val="clear" w:color="auto" w:fill="FFFFFF" w:themeFill="background1"/>
          </w:tcPr>
          <w:p w14:paraId="0FD09F63" w14:textId="77777777" w:rsidR="00AA7BF7" w:rsidRPr="006738F4" w:rsidRDefault="001D0951" w:rsidP="00AA7BF7">
            <w:r w:rsidRPr="006738F4">
              <w:t>511 (125)</w:t>
            </w:r>
          </w:p>
        </w:tc>
        <w:tc>
          <w:tcPr>
            <w:tcW w:w="1770" w:type="dxa"/>
          </w:tcPr>
          <w:p w14:paraId="517F41A6" w14:textId="77777777" w:rsidR="00AA7BF7" w:rsidRPr="00811106" w:rsidRDefault="00AA7BF7" w:rsidP="00AA7BF7"/>
        </w:tc>
      </w:tr>
      <w:tr w:rsidR="005208C7" w:rsidRPr="00811106" w14:paraId="6AA70CBF" w14:textId="77777777" w:rsidTr="000124CF">
        <w:tc>
          <w:tcPr>
            <w:tcW w:w="2245" w:type="dxa"/>
            <w:vMerge/>
            <w:vAlign w:val="center"/>
          </w:tcPr>
          <w:p w14:paraId="03EA6E58" w14:textId="77777777" w:rsidR="00AA7BF7" w:rsidRPr="00811106" w:rsidRDefault="00AA7BF7" w:rsidP="00AA7BF7">
            <w:pPr>
              <w:spacing w:line="240" w:lineRule="auto"/>
            </w:pPr>
          </w:p>
        </w:tc>
        <w:tc>
          <w:tcPr>
            <w:tcW w:w="1115" w:type="dxa"/>
          </w:tcPr>
          <w:p w14:paraId="5397E49C" w14:textId="77777777" w:rsidR="00AA7BF7" w:rsidRPr="00811106" w:rsidRDefault="001D0951" w:rsidP="00AA7BF7">
            <w:r w:rsidRPr="00811106">
              <w:t>40</w:t>
            </w:r>
            <w:r w:rsidRPr="00811106">
              <w:rPr>
                <w:vertAlign w:val="superscript"/>
              </w:rPr>
              <w:t xml:space="preserve"> a</w:t>
            </w:r>
          </w:p>
        </w:tc>
        <w:tc>
          <w:tcPr>
            <w:tcW w:w="1911" w:type="dxa"/>
          </w:tcPr>
          <w:p w14:paraId="052A08D2" w14:textId="77777777" w:rsidR="00AA7BF7" w:rsidRPr="00811106" w:rsidRDefault="001D0951" w:rsidP="00AA7BF7">
            <w:r w:rsidRPr="00811106">
              <w:t>489 (189)</w:t>
            </w:r>
          </w:p>
        </w:tc>
        <w:tc>
          <w:tcPr>
            <w:tcW w:w="2020" w:type="dxa"/>
            <w:shd w:val="clear" w:color="auto" w:fill="FFFFFF" w:themeFill="background1"/>
          </w:tcPr>
          <w:p w14:paraId="38A11317" w14:textId="77777777" w:rsidR="00AA7BF7" w:rsidRPr="006738F4" w:rsidRDefault="001D0951" w:rsidP="00AA7BF7">
            <w:r w:rsidRPr="006738F4">
              <w:t>381 (99)</w:t>
            </w:r>
          </w:p>
        </w:tc>
        <w:tc>
          <w:tcPr>
            <w:tcW w:w="1770" w:type="dxa"/>
          </w:tcPr>
          <w:p w14:paraId="6097C5C6" w14:textId="77777777" w:rsidR="00F62D29" w:rsidRDefault="001D0951" w:rsidP="00AA7BF7">
            <w:r w:rsidRPr="00811106">
              <w:t xml:space="preserve">-97 [95% CI: </w:t>
            </w:r>
          </w:p>
          <w:p w14:paraId="1666390B" w14:textId="398B3231" w:rsidR="00AA7BF7" w:rsidRPr="00811106" w:rsidRDefault="001D0951" w:rsidP="00AA7BF7">
            <w:r w:rsidRPr="00811106">
              <w:t>-138, -56] p &lt; 0.0001</w:t>
            </w:r>
          </w:p>
        </w:tc>
      </w:tr>
      <w:tr w:rsidR="005208C7" w:rsidRPr="00811106" w14:paraId="33E57E83" w14:textId="77777777" w:rsidTr="000124CF">
        <w:tc>
          <w:tcPr>
            <w:tcW w:w="2245" w:type="dxa"/>
            <w:vMerge/>
            <w:vAlign w:val="center"/>
          </w:tcPr>
          <w:p w14:paraId="25A0EC9B" w14:textId="77777777" w:rsidR="00AA7BF7" w:rsidRPr="00811106" w:rsidRDefault="00AA7BF7" w:rsidP="00AA7BF7">
            <w:pPr>
              <w:spacing w:line="240" w:lineRule="auto"/>
            </w:pPr>
          </w:p>
        </w:tc>
        <w:tc>
          <w:tcPr>
            <w:tcW w:w="1115" w:type="dxa"/>
          </w:tcPr>
          <w:p w14:paraId="29A1BB65" w14:textId="77777777" w:rsidR="00AA7BF7" w:rsidRPr="00811106" w:rsidRDefault="001D0951" w:rsidP="00AA7BF7">
            <w:r w:rsidRPr="00811106">
              <w:t>64</w:t>
            </w:r>
            <w:r w:rsidRPr="00811106">
              <w:rPr>
                <w:vertAlign w:val="superscript"/>
              </w:rPr>
              <w:t xml:space="preserve"> b</w:t>
            </w:r>
          </w:p>
        </w:tc>
        <w:tc>
          <w:tcPr>
            <w:tcW w:w="1911" w:type="dxa"/>
          </w:tcPr>
          <w:p w14:paraId="3C9ED74D" w14:textId="77777777" w:rsidR="00AA7BF7" w:rsidRPr="00811106" w:rsidRDefault="001D0951" w:rsidP="00AA7BF7">
            <w:r w:rsidRPr="00811106">
              <w:t>495 (182)</w:t>
            </w:r>
          </w:p>
        </w:tc>
        <w:tc>
          <w:tcPr>
            <w:tcW w:w="2020" w:type="dxa"/>
            <w:shd w:val="clear" w:color="auto" w:fill="FFFFFF" w:themeFill="background1"/>
          </w:tcPr>
          <w:p w14:paraId="34B674FF" w14:textId="77777777" w:rsidR="00AA7BF7" w:rsidRPr="006738F4" w:rsidRDefault="001D0951" w:rsidP="00AA7BF7">
            <w:r w:rsidRPr="006738F4">
              <w:t>337 (86)</w:t>
            </w:r>
          </w:p>
        </w:tc>
        <w:tc>
          <w:tcPr>
            <w:tcW w:w="1770" w:type="dxa"/>
          </w:tcPr>
          <w:p w14:paraId="327F4289" w14:textId="77777777" w:rsidR="00F62D29" w:rsidRDefault="001D0951" w:rsidP="00AA7BF7">
            <w:r w:rsidRPr="00811106">
              <w:t>-147 [95% CI:</w:t>
            </w:r>
          </w:p>
          <w:p w14:paraId="56B3342D" w14:textId="57283FA9" w:rsidR="00AA7BF7" w:rsidRPr="00811106" w:rsidRDefault="001D0951" w:rsidP="00AA7BF7">
            <w:r w:rsidRPr="00811106">
              <w:t xml:space="preserve"> -192, -102] p &lt; 0.0001</w:t>
            </w:r>
          </w:p>
        </w:tc>
      </w:tr>
      <w:tr w:rsidR="005208C7" w:rsidRPr="00811106" w14:paraId="4F486E29" w14:textId="77777777" w:rsidTr="000124CF">
        <w:tc>
          <w:tcPr>
            <w:tcW w:w="2245" w:type="dxa"/>
            <w:vMerge w:val="restart"/>
            <w:vAlign w:val="center"/>
          </w:tcPr>
          <w:p w14:paraId="06332B1B" w14:textId="77777777" w:rsidR="00411401" w:rsidRPr="00811106" w:rsidRDefault="001D0951" w:rsidP="00B92425">
            <w:pPr>
              <w:spacing w:line="240" w:lineRule="auto"/>
            </w:pPr>
            <w:r w:rsidRPr="00811106">
              <w:t xml:space="preserve">Six Minute Walk Test (m) </w:t>
            </w:r>
          </w:p>
          <w:p w14:paraId="7409512B" w14:textId="77777777" w:rsidR="00411401" w:rsidRPr="00811106" w:rsidRDefault="00411401" w:rsidP="00B92425">
            <w:pPr>
              <w:spacing w:line="240" w:lineRule="auto"/>
            </w:pPr>
          </w:p>
        </w:tc>
        <w:tc>
          <w:tcPr>
            <w:tcW w:w="1115" w:type="dxa"/>
          </w:tcPr>
          <w:p w14:paraId="247BDED3" w14:textId="77777777" w:rsidR="00411401" w:rsidRPr="00811106" w:rsidRDefault="001D0951" w:rsidP="00B92425">
            <w:r w:rsidRPr="00811106">
              <w:t>Baseline</w:t>
            </w:r>
          </w:p>
        </w:tc>
        <w:tc>
          <w:tcPr>
            <w:tcW w:w="1911" w:type="dxa"/>
          </w:tcPr>
          <w:p w14:paraId="3F201666" w14:textId="77777777" w:rsidR="00411401" w:rsidRPr="00811106" w:rsidRDefault="001D0951" w:rsidP="00B92425">
            <w:r w:rsidRPr="00811106">
              <w:t>450 (106)</w:t>
            </w:r>
          </w:p>
        </w:tc>
        <w:tc>
          <w:tcPr>
            <w:tcW w:w="2020" w:type="dxa"/>
            <w:shd w:val="clear" w:color="auto" w:fill="FFFFFF" w:themeFill="background1"/>
          </w:tcPr>
          <w:p w14:paraId="4D082769" w14:textId="77777777" w:rsidR="00411401" w:rsidRPr="006738F4" w:rsidRDefault="001D0951" w:rsidP="00B92425">
            <w:r w:rsidRPr="006738F4">
              <w:t>385 (86)</w:t>
            </w:r>
          </w:p>
        </w:tc>
        <w:tc>
          <w:tcPr>
            <w:tcW w:w="1770" w:type="dxa"/>
          </w:tcPr>
          <w:p w14:paraId="4CDCD79D" w14:textId="77777777" w:rsidR="00411401" w:rsidRPr="00811106" w:rsidRDefault="00411401" w:rsidP="00B92425"/>
        </w:tc>
      </w:tr>
      <w:tr w:rsidR="005208C7" w:rsidRPr="00811106" w14:paraId="2E17C4DB" w14:textId="77777777" w:rsidTr="000124CF">
        <w:tc>
          <w:tcPr>
            <w:tcW w:w="2245" w:type="dxa"/>
            <w:vMerge/>
          </w:tcPr>
          <w:p w14:paraId="28B709B7" w14:textId="77777777" w:rsidR="00411401" w:rsidRPr="00811106" w:rsidRDefault="00411401" w:rsidP="00B92425">
            <w:pPr>
              <w:jc w:val="right"/>
            </w:pPr>
          </w:p>
        </w:tc>
        <w:tc>
          <w:tcPr>
            <w:tcW w:w="1115" w:type="dxa"/>
          </w:tcPr>
          <w:p w14:paraId="10FC7DC3" w14:textId="77777777" w:rsidR="00411401" w:rsidRPr="00811106" w:rsidRDefault="001D0951" w:rsidP="00B92425">
            <w:r w:rsidRPr="00811106">
              <w:t>40</w:t>
            </w:r>
            <w:r w:rsidRPr="00811106">
              <w:rPr>
                <w:vertAlign w:val="superscript"/>
              </w:rPr>
              <w:t xml:space="preserve"> a</w:t>
            </w:r>
          </w:p>
        </w:tc>
        <w:tc>
          <w:tcPr>
            <w:tcW w:w="1911" w:type="dxa"/>
          </w:tcPr>
          <w:p w14:paraId="417151DE" w14:textId="77777777" w:rsidR="00411401" w:rsidRPr="00811106" w:rsidRDefault="001D0951" w:rsidP="00B92425">
            <w:r w:rsidRPr="00811106">
              <w:t>+4 (14)</w:t>
            </w:r>
          </w:p>
        </w:tc>
        <w:tc>
          <w:tcPr>
            <w:tcW w:w="2020" w:type="dxa"/>
            <w:shd w:val="clear" w:color="auto" w:fill="FFFFFF" w:themeFill="background1"/>
          </w:tcPr>
          <w:p w14:paraId="335E9C0C" w14:textId="77777777" w:rsidR="00411401" w:rsidRPr="006738F4" w:rsidRDefault="001D0951" w:rsidP="00B92425">
            <w:r w:rsidRPr="006738F4">
              <w:t>+47 (16)</w:t>
            </w:r>
          </w:p>
        </w:tc>
        <w:tc>
          <w:tcPr>
            <w:tcW w:w="1770" w:type="dxa"/>
          </w:tcPr>
          <w:p w14:paraId="48F25D24" w14:textId="77777777" w:rsidR="00F62D29" w:rsidRDefault="001D0951" w:rsidP="00B92425">
            <w:r w:rsidRPr="00811106">
              <w:t>+43 [95% CI:</w:t>
            </w:r>
          </w:p>
          <w:p w14:paraId="3E49106C" w14:textId="54AAC285" w:rsidR="00F62D29" w:rsidRDefault="001D0951" w:rsidP="00B92425">
            <w:r w:rsidRPr="00811106">
              <w:t xml:space="preserve">-0.3, 87] </w:t>
            </w:r>
          </w:p>
          <w:p w14:paraId="4F954F80" w14:textId="14EC0A05" w:rsidR="00411401" w:rsidRPr="00811106" w:rsidRDefault="001D0951" w:rsidP="00B92425">
            <w:r w:rsidRPr="00811106">
              <w:t>p = 0.0514</w:t>
            </w:r>
          </w:p>
        </w:tc>
      </w:tr>
      <w:tr w:rsidR="005208C7" w:rsidRPr="00811106" w14:paraId="2BD9575C" w14:textId="77777777" w:rsidTr="000124CF">
        <w:tc>
          <w:tcPr>
            <w:tcW w:w="2245" w:type="dxa"/>
            <w:vMerge/>
          </w:tcPr>
          <w:p w14:paraId="60E7D9DA" w14:textId="77777777" w:rsidR="00411401" w:rsidRPr="00811106" w:rsidRDefault="00411401" w:rsidP="00B92425"/>
        </w:tc>
        <w:tc>
          <w:tcPr>
            <w:tcW w:w="1115" w:type="dxa"/>
          </w:tcPr>
          <w:p w14:paraId="399D674C" w14:textId="77777777" w:rsidR="00411401" w:rsidRPr="00811106" w:rsidRDefault="001D0951" w:rsidP="00B92425">
            <w:r w:rsidRPr="00811106">
              <w:t>64</w:t>
            </w:r>
            <w:r w:rsidRPr="00811106">
              <w:rPr>
                <w:vertAlign w:val="superscript"/>
              </w:rPr>
              <w:t xml:space="preserve"> b</w:t>
            </w:r>
          </w:p>
        </w:tc>
        <w:tc>
          <w:tcPr>
            <w:tcW w:w="1911" w:type="dxa"/>
          </w:tcPr>
          <w:p w14:paraId="6690A60C" w14:textId="77777777" w:rsidR="00411401" w:rsidRPr="00811106" w:rsidRDefault="001D0951" w:rsidP="00B92425">
            <w:r w:rsidRPr="00811106">
              <w:t>+29 (17)</w:t>
            </w:r>
          </w:p>
        </w:tc>
        <w:tc>
          <w:tcPr>
            <w:tcW w:w="2020" w:type="dxa"/>
            <w:shd w:val="clear" w:color="auto" w:fill="FFFFFF" w:themeFill="background1"/>
          </w:tcPr>
          <w:p w14:paraId="563F1996" w14:textId="77777777" w:rsidR="00411401" w:rsidRPr="00811106" w:rsidRDefault="001D0951" w:rsidP="00B92425">
            <w:r w:rsidRPr="00811106">
              <w:t>+75 (13)</w:t>
            </w:r>
          </w:p>
        </w:tc>
        <w:tc>
          <w:tcPr>
            <w:tcW w:w="1770" w:type="dxa"/>
          </w:tcPr>
          <w:p w14:paraId="09992EF2" w14:textId="77777777" w:rsidR="00F62D29" w:rsidRDefault="001D0951" w:rsidP="00B92425">
            <w:r w:rsidRPr="00811106">
              <w:t xml:space="preserve">+46 [95% CI: </w:t>
            </w:r>
          </w:p>
          <w:p w14:paraId="0C02C0DF" w14:textId="35F54288" w:rsidR="00F62D29" w:rsidRDefault="001D0951" w:rsidP="00B92425">
            <w:r w:rsidRPr="00811106">
              <w:t xml:space="preserve">2, 89] </w:t>
            </w:r>
          </w:p>
          <w:p w14:paraId="4DC579AA" w14:textId="1407D854" w:rsidR="00411401" w:rsidRPr="00811106" w:rsidRDefault="001D0951" w:rsidP="00B92425">
            <w:r w:rsidRPr="00811106">
              <w:t>p = 0.0399</w:t>
            </w:r>
          </w:p>
        </w:tc>
      </w:tr>
    </w:tbl>
    <w:p w14:paraId="4BF92DC7" w14:textId="77777777" w:rsidR="00C60F72" w:rsidRPr="00811106" w:rsidRDefault="001D0951" w:rsidP="00C60F72">
      <w:pPr>
        <w:rPr>
          <w:rFonts w:eastAsia="SimSun"/>
          <w:sz w:val="18"/>
          <w:szCs w:val="18"/>
          <w:lang w:val="en-US" w:eastAsia="ja-JP"/>
        </w:rPr>
      </w:pPr>
      <w:r w:rsidRPr="00811106">
        <w:rPr>
          <w:rFonts w:eastAsia="SimSun"/>
          <w:sz w:val="18"/>
          <w:szCs w:val="18"/>
        </w:rPr>
        <w:t xml:space="preserve">a: the </w:t>
      </w:r>
      <w:r w:rsidRPr="00811106">
        <w:rPr>
          <w:rFonts w:eastAsia="SimSun"/>
          <w:sz w:val="18"/>
          <w:szCs w:val="18"/>
          <w:lang w:val="en-US" w:eastAsia="ja-JP"/>
        </w:rPr>
        <w:t>change from Baseline to Week 40 from ANCOVA model.</w:t>
      </w:r>
    </w:p>
    <w:p w14:paraId="315DFE77" w14:textId="77777777" w:rsidR="00C60F72" w:rsidRDefault="001D0951" w:rsidP="00C60F72">
      <w:pPr>
        <w:rPr>
          <w:rFonts w:eastAsia="SimSun"/>
          <w:sz w:val="18"/>
          <w:szCs w:val="18"/>
          <w:lang w:val="en-US" w:eastAsia="ja-JP"/>
        </w:rPr>
      </w:pPr>
      <w:r w:rsidRPr="00811106">
        <w:rPr>
          <w:rFonts w:eastAsia="SimSun"/>
          <w:sz w:val="18"/>
          <w:szCs w:val="18"/>
          <w:lang w:val="en-US"/>
        </w:rPr>
        <w:t>b</w:t>
      </w:r>
      <w:r w:rsidRPr="00811106">
        <w:rPr>
          <w:rFonts w:eastAsia="SimSun"/>
          <w:sz w:val="18"/>
          <w:szCs w:val="18"/>
        </w:rPr>
        <w:t>: the change</w:t>
      </w:r>
      <w:r w:rsidRPr="00811106">
        <w:rPr>
          <w:rFonts w:eastAsia="SimSun"/>
          <w:sz w:val="18"/>
          <w:szCs w:val="18"/>
          <w:lang w:val="en-US" w:eastAsia="ja-JP"/>
        </w:rPr>
        <w:t xml:space="preserve"> from Baseline to Week 64 from </w:t>
      </w:r>
      <w:r w:rsidRPr="00811106">
        <w:rPr>
          <w:rFonts w:eastAsia="SimSun"/>
          <w:sz w:val="18"/>
          <w:szCs w:val="18"/>
        </w:rPr>
        <w:t>GEE Model</w:t>
      </w:r>
      <w:r w:rsidRPr="00811106">
        <w:rPr>
          <w:rFonts w:eastAsia="SimSun"/>
          <w:sz w:val="18"/>
          <w:szCs w:val="18"/>
          <w:lang w:val="en-US" w:eastAsia="ja-JP"/>
        </w:rPr>
        <w:t>.</w:t>
      </w:r>
    </w:p>
    <w:p w14:paraId="7DF7E688" w14:textId="77777777" w:rsidR="00847592" w:rsidRPr="00356000" w:rsidRDefault="00847592" w:rsidP="00C60F72">
      <w:pPr>
        <w:rPr>
          <w:rFonts w:eastAsia="SimSun"/>
          <w:sz w:val="18"/>
          <w:szCs w:val="18"/>
          <w:lang w:val="en-US" w:eastAsia="ja-JP"/>
        </w:rPr>
      </w:pPr>
    </w:p>
    <w:p w14:paraId="2A53DE4D" w14:textId="77777777" w:rsidR="00F0458E" w:rsidRPr="003933A7" w:rsidRDefault="00F0458E" w:rsidP="00F0458E">
      <w:pPr>
        <w:rPr>
          <w:rFonts w:eastAsia="SimSun"/>
        </w:rPr>
      </w:pPr>
    </w:p>
    <w:p w14:paraId="6E840337" w14:textId="77777777" w:rsidR="002B7C2C" w:rsidRDefault="002B7C2C" w:rsidP="00F0458E">
      <w:pPr>
        <w:tabs>
          <w:tab w:val="clear" w:pos="567"/>
        </w:tabs>
        <w:autoSpaceDE w:val="0"/>
        <w:autoSpaceDN w:val="0"/>
        <w:adjustRightInd w:val="0"/>
        <w:spacing w:line="240" w:lineRule="auto"/>
        <w:rPr>
          <w:i/>
        </w:rPr>
      </w:pPr>
    </w:p>
    <w:p w14:paraId="597C4D9D" w14:textId="77777777" w:rsidR="007E1ED1" w:rsidRDefault="001D0951">
      <w:pPr>
        <w:tabs>
          <w:tab w:val="clear" w:pos="567"/>
        </w:tabs>
        <w:spacing w:line="240" w:lineRule="auto"/>
        <w:rPr>
          <w:i/>
        </w:rPr>
      </w:pPr>
      <w:r>
        <w:rPr>
          <w:i/>
        </w:rPr>
        <w:br w:type="page"/>
      </w:r>
    </w:p>
    <w:p w14:paraId="10BA6AF6" w14:textId="77777777" w:rsidR="00F0458E" w:rsidRPr="00811106" w:rsidRDefault="001D0951" w:rsidP="00820F48">
      <w:pPr>
        <w:keepNext/>
        <w:tabs>
          <w:tab w:val="clear" w:pos="567"/>
        </w:tabs>
        <w:autoSpaceDE w:val="0"/>
        <w:autoSpaceDN w:val="0"/>
        <w:adjustRightInd w:val="0"/>
        <w:spacing w:line="240" w:lineRule="auto"/>
        <w:rPr>
          <w:rFonts w:eastAsia="SimSun"/>
          <w:color w:val="000000"/>
          <w:sz w:val="24"/>
          <w:szCs w:val="24"/>
          <w:lang w:eastAsia="ja-JP"/>
        </w:rPr>
      </w:pPr>
      <w:r w:rsidRPr="00811106">
        <w:rPr>
          <w:rFonts w:eastAsia="SimSun"/>
          <w:i/>
          <w:color w:val="000000"/>
          <w:szCs w:val="24"/>
          <w:lang w:eastAsia="ja-JP"/>
        </w:rPr>
        <w:lastRenderedPageBreak/>
        <w:t>Serum Phosphate</w:t>
      </w:r>
    </w:p>
    <w:p w14:paraId="5AA61A8F" w14:textId="77777777" w:rsidR="00F0458E" w:rsidRPr="00811106" w:rsidRDefault="001D0951" w:rsidP="00820F48">
      <w:pPr>
        <w:pStyle w:val="BodyText"/>
        <w:keepNext/>
        <w:rPr>
          <w:i w:val="0"/>
          <w:color w:val="auto"/>
        </w:rPr>
      </w:pPr>
      <w:bookmarkStart w:id="9" w:name="_Ref478490551"/>
      <w:bookmarkStart w:id="10" w:name="_Toc482969445"/>
      <w:bookmarkStart w:id="11" w:name="_Toc531854485"/>
      <w:r w:rsidRPr="00811106">
        <w:rPr>
          <w:i w:val="0"/>
          <w:color w:val="auto"/>
        </w:rPr>
        <w:t>At each study visit at which serum phosph</w:t>
      </w:r>
      <w:r w:rsidR="008801FD" w:rsidRPr="00811106">
        <w:rPr>
          <w:i w:val="0"/>
          <w:color w:val="auto"/>
        </w:rPr>
        <w:t>ate</w:t>
      </w:r>
      <w:r w:rsidRPr="00811106">
        <w:rPr>
          <w:i w:val="0"/>
          <w:color w:val="auto"/>
        </w:rPr>
        <w:t xml:space="preserve"> was assessed in both groups, changes in serum </w:t>
      </w:r>
      <w:r w:rsidR="005E545C" w:rsidRPr="00811106">
        <w:rPr>
          <w:i w:val="0"/>
          <w:color w:val="auto"/>
        </w:rPr>
        <w:t>phosphate</w:t>
      </w:r>
      <w:r w:rsidRPr="00811106">
        <w:rPr>
          <w:i w:val="0"/>
          <w:color w:val="auto"/>
        </w:rPr>
        <w:t xml:space="preserve"> from Baseline were </w:t>
      </w:r>
      <w:r w:rsidR="007E5F06" w:rsidRPr="00811106">
        <w:rPr>
          <w:i w:val="0"/>
          <w:color w:val="auto"/>
        </w:rPr>
        <w:t>larger</w:t>
      </w:r>
      <w:r w:rsidRPr="00811106">
        <w:rPr>
          <w:i w:val="0"/>
          <w:color w:val="auto"/>
        </w:rPr>
        <w:t xml:space="preserve"> in the </w:t>
      </w:r>
      <w:proofErr w:type="spellStart"/>
      <w:r w:rsidRPr="00811106">
        <w:rPr>
          <w:i w:val="0"/>
          <w:color w:val="auto"/>
        </w:rPr>
        <w:t>burosumab</w:t>
      </w:r>
      <w:proofErr w:type="spellEnd"/>
      <w:r w:rsidRPr="00811106">
        <w:rPr>
          <w:i w:val="0"/>
          <w:color w:val="auto"/>
        </w:rPr>
        <w:t xml:space="preserve"> group compared with the active control group (p &lt; 0.0001; GEE model)</w:t>
      </w:r>
      <w:r w:rsidR="00154A95" w:rsidRPr="00811106">
        <w:rPr>
          <w:i w:val="0"/>
          <w:color w:val="auto"/>
        </w:rPr>
        <w:t xml:space="preserve"> (Figure 2).</w:t>
      </w:r>
    </w:p>
    <w:p w14:paraId="3155CCD2" w14:textId="77777777" w:rsidR="00F0458E" w:rsidRPr="00811106" w:rsidRDefault="00F0458E" w:rsidP="00820F48">
      <w:pPr>
        <w:pStyle w:val="Caption"/>
        <w:keepNext/>
      </w:pPr>
    </w:p>
    <w:p w14:paraId="439F6B35" w14:textId="77777777" w:rsidR="00F0458E" w:rsidRPr="00811106" w:rsidRDefault="00F0458E" w:rsidP="00820F48">
      <w:pPr>
        <w:pStyle w:val="Caption"/>
        <w:keepNext/>
      </w:pPr>
    </w:p>
    <w:p w14:paraId="55E09EB4" w14:textId="1C1E0D6B" w:rsidR="00F0458E" w:rsidRPr="00811106" w:rsidRDefault="001D0951" w:rsidP="006456FA">
      <w:pPr>
        <w:pStyle w:val="Caption"/>
        <w:keepNext/>
        <w:ind w:left="851" w:hanging="851"/>
        <w:rPr>
          <w:sz w:val="22"/>
          <w:szCs w:val="22"/>
        </w:rPr>
      </w:pPr>
      <w:r w:rsidRPr="00811106">
        <w:rPr>
          <w:sz w:val="22"/>
          <w:szCs w:val="22"/>
        </w:rPr>
        <w:t>Figure </w:t>
      </w:r>
      <w:bookmarkEnd w:id="9"/>
      <w:r w:rsidR="00A31099" w:rsidRPr="00811106">
        <w:rPr>
          <w:noProof/>
          <w:sz w:val="22"/>
          <w:szCs w:val="22"/>
        </w:rPr>
        <w:t>2</w:t>
      </w:r>
      <w:r w:rsidRPr="00811106">
        <w:rPr>
          <w:sz w:val="22"/>
          <w:szCs w:val="22"/>
        </w:rPr>
        <w:t>:</w:t>
      </w:r>
      <w:r w:rsidR="00BB6DEC">
        <w:rPr>
          <w:sz w:val="22"/>
          <w:szCs w:val="22"/>
        </w:rPr>
        <w:t xml:space="preserve"> </w:t>
      </w:r>
      <w:r w:rsidRPr="006456FA">
        <w:rPr>
          <w:rFonts w:eastAsia="Calibri"/>
          <w:sz w:val="22"/>
          <w:szCs w:val="22"/>
          <w:lang w:val="en-US"/>
        </w:rPr>
        <w:t xml:space="preserve">Serum </w:t>
      </w:r>
      <w:r w:rsidR="005E545C" w:rsidRPr="006456FA">
        <w:rPr>
          <w:rFonts w:eastAsia="Calibri"/>
          <w:sz w:val="22"/>
          <w:szCs w:val="22"/>
          <w:lang w:val="en-US"/>
        </w:rPr>
        <w:t>Phosphate</w:t>
      </w:r>
      <w:r w:rsidRPr="006456FA">
        <w:rPr>
          <w:rFonts w:eastAsia="Calibri"/>
          <w:sz w:val="22"/>
          <w:szCs w:val="22"/>
          <w:lang w:val="en-US"/>
        </w:rPr>
        <w:t xml:space="preserve"> Concentration and Change from Baseline (mg/dL) (Mean ± SE) by Treatment Group (PD Analysis Set)</w:t>
      </w:r>
      <w:bookmarkEnd w:id="10"/>
      <w:bookmarkEnd w:id="11"/>
    </w:p>
    <w:p w14:paraId="2535400D" w14:textId="77777777" w:rsidR="005D2DC7" w:rsidRPr="00E11471" w:rsidRDefault="001D0951" w:rsidP="00E11471">
      <w:pPr>
        <w:keepNext/>
        <w:rPr>
          <w:sz w:val="18"/>
          <w:szCs w:val="18"/>
        </w:rPr>
      </w:pPr>
      <w:r w:rsidRPr="00811106">
        <w:rPr>
          <w:i/>
          <w:sz w:val="18"/>
          <w:szCs w:val="18"/>
        </w:rPr>
        <w:t>Note: Dashed line in figure indicates the lower limit of the</w:t>
      </w:r>
      <w:r w:rsidR="00B6603D" w:rsidRPr="00811106">
        <w:rPr>
          <w:i/>
          <w:sz w:val="18"/>
          <w:szCs w:val="18"/>
        </w:rPr>
        <w:t xml:space="preserve"> serum phosphate</w:t>
      </w:r>
      <w:r w:rsidRPr="00811106">
        <w:rPr>
          <w:i/>
          <w:sz w:val="18"/>
          <w:szCs w:val="18"/>
        </w:rPr>
        <w:t xml:space="preserve"> reference range, 3.2 mg/dL</w:t>
      </w:r>
      <w:r w:rsidR="00EA37EC" w:rsidRPr="00811106">
        <w:rPr>
          <w:i/>
          <w:sz w:val="18"/>
          <w:szCs w:val="18"/>
        </w:rPr>
        <w:t xml:space="preserve"> (1.03 mmol/L)</w:t>
      </w:r>
    </w:p>
    <w:p w14:paraId="06E6F257" w14:textId="77777777" w:rsidR="00F0458E" w:rsidRDefault="00F0458E" w:rsidP="00E11471">
      <w:pPr>
        <w:keepNext/>
        <w:tabs>
          <w:tab w:val="clear" w:pos="567"/>
        </w:tabs>
        <w:autoSpaceDE w:val="0"/>
        <w:autoSpaceDN w:val="0"/>
        <w:adjustRightInd w:val="0"/>
        <w:spacing w:line="240" w:lineRule="auto"/>
        <w:rPr>
          <w:rFonts w:eastAsia="SimSun"/>
          <w:color w:val="000000"/>
          <w:sz w:val="24"/>
          <w:szCs w:val="24"/>
          <w:lang w:eastAsia="ja-JP"/>
        </w:rPr>
      </w:pPr>
    </w:p>
    <w:p w14:paraId="64EBAF3F" w14:textId="77777777" w:rsidR="00F0458E" w:rsidRDefault="00F0458E" w:rsidP="00E11471">
      <w:pPr>
        <w:keepNext/>
        <w:tabs>
          <w:tab w:val="clear" w:pos="567"/>
        </w:tabs>
        <w:autoSpaceDE w:val="0"/>
        <w:autoSpaceDN w:val="0"/>
        <w:adjustRightInd w:val="0"/>
        <w:spacing w:line="240" w:lineRule="auto"/>
        <w:rPr>
          <w:rFonts w:eastAsia="SimSun"/>
          <w:color w:val="000000"/>
          <w:sz w:val="24"/>
          <w:szCs w:val="24"/>
          <w:lang w:eastAsia="ja-JP"/>
        </w:rPr>
      </w:pPr>
    </w:p>
    <w:p w14:paraId="40AEF434" w14:textId="77777777" w:rsidR="001107AB" w:rsidRDefault="001D0951" w:rsidP="00E11471">
      <w:pPr>
        <w:keepNext/>
        <w:tabs>
          <w:tab w:val="clear" w:pos="567"/>
        </w:tabs>
        <w:autoSpaceDE w:val="0"/>
        <w:autoSpaceDN w:val="0"/>
        <w:adjustRightInd w:val="0"/>
        <w:spacing w:line="240" w:lineRule="auto"/>
        <w:rPr>
          <w:rFonts w:eastAsia="SimSun"/>
          <w:color w:val="000000"/>
          <w:sz w:val="24"/>
          <w:szCs w:val="24"/>
          <w:lang w:eastAsia="ja-JP"/>
        </w:rPr>
      </w:pPr>
      <w:r w:rsidRPr="00811106">
        <w:rPr>
          <w:noProof/>
          <w:lang w:val="en-US" w:eastAsia="zh-CN"/>
        </w:rPr>
        <w:drawing>
          <wp:inline distT="0" distB="0" distL="0" distR="0" wp14:anchorId="3584264D" wp14:editId="29BE1EEE">
            <wp:extent cx="5758814" cy="3954299"/>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778597" name="Pictur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58814" cy="3954299"/>
                    </a:xfrm>
                    <a:prstGeom prst="rect">
                      <a:avLst/>
                    </a:prstGeom>
                    <a:noFill/>
                    <a:ln>
                      <a:noFill/>
                    </a:ln>
                    <a:extLst>
                      <a:ext uri="{53640926-AAD7-44D8-BBD7-CCE9431645EC}">
                        <a14:shadowObscured xmlns:a14="http://schemas.microsoft.com/office/drawing/2010/main"/>
                      </a:ext>
                    </a:extLst>
                  </pic:spPr>
                </pic:pic>
              </a:graphicData>
            </a:graphic>
          </wp:inline>
        </w:drawing>
      </w:r>
    </w:p>
    <w:p w14:paraId="12DB5373" w14:textId="77777777" w:rsidR="00F0458E" w:rsidRDefault="00F0458E" w:rsidP="00E11471">
      <w:pPr>
        <w:keepNext/>
        <w:tabs>
          <w:tab w:val="clear" w:pos="567"/>
        </w:tabs>
        <w:autoSpaceDE w:val="0"/>
        <w:autoSpaceDN w:val="0"/>
        <w:adjustRightInd w:val="0"/>
        <w:spacing w:line="240" w:lineRule="auto"/>
        <w:rPr>
          <w:rFonts w:eastAsia="SimSun"/>
          <w:color w:val="000000"/>
          <w:sz w:val="24"/>
          <w:szCs w:val="24"/>
          <w:lang w:eastAsia="ja-JP"/>
        </w:rPr>
      </w:pPr>
    </w:p>
    <w:p w14:paraId="031D0D1E" w14:textId="77777777" w:rsidR="00F0458E" w:rsidRPr="00BA4BF5" w:rsidRDefault="00F0458E" w:rsidP="5F2EC82B">
      <w:pPr>
        <w:autoSpaceDE w:val="0"/>
        <w:autoSpaceDN w:val="0"/>
        <w:adjustRightInd w:val="0"/>
        <w:spacing w:line="240" w:lineRule="auto"/>
        <w:rPr>
          <w:u w:val="single"/>
        </w:rPr>
      </w:pPr>
    </w:p>
    <w:p w14:paraId="0C8CDD11" w14:textId="77777777" w:rsidR="00124AD4" w:rsidRPr="001F3359" w:rsidRDefault="001D0951" w:rsidP="50BD9E82">
      <w:pPr>
        <w:spacing w:line="240" w:lineRule="auto"/>
        <w:ind w:right="-2"/>
        <w:rPr>
          <w:i/>
          <w:szCs w:val="22"/>
          <w:u w:val="single"/>
        </w:rPr>
      </w:pPr>
      <w:r w:rsidRPr="001F3359">
        <w:rPr>
          <w:i/>
          <w:u w:val="single"/>
        </w:rPr>
        <w:t>Study UX023-CL201</w:t>
      </w:r>
    </w:p>
    <w:p w14:paraId="13098C41" w14:textId="039D8CEB" w:rsidR="00124AD4" w:rsidRPr="00811106" w:rsidRDefault="001D0951" w:rsidP="50BD9E82">
      <w:pPr>
        <w:spacing w:line="240" w:lineRule="auto"/>
        <w:ind w:right="-2"/>
        <w:rPr>
          <w:szCs w:val="22"/>
        </w:rPr>
      </w:pPr>
      <w:r>
        <w:t xml:space="preserve">In </w:t>
      </w:r>
      <w:r w:rsidRPr="00811106">
        <w:t>paediatric Study UX023-CL201, 52 paediatric patients aged 5 to 12 years (mean 8.5 years; SD 1.87) with XLH were treated for 64 weeks. Nearly all patients had radiographic evidence of rickets at baseline and had received prior oral phosphate and vitamin D analogues for a mean (SD) duration of 7 (2.4) years</w:t>
      </w:r>
      <w:r w:rsidRPr="00811106">
        <w:rPr>
          <w:rFonts w:ascii="Arial" w:hAnsi="Arial" w:cs="Arial"/>
        </w:rPr>
        <w:t xml:space="preserve">. </w:t>
      </w:r>
      <w:r w:rsidRPr="00811106">
        <w:t xml:space="preserve">This </w:t>
      </w:r>
      <w:r w:rsidRPr="00811106">
        <w:rPr>
          <w:lang w:val="en-US"/>
        </w:rPr>
        <w:t xml:space="preserve">conventional therapy was discontinued 2-4 weeks prior to </w:t>
      </w:r>
      <w:proofErr w:type="spellStart"/>
      <w:r w:rsidRPr="00811106">
        <w:rPr>
          <w:lang w:val="en-US"/>
        </w:rPr>
        <w:t>burosumab</w:t>
      </w:r>
      <w:proofErr w:type="spellEnd"/>
      <w:r w:rsidRPr="00811106">
        <w:rPr>
          <w:lang w:val="en-US"/>
        </w:rPr>
        <w:t xml:space="preserve"> initiation. </w:t>
      </w:r>
      <w:r w:rsidRPr="00811106">
        <w:t xml:space="preserve">The </w:t>
      </w:r>
      <w:proofErr w:type="spellStart"/>
      <w:r w:rsidRPr="00811106">
        <w:t>burosumab</w:t>
      </w:r>
      <w:proofErr w:type="spellEnd"/>
      <w:r w:rsidRPr="00811106">
        <w:t xml:space="preserve"> dose was adjusted to target a fasting serum </w:t>
      </w:r>
      <w:r w:rsidR="00163F97" w:rsidRPr="00811106">
        <w:t>phosphate</w:t>
      </w:r>
      <w:r w:rsidRPr="00811106">
        <w:t xml:space="preserve"> concentration of</w:t>
      </w:r>
      <w:r w:rsidR="004A232F" w:rsidRPr="00811106">
        <w:t xml:space="preserve"> 3.50 to</w:t>
      </w:r>
      <w:r w:rsidR="006456FA">
        <w:t> </w:t>
      </w:r>
      <w:r w:rsidR="004A232F" w:rsidRPr="00811106">
        <w:t>5.02 mg/dL</w:t>
      </w:r>
      <w:r w:rsidR="008B76DF" w:rsidRPr="00811106">
        <w:t xml:space="preserve"> (1.13 to 1.62 mmol/L)</w:t>
      </w:r>
      <w:r w:rsidRPr="00811106">
        <w:t xml:space="preserve">. Twenty six of 52 patients received </w:t>
      </w:r>
      <w:proofErr w:type="spellStart"/>
      <w:r w:rsidRPr="00811106">
        <w:t>burosumab</w:t>
      </w:r>
      <w:proofErr w:type="spellEnd"/>
      <w:r w:rsidRPr="00811106">
        <w:t xml:space="preserve"> every 4 weeks (Q4W). Twenty six of 52 patients received </w:t>
      </w:r>
      <w:proofErr w:type="spellStart"/>
      <w:r w:rsidRPr="00811106">
        <w:rPr>
          <w:rFonts w:eastAsia="SimSun"/>
        </w:rPr>
        <w:t>burosumab</w:t>
      </w:r>
      <w:proofErr w:type="spellEnd"/>
      <w:r w:rsidRPr="00811106">
        <w:t xml:space="preserve"> every two weeks (Q2W) at an average dose (min, max) of 0.73 (0.3, 1.5), 0.98 (0.4, 2.0) and 1.04 (0.4, 2.0) mg/kg at weeks 16, 40 and 60 respectively, and up to a maximum dose of 2.0 mg/kg. </w:t>
      </w:r>
    </w:p>
    <w:p w14:paraId="70565120" w14:textId="77777777" w:rsidR="00124AD4" w:rsidRPr="00811106" w:rsidRDefault="00124AD4">
      <w:pPr>
        <w:spacing w:line="240" w:lineRule="auto"/>
        <w:ind w:right="-2"/>
        <w:rPr>
          <w:szCs w:val="22"/>
        </w:rPr>
      </w:pPr>
    </w:p>
    <w:p w14:paraId="654BD747" w14:textId="3CD94A21" w:rsidR="004D1285" w:rsidRDefault="001D0951" w:rsidP="004D1285">
      <w:pPr>
        <w:widowControl w:val="0"/>
        <w:spacing w:line="240" w:lineRule="auto"/>
        <w:ind w:right="-2"/>
        <w:rPr>
          <w:noProof/>
        </w:rPr>
      </w:pPr>
      <w:proofErr w:type="spellStart"/>
      <w:r w:rsidRPr="00811106">
        <w:rPr>
          <w:rFonts w:eastAsia="TimesNewRoman"/>
        </w:rPr>
        <w:t>Burosumab</w:t>
      </w:r>
      <w:proofErr w:type="spellEnd"/>
      <w:r w:rsidRPr="00811106">
        <w:rPr>
          <w:rFonts w:eastAsia="TimesNewRoman"/>
        </w:rPr>
        <w:t xml:space="preserve"> increased serum phosphate concentration and increased </w:t>
      </w:r>
      <w:proofErr w:type="spellStart"/>
      <w:r w:rsidRPr="00811106">
        <w:rPr>
          <w:rFonts w:eastAsia="TimesNewRoman"/>
        </w:rPr>
        <w:t>TmP</w:t>
      </w:r>
      <w:proofErr w:type="spellEnd"/>
      <w:r w:rsidRPr="00811106">
        <w:rPr>
          <w:rFonts w:eastAsia="TimesNewRoman"/>
        </w:rPr>
        <w:t>/GFR</w:t>
      </w:r>
      <w:r w:rsidR="00E012E8" w:rsidRPr="00811106">
        <w:rPr>
          <w:rFonts w:eastAsia="TimesNewRoman"/>
        </w:rPr>
        <w:t>.</w:t>
      </w:r>
      <w:r w:rsidR="00AD663C" w:rsidRPr="00811106">
        <w:rPr>
          <w:rFonts w:eastAsia="TimesNewRoman"/>
        </w:rPr>
        <w:t xml:space="preserve"> </w:t>
      </w:r>
      <w:r w:rsidRPr="00811106">
        <w:rPr>
          <w:rFonts w:eastAsia="TimesNewRoman"/>
        </w:rPr>
        <w:t xml:space="preserve">In the group that received </w:t>
      </w:r>
      <w:proofErr w:type="spellStart"/>
      <w:r w:rsidRPr="00811106">
        <w:rPr>
          <w:rFonts w:eastAsia="TimesNewRoman"/>
        </w:rPr>
        <w:t>burosumab</w:t>
      </w:r>
      <w:proofErr w:type="spellEnd"/>
      <w:r w:rsidRPr="00811106">
        <w:rPr>
          <w:rFonts w:eastAsia="TimesNewRoman"/>
        </w:rPr>
        <w:t xml:space="preserve"> every 2 weeks, mean (SD) serum phosphate concentration increased from </w:t>
      </w:r>
      <w:r w:rsidR="00AA3852" w:rsidRPr="00811106">
        <w:rPr>
          <w:rFonts w:eastAsia="TimesNewRoman"/>
        </w:rPr>
        <w:t xml:space="preserve">2.38 (0.405) mg/dL </w:t>
      </w:r>
      <w:r w:rsidR="00F84EBC" w:rsidRPr="00811106">
        <w:rPr>
          <w:rFonts w:eastAsia="TimesNewRoman"/>
        </w:rPr>
        <w:t xml:space="preserve">(0.77 (0.131) mmol/L) </w:t>
      </w:r>
      <w:r w:rsidRPr="00811106">
        <w:rPr>
          <w:rFonts w:eastAsia="TimesNewRoman"/>
        </w:rPr>
        <w:t>at baseline</w:t>
      </w:r>
      <w:r w:rsidR="005A2675" w:rsidRPr="00811106">
        <w:rPr>
          <w:rFonts w:eastAsia="TimesNewRoman"/>
        </w:rPr>
        <w:t>)</w:t>
      </w:r>
      <w:r w:rsidRPr="00811106">
        <w:rPr>
          <w:rFonts w:eastAsia="TimesNewRoman"/>
        </w:rPr>
        <w:t xml:space="preserve">, to </w:t>
      </w:r>
      <w:r w:rsidR="00B27963" w:rsidRPr="00811106">
        <w:rPr>
          <w:rFonts w:eastAsia="TimesNewRoman"/>
        </w:rPr>
        <w:t>3.</w:t>
      </w:r>
      <w:r w:rsidR="004209F4" w:rsidRPr="00811106">
        <w:rPr>
          <w:rFonts w:eastAsia="TimesNewRoman"/>
        </w:rPr>
        <w:t>3</w:t>
      </w:r>
      <w:r w:rsidR="00B27963" w:rsidRPr="00811106">
        <w:rPr>
          <w:rFonts w:eastAsia="TimesNewRoman"/>
        </w:rPr>
        <w:t xml:space="preserve"> (0.396) mg/dL</w:t>
      </w:r>
      <w:r w:rsidR="003F45E6" w:rsidRPr="00811106">
        <w:rPr>
          <w:rFonts w:eastAsia="TimesNewRoman"/>
        </w:rPr>
        <w:t xml:space="preserve"> (1.07 (0.128) mmol/L)</w:t>
      </w:r>
      <w:r w:rsidR="00B27963" w:rsidRPr="00811106">
        <w:rPr>
          <w:rFonts w:eastAsia="TimesNewRoman"/>
        </w:rPr>
        <w:t xml:space="preserve"> </w:t>
      </w:r>
      <w:r w:rsidRPr="00811106">
        <w:rPr>
          <w:rFonts w:eastAsia="TimesNewRoman"/>
        </w:rPr>
        <w:t xml:space="preserve">at Week 40 and was maintained to Week 64 at </w:t>
      </w:r>
      <w:r w:rsidR="00AA3852" w:rsidRPr="00811106">
        <w:rPr>
          <w:rFonts w:eastAsia="TimesNewRoman"/>
        </w:rPr>
        <w:t>3.35 (0.445) mg/dL</w:t>
      </w:r>
      <w:r w:rsidR="00A32DE3" w:rsidRPr="00811106">
        <w:rPr>
          <w:rFonts w:eastAsia="TimesNewRoman"/>
        </w:rPr>
        <w:t xml:space="preserve"> (1.08 (0.144) mmol/L</w:t>
      </w:r>
      <w:r w:rsidR="008C1808">
        <w:rPr>
          <w:rFonts w:eastAsia="TimesNewRoman"/>
        </w:rPr>
        <w:t>).</w:t>
      </w:r>
      <w:r w:rsidR="004D1285">
        <w:rPr>
          <w:noProof/>
        </w:rPr>
        <w:t xml:space="preserve"> </w:t>
      </w:r>
    </w:p>
    <w:p w14:paraId="5DD8210E" w14:textId="77777777" w:rsidR="004D1285" w:rsidRPr="004D1285" w:rsidRDefault="004D1285" w:rsidP="004D1285">
      <w:pPr>
        <w:widowControl w:val="0"/>
        <w:spacing w:line="240" w:lineRule="auto"/>
        <w:ind w:right="-2"/>
        <w:rPr>
          <w:noProof/>
        </w:rPr>
      </w:pPr>
    </w:p>
    <w:p w14:paraId="2340921B" w14:textId="703967B1" w:rsidR="00124AD4" w:rsidRPr="00811106" w:rsidRDefault="001D0951" w:rsidP="004D1285">
      <w:pPr>
        <w:keepNext/>
        <w:keepLines/>
        <w:widowControl w:val="0"/>
        <w:spacing w:line="240" w:lineRule="auto"/>
        <w:rPr>
          <w:rFonts w:eastAsia="TimesNewRoman"/>
        </w:rPr>
      </w:pPr>
      <w:r w:rsidRPr="004D1285">
        <w:rPr>
          <w:rFonts w:eastAsia="TimesNewRoman"/>
          <w:i/>
          <w:iCs/>
        </w:rPr>
        <w:lastRenderedPageBreak/>
        <w:t>A</w:t>
      </w:r>
      <w:r w:rsidR="004F0533" w:rsidRPr="004D1285">
        <w:rPr>
          <w:rFonts w:eastAsia="TimesNewRoman"/>
          <w:i/>
          <w:iCs/>
        </w:rPr>
        <w:t>lkaline phosphatase activity</w:t>
      </w:r>
    </w:p>
    <w:p w14:paraId="7F31DDF6" w14:textId="77777777" w:rsidR="00124AD4" w:rsidRDefault="001D0951" w:rsidP="004D1285">
      <w:pPr>
        <w:keepNext/>
        <w:keepLines/>
        <w:widowControl w:val="0"/>
        <w:spacing w:line="240" w:lineRule="auto"/>
        <w:ind w:right="-2"/>
        <w:rPr>
          <w:rFonts w:eastAsia="TimesNewRoman"/>
        </w:rPr>
      </w:pPr>
      <w:r w:rsidRPr="00811106">
        <w:rPr>
          <w:rFonts w:eastAsia="TimesNewRoman"/>
        </w:rPr>
        <w:t>Mean (SD) serum total alkaline phosphatase activity was 459 (105) U/L at baseline and decreased to 369 (76) U/L at Week 64 (-19.</w:t>
      </w:r>
      <w:r w:rsidR="00DB53A7" w:rsidRPr="00811106">
        <w:rPr>
          <w:rFonts w:eastAsia="TimesNewRoman"/>
        </w:rPr>
        <w:t>6</w:t>
      </w:r>
      <w:r w:rsidRPr="00811106">
        <w:rPr>
          <w:rFonts w:eastAsia="TimesNewRoman"/>
        </w:rPr>
        <w:t>%, p &lt; 0.0001).</w:t>
      </w:r>
      <w:r w:rsidRPr="5F2EC82B">
        <w:rPr>
          <w:rFonts w:eastAsia="TimesNewRoman"/>
        </w:rPr>
        <w:t xml:space="preserve"> </w:t>
      </w:r>
    </w:p>
    <w:p w14:paraId="371D2380" w14:textId="77777777" w:rsidR="006E6C7C" w:rsidRDefault="006E6C7C" w:rsidP="006456FA">
      <w:pPr>
        <w:keepNext/>
        <w:keepLines/>
        <w:spacing w:line="240" w:lineRule="auto"/>
        <w:ind w:right="-2"/>
        <w:rPr>
          <w:rFonts w:eastAsia="TimesNewRoman"/>
        </w:rPr>
      </w:pPr>
    </w:p>
    <w:p w14:paraId="73E7A629" w14:textId="77777777" w:rsidR="00124AD4" w:rsidRPr="00BC09C2" w:rsidRDefault="001D0951" w:rsidP="006456FA">
      <w:pPr>
        <w:keepNext/>
        <w:keepLines/>
        <w:spacing w:line="240" w:lineRule="auto"/>
        <w:ind w:right="-2"/>
        <w:rPr>
          <w:rFonts w:eastAsia="TimesNewRoman"/>
          <w:i/>
          <w:iCs/>
        </w:rPr>
      </w:pPr>
      <w:r w:rsidRPr="07120F5B">
        <w:rPr>
          <w:rFonts w:eastAsia="TimesNewRoman"/>
        </w:rPr>
        <w:t xml:space="preserve">Bone-derived serum alkaline phosphatase content was 165 (52) </w:t>
      </w:r>
      <w:proofErr w:type="spellStart"/>
      <w:r w:rsidRPr="07120F5B">
        <w:rPr>
          <w:rFonts w:eastAsia="TimesNewRoman"/>
        </w:rPr>
        <w:t>μg</w:t>
      </w:r>
      <w:proofErr w:type="spellEnd"/>
      <w:r w:rsidRPr="07120F5B">
        <w:rPr>
          <w:rFonts w:eastAsia="TimesNewRoman"/>
        </w:rPr>
        <w:t xml:space="preserve">/L [mean (SD)] at Baseline and 115 (31) </w:t>
      </w:r>
      <w:proofErr w:type="spellStart"/>
      <w:r w:rsidRPr="07120F5B">
        <w:rPr>
          <w:rFonts w:eastAsia="TimesNewRoman"/>
        </w:rPr>
        <w:t>μg</w:t>
      </w:r>
      <w:proofErr w:type="spellEnd"/>
      <w:r w:rsidRPr="07120F5B">
        <w:rPr>
          <w:rFonts w:eastAsia="TimesNewRoman"/>
        </w:rPr>
        <w:t>/L at Week 64 (mean change: -28.5%).</w:t>
      </w:r>
    </w:p>
    <w:p w14:paraId="18DE69BC" w14:textId="77777777" w:rsidR="00124AD4" w:rsidRDefault="00124AD4" w:rsidP="00124AD4">
      <w:pPr>
        <w:pStyle w:val="BodyText"/>
        <w:rPr>
          <w:color w:val="auto"/>
        </w:rPr>
      </w:pPr>
    </w:p>
    <w:p w14:paraId="278B0812" w14:textId="4E33B610" w:rsidR="000F0920" w:rsidRPr="00811106" w:rsidRDefault="001D0951" w:rsidP="002D164E">
      <w:pPr>
        <w:pStyle w:val="BodyText"/>
        <w:rPr>
          <w:i w:val="0"/>
          <w:color w:val="auto"/>
        </w:rPr>
      </w:pPr>
      <w:r w:rsidRPr="00811106">
        <w:rPr>
          <w:i w:val="0"/>
          <w:color w:val="auto"/>
        </w:rPr>
        <w:t xml:space="preserve">The severity of paediatric rickets in Study UX023-CL201 was measured using the RSS, </w:t>
      </w:r>
      <w:r w:rsidR="00233B81" w:rsidRPr="00811106">
        <w:rPr>
          <w:i w:val="0"/>
          <w:color w:val="auto"/>
        </w:rPr>
        <w:t xml:space="preserve">as described above. </w:t>
      </w:r>
      <w:r w:rsidRPr="00811106">
        <w:rPr>
          <w:i w:val="0"/>
          <w:color w:val="auto"/>
        </w:rPr>
        <w:t xml:space="preserve">In Study UX023-CL201, the RSS was scored using a predefined scale looking at specific </w:t>
      </w:r>
      <w:r w:rsidRPr="00811106">
        <w:rPr>
          <w:rFonts w:eastAsia="TimesNewRoman"/>
          <w:i w:val="0"/>
          <w:color w:val="auto"/>
        </w:rPr>
        <w:t>abnormalities in the wrists and knees.</w:t>
      </w:r>
      <w:r w:rsidR="00DB6932" w:rsidRPr="00811106">
        <w:rPr>
          <w:rFonts w:eastAsia="TimesNewRoman"/>
          <w:i w:val="0"/>
          <w:color w:val="auto"/>
        </w:rPr>
        <w:t xml:space="preserve"> </w:t>
      </w:r>
      <w:r w:rsidRPr="00811106">
        <w:rPr>
          <w:i w:val="0"/>
          <w:color w:val="auto"/>
        </w:rPr>
        <w:t xml:space="preserve">As a complement to the RSS </w:t>
      </w:r>
      <w:r w:rsidR="003973A7" w:rsidRPr="00811106">
        <w:rPr>
          <w:i w:val="0"/>
          <w:color w:val="auto"/>
        </w:rPr>
        <w:t xml:space="preserve">assessment, </w:t>
      </w:r>
      <w:r w:rsidR="00AD663C" w:rsidRPr="00811106">
        <w:rPr>
          <w:i w:val="0"/>
          <w:color w:val="auto"/>
        </w:rPr>
        <w:t>t</w:t>
      </w:r>
      <w:r w:rsidRPr="00811106">
        <w:rPr>
          <w:i w:val="0"/>
          <w:color w:val="auto"/>
        </w:rPr>
        <w:t xml:space="preserve">he RGI-C rating scale </w:t>
      </w:r>
      <w:r w:rsidR="003973A7" w:rsidRPr="00811106">
        <w:rPr>
          <w:i w:val="0"/>
          <w:color w:val="auto"/>
        </w:rPr>
        <w:t>was used.</w:t>
      </w:r>
      <w:r w:rsidRPr="00811106">
        <w:rPr>
          <w:i w:val="0"/>
          <w:color w:val="auto"/>
        </w:rPr>
        <w:t xml:space="preserve"> Results are summarised in Table </w:t>
      </w:r>
      <w:r w:rsidR="00796CF6">
        <w:rPr>
          <w:i w:val="0"/>
          <w:color w:val="auto"/>
        </w:rPr>
        <w:t>4</w:t>
      </w:r>
      <w:r w:rsidRPr="00811106">
        <w:rPr>
          <w:i w:val="0"/>
          <w:color w:val="auto"/>
        </w:rPr>
        <w:t xml:space="preserve">. </w:t>
      </w:r>
    </w:p>
    <w:p w14:paraId="1BC16BEA" w14:textId="32822D5F" w:rsidR="00124AD4" w:rsidRDefault="00124AD4">
      <w:pPr>
        <w:spacing w:line="240" w:lineRule="auto"/>
        <w:ind w:right="-2"/>
        <w:rPr>
          <w:sz w:val="20"/>
          <w:szCs w:val="22"/>
        </w:rPr>
      </w:pPr>
    </w:p>
    <w:p w14:paraId="471365D6" w14:textId="77777777" w:rsidR="00DC2BB8" w:rsidRPr="00811106" w:rsidRDefault="00DC2BB8">
      <w:pPr>
        <w:spacing w:line="240" w:lineRule="auto"/>
        <w:ind w:right="-2"/>
        <w:rPr>
          <w:sz w:val="20"/>
          <w:szCs w:val="22"/>
        </w:rPr>
      </w:pPr>
    </w:p>
    <w:p w14:paraId="6655AD86" w14:textId="7E9E786A" w:rsidR="00124AD4" w:rsidRDefault="001D0951" w:rsidP="00D1529A">
      <w:pPr>
        <w:pStyle w:val="Caption"/>
        <w:keepNext/>
        <w:keepLines/>
        <w:spacing w:line="240" w:lineRule="auto"/>
        <w:rPr>
          <w:sz w:val="22"/>
          <w:szCs w:val="22"/>
        </w:rPr>
      </w:pPr>
      <w:r w:rsidRPr="00811106">
        <w:rPr>
          <w:sz w:val="22"/>
          <w:szCs w:val="22"/>
        </w:rPr>
        <w:t>Table</w:t>
      </w:r>
      <w:r w:rsidR="00AD663C" w:rsidRPr="00811106">
        <w:rPr>
          <w:sz w:val="22"/>
          <w:szCs w:val="22"/>
        </w:rPr>
        <w:t xml:space="preserve"> </w:t>
      </w:r>
      <w:r w:rsidR="00B3263F">
        <w:rPr>
          <w:sz w:val="22"/>
          <w:szCs w:val="22"/>
        </w:rPr>
        <w:t>4</w:t>
      </w:r>
      <w:r w:rsidRPr="00811106">
        <w:rPr>
          <w:sz w:val="22"/>
          <w:szCs w:val="22"/>
        </w:rPr>
        <w:t xml:space="preserve">: Rickets Response in Children 5-12 </w:t>
      </w:r>
      <w:r w:rsidR="00811106">
        <w:rPr>
          <w:sz w:val="22"/>
          <w:szCs w:val="22"/>
        </w:rPr>
        <w:t>Y</w:t>
      </w:r>
      <w:r w:rsidRPr="00811106">
        <w:rPr>
          <w:sz w:val="22"/>
          <w:szCs w:val="22"/>
        </w:rPr>
        <w:t xml:space="preserve">ears </w:t>
      </w:r>
      <w:r w:rsidR="00811106">
        <w:rPr>
          <w:sz w:val="22"/>
          <w:szCs w:val="22"/>
        </w:rPr>
        <w:t>R</w:t>
      </w:r>
      <w:r w:rsidRPr="00811106">
        <w:rPr>
          <w:sz w:val="22"/>
          <w:szCs w:val="22"/>
        </w:rPr>
        <w:t>eceiving</w:t>
      </w:r>
      <w:r w:rsidRPr="001E554B">
        <w:rPr>
          <w:sz w:val="22"/>
          <w:szCs w:val="22"/>
        </w:rPr>
        <w:t xml:space="preserve"> </w:t>
      </w:r>
      <w:proofErr w:type="spellStart"/>
      <w:r w:rsidR="00BF07A7">
        <w:rPr>
          <w:sz w:val="22"/>
          <w:szCs w:val="22"/>
        </w:rPr>
        <w:t>B</w:t>
      </w:r>
      <w:r w:rsidR="003464F2">
        <w:rPr>
          <w:sz w:val="22"/>
          <w:szCs w:val="22"/>
        </w:rPr>
        <w:t>urosumab</w:t>
      </w:r>
      <w:proofErr w:type="spellEnd"/>
      <w:r w:rsidRPr="001E554B">
        <w:rPr>
          <w:sz w:val="22"/>
          <w:szCs w:val="22"/>
        </w:rPr>
        <w:t xml:space="preserve"> in Study</w:t>
      </w:r>
      <w:r>
        <w:rPr>
          <w:sz w:val="22"/>
          <w:szCs w:val="22"/>
        </w:rPr>
        <w:t xml:space="preserve"> UX023-CL201</w:t>
      </w:r>
    </w:p>
    <w:p w14:paraId="7FEECC63" w14:textId="77777777" w:rsidR="00124AD4" w:rsidRPr="008E6A20" w:rsidRDefault="00124AD4" w:rsidP="00D1529A">
      <w:pPr>
        <w:keepNext/>
      </w:pPr>
    </w:p>
    <w:tbl>
      <w:tblPr>
        <w:tblW w:w="5000" w:type="pct"/>
        <w:tblCellMar>
          <w:left w:w="0" w:type="dxa"/>
          <w:right w:w="0" w:type="dxa"/>
        </w:tblCellMar>
        <w:tblLook w:val="04A0" w:firstRow="1" w:lastRow="0" w:firstColumn="1" w:lastColumn="0" w:noHBand="0" w:noVBand="1"/>
      </w:tblPr>
      <w:tblGrid>
        <w:gridCol w:w="2471"/>
        <w:gridCol w:w="1160"/>
        <w:gridCol w:w="2485"/>
        <w:gridCol w:w="2945"/>
      </w:tblGrid>
      <w:tr w:rsidR="005208C7" w14:paraId="173F35A5" w14:textId="77777777" w:rsidTr="07120F5B">
        <w:tc>
          <w:tcPr>
            <w:tcW w:w="1364" w:type="pct"/>
            <w:vMerge w:val="restart"/>
            <w:tcBorders>
              <w:top w:val="single" w:sz="4" w:space="0" w:color="auto"/>
              <w:left w:val="single" w:sz="4" w:space="0" w:color="auto"/>
              <w:bottom w:val="single" w:sz="8" w:space="0" w:color="auto"/>
              <w:right w:val="single" w:sz="4" w:space="0" w:color="auto"/>
            </w:tcBorders>
            <w:tcMar>
              <w:top w:w="0" w:type="dxa"/>
              <w:left w:w="58" w:type="dxa"/>
              <w:bottom w:w="0" w:type="dxa"/>
              <w:right w:w="58" w:type="dxa"/>
            </w:tcMar>
            <w:vAlign w:val="center"/>
            <w:hideMark/>
          </w:tcPr>
          <w:p w14:paraId="0723E296" w14:textId="77777777" w:rsidR="003C1F52" w:rsidRPr="004A5BFE" w:rsidRDefault="001D0951" w:rsidP="00D1529A">
            <w:pPr>
              <w:pStyle w:val="TableCellCenter"/>
              <w:keepNext/>
              <w:spacing w:after="20"/>
              <w:jc w:val="left"/>
              <w:rPr>
                <w:b/>
                <w:bCs/>
                <w:sz w:val="22"/>
                <w:szCs w:val="22"/>
                <w:lang w:eastAsia="zh-TW"/>
              </w:rPr>
            </w:pPr>
            <w:r w:rsidRPr="5F2EC82B">
              <w:rPr>
                <w:b/>
                <w:bCs/>
                <w:sz w:val="22"/>
                <w:szCs w:val="22"/>
                <w:lang w:eastAsia="zh-TW"/>
              </w:rPr>
              <w:t>Endpoint</w:t>
            </w:r>
          </w:p>
        </w:tc>
        <w:tc>
          <w:tcPr>
            <w:tcW w:w="640" w:type="pct"/>
            <w:vMerge w:val="restart"/>
            <w:tcBorders>
              <w:top w:val="single" w:sz="4" w:space="0" w:color="auto"/>
              <w:left w:val="single" w:sz="4" w:space="0" w:color="auto"/>
              <w:right w:val="single" w:sz="4" w:space="0" w:color="auto"/>
            </w:tcBorders>
          </w:tcPr>
          <w:p w14:paraId="06B84845" w14:textId="77777777" w:rsidR="003C1F52" w:rsidRPr="004A5BFE" w:rsidRDefault="001D0951" w:rsidP="00695E9B">
            <w:pPr>
              <w:pStyle w:val="TableCellCenter"/>
              <w:keepNext/>
              <w:spacing w:after="20"/>
              <w:rPr>
                <w:b/>
                <w:bCs/>
                <w:sz w:val="22"/>
                <w:szCs w:val="22"/>
                <w:lang w:eastAsia="zh-TW"/>
              </w:rPr>
            </w:pPr>
            <w:r w:rsidRPr="5F2EC82B">
              <w:rPr>
                <w:b/>
                <w:bCs/>
                <w:sz w:val="22"/>
                <w:szCs w:val="22"/>
                <w:lang w:eastAsia="zh-TW"/>
              </w:rPr>
              <w:t xml:space="preserve">Duration of </w:t>
            </w:r>
            <w:proofErr w:type="spellStart"/>
            <w:r w:rsidR="009D4DAF">
              <w:rPr>
                <w:b/>
                <w:bCs/>
                <w:sz w:val="22"/>
                <w:szCs w:val="22"/>
                <w:lang w:eastAsia="zh-TW"/>
              </w:rPr>
              <w:t>Burosumab</w:t>
            </w:r>
            <w:proofErr w:type="spellEnd"/>
          </w:p>
          <w:p w14:paraId="66B9463F" w14:textId="77777777" w:rsidR="003C1F52" w:rsidRPr="004A5BFE" w:rsidRDefault="001D0951">
            <w:pPr>
              <w:pStyle w:val="TableCellCenter"/>
              <w:keepNext/>
              <w:spacing w:after="20"/>
              <w:rPr>
                <w:b/>
                <w:bCs/>
                <w:sz w:val="22"/>
                <w:szCs w:val="22"/>
                <w:lang w:eastAsia="zh-TW"/>
              </w:rPr>
            </w:pPr>
            <w:r w:rsidRPr="5F2EC82B">
              <w:rPr>
                <w:b/>
                <w:bCs/>
                <w:sz w:val="22"/>
                <w:szCs w:val="22"/>
                <w:lang w:eastAsia="zh-TW"/>
              </w:rPr>
              <w:t>(week)</w:t>
            </w:r>
          </w:p>
        </w:tc>
        <w:tc>
          <w:tcPr>
            <w:tcW w:w="2996" w:type="pct"/>
            <w:gridSpan w:val="2"/>
            <w:tcBorders>
              <w:top w:val="single" w:sz="4" w:space="0" w:color="auto"/>
              <w:left w:val="single" w:sz="4" w:space="0" w:color="auto"/>
              <w:right w:val="single" w:sz="4" w:space="0" w:color="auto"/>
            </w:tcBorders>
          </w:tcPr>
          <w:p w14:paraId="6CC8CE27" w14:textId="77777777" w:rsidR="003C1F52" w:rsidRPr="4C7539F4" w:rsidRDefault="003C1F52">
            <w:pPr>
              <w:pStyle w:val="TableCellCenter"/>
              <w:keepNext/>
              <w:spacing w:after="20"/>
              <w:rPr>
                <w:b/>
                <w:bCs/>
                <w:sz w:val="22"/>
                <w:szCs w:val="22"/>
                <w:lang w:eastAsia="zh-TW"/>
              </w:rPr>
            </w:pPr>
          </w:p>
          <w:p w14:paraId="6E99A441" w14:textId="51181E36" w:rsidR="003C1F52" w:rsidRPr="004A5BFE" w:rsidRDefault="001D0951">
            <w:pPr>
              <w:pStyle w:val="TableCellCenter"/>
              <w:keepNext/>
              <w:spacing w:after="20"/>
              <w:rPr>
                <w:b/>
                <w:bCs/>
                <w:sz w:val="22"/>
                <w:szCs w:val="22"/>
                <w:lang w:eastAsia="zh-TW"/>
              </w:rPr>
            </w:pPr>
            <w:r w:rsidRPr="5F2EC82B">
              <w:rPr>
                <w:b/>
                <w:bCs/>
                <w:sz w:val="22"/>
                <w:szCs w:val="22"/>
                <w:lang w:eastAsia="zh-TW"/>
              </w:rPr>
              <w:t xml:space="preserve">Effect Size </w:t>
            </w:r>
          </w:p>
        </w:tc>
      </w:tr>
      <w:tr w:rsidR="005208C7" w14:paraId="1D1C75B2" w14:textId="77777777" w:rsidTr="000D4495">
        <w:tc>
          <w:tcPr>
            <w:tcW w:w="1364" w:type="pct"/>
            <w:vMerge/>
            <w:tcBorders>
              <w:top w:val="single" w:sz="8" w:space="0" w:color="auto"/>
              <w:left w:val="single" w:sz="4" w:space="0" w:color="auto"/>
              <w:bottom w:val="single" w:sz="4" w:space="0" w:color="auto"/>
              <w:right w:val="single" w:sz="4" w:space="0" w:color="auto"/>
            </w:tcBorders>
            <w:vAlign w:val="center"/>
            <w:hideMark/>
          </w:tcPr>
          <w:p w14:paraId="6EF9C14C" w14:textId="77777777" w:rsidR="000F0920" w:rsidRPr="004A5BFE" w:rsidRDefault="000F0920" w:rsidP="001553C8">
            <w:pPr>
              <w:keepNext/>
              <w:rPr>
                <w:b/>
                <w:bCs/>
                <w:lang w:eastAsia="zh-TW"/>
              </w:rPr>
            </w:pPr>
          </w:p>
        </w:tc>
        <w:tc>
          <w:tcPr>
            <w:tcW w:w="640" w:type="pct"/>
            <w:vMerge/>
            <w:tcBorders>
              <w:left w:val="single" w:sz="4" w:space="0" w:color="auto"/>
              <w:bottom w:val="single" w:sz="4" w:space="0" w:color="auto"/>
              <w:right w:val="single" w:sz="4" w:space="0" w:color="auto"/>
            </w:tcBorders>
          </w:tcPr>
          <w:p w14:paraId="7E796FF3" w14:textId="77777777" w:rsidR="000F0920" w:rsidRPr="004A5BFE" w:rsidRDefault="000F0920">
            <w:pPr>
              <w:pStyle w:val="TableCellCenter"/>
              <w:keepNext/>
              <w:spacing w:after="20"/>
              <w:rPr>
                <w:b/>
                <w:bCs/>
                <w:sz w:val="22"/>
                <w:szCs w:val="20"/>
                <w:lang w:eastAsia="zh-TW"/>
              </w:rPr>
            </w:pPr>
          </w:p>
        </w:tc>
        <w:tc>
          <w:tcPr>
            <w:tcW w:w="1371" w:type="pct"/>
            <w:tcBorders>
              <w:top w:val="single" w:sz="4" w:space="0" w:color="auto"/>
              <w:left w:val="single" w:sz="4" w:space="0" w:color="auto"/>
              <w:bottom w:val="single" w:sz="4" w:space="0" w:color="auto"/>
              <w:right w:val="single" w:sz="4" w:space="0" w:color="auto"/>
            </w:tcBorders>
            <w:tcMar>
              <w:top w:w="0" w:type="dxa"/>
              <w:left w:w="58" w:type="dxa"/>
              <w:bottom w:w="0" w:type="dxa"/>
              <w:right w:w="58" w:type="dxa"/>
            </w:tcMar>
            <w:vAlign w:val="center"/>
            <w:hideMark/>
          </w:tcPr>
          <w:p w14:paraId="13C8BA7C" w14:textId="77777777" w:rsidR="000F0920" w:rsidRPr="004A5BFE" w:rsidRDefault="001D0951">
            <w:pPr>
              <w:pStyle w:val="TableCellCenter"/>
              <w:keepNext/>
              <w:spacing w:after="20"/>
              <w:rPr>
                <w:b/>
                <w:bCs/>
                <w:sz w:val="22"/>
                <w:szCs w:val="22"/>
                <w:lang w:eastAsia="zh-TW"/>
              </w:rPr>
            </w:pPr>
            <w:r w:rsidRPr="5F2EC82B">
              <w:rPr>
                <w:b/>
                <w:bCs/>
                <w:sz w:val="22"/>
                <w:szCs w:val="22"/>
                <w:lang w:eastAsia="zh-TW"/>
              </w:rPr>
              <w:t>Q2W (N=26)</w:t>
            </w:r>
          </w:p>
        </w:tc>
        <w:tc>
          <w:tcPr>
            <w:tcW w:w="1625" w:type="pct"/>
            <w:tcBorders>
              <w:top w:val="single" w:sz="4" w:space="0" w:color="auto"/>
              <w:left w:val="single" w:sz="4" w:space="0" w:color="auto"/>
              <w:bottom w:val="single" w:sz="4" w:space="0" w:color="auto"/>
              <w:right w:val="single" w:sz="4" w:space="0" w:color="auto"/>
            </w:tcBorders>
          </w:tcPr>
          <w:p w14:paraId="16A6EE9B" w14:textId="77777777" w:rsidR="000F0920" w:rsidRPr="4C7539F4" w:rsidRDefault="001D0951">
            <w:pPr>
              <w:pStyle w:val="TableCellCenter"/>
              <w:keepNext/>
              <w:spacing w:after="20"/>
              <w:rPr>
                <w:b/>
                <w:bCs/>
                <w:sz w:val="22"/>
                <w:szCs w:val="22"/>
                <w:lang w:eastAsia="zh-TW"/>
              </w:rPr>
            </w:pPr>
            <w:r w:rsidRPr="5F2EC82B">
              <w:rPr>
                <w:b/>
                <w:bCs/>
                <w:sz w:val="22"/>
                <w:szCs w:val="22"/>
                <w:lang w:eastAsia="zh-TW"/>
              </w:rPr>
              <w:t>Q4W (N=26)</w:t>
            </w:r>
          </w:p>
        </w:tc>
      </w:tr>
      <w:tr w:rsidR="005208C7" w14:paraId="2C7E24B8" w14:textId="77777777" w:rsidTr="000D4495">
        <w:trPr>
          <w:trHeight w:val="286"/>
        </w:trPr>
        <w:tc>
          <w:tcPr>
            <w:tcW w:w="1364" w:type="pct"/>
            <w:vMerge w:val="restart"/>
            <w:tcBorders>
              <w:top w:val="single" w:sz="4" w:space="0" w:color="auto"/>
              <w:left w:val="single" w:sz="4" w:space="0" w:color="auto"/>
              <w:right w:val="single" w:sz="4" w:space="0" w:color="auto"/>
            </w:tcBorders>
            <w:tcMar>
              <w:top w:w="0" w:type="dxa"/>
              <w:left w:w="58" w:type="dxa"/>
              <w:bottom w:w="0" w:type="dxa"/>
              <w:right w:w="58" w:type="dxa"/>
            </w:tcMar>
            <w:vAlign w:val="center"/>
            <w:hideMark/>
          </w:tcPr>
          <w:p w14:paraId="67DBE8C8" w14:textId="77777777" w:rsidR="000F0920" w:rsidRPr="004A5BFE" w:rsidRDefault="001D0951" w:rsidP="00D1529A">
            <w:pPr>
              <w:pStyle w:val="TableCellCenter"/>
              <w:keepNext/>
              <w:spacing w:after="20"/>
              <w:jc w:val="left"/>
              <w:rPr>
                <w:sz w:val="22"/>
                <w:szCs w:val="22"/>
                <w:lang w:eastAsia="zh-TW"/>
              </w:rPr>
            </w:pPr>
            <w:r w:rsidRPr="5F2EC82B">
              <w:rPr>
                <w:b/>
                <w:bCs/>
                <w:sz w:val="22"/>
                <w:szCs w:val="22"/>
                <w:lang w:eastAsia="zh-TW"/>
              </w:rPr>
              <w:t>RSS Total Score</w:t>
            </w:r>
            <w:r w:rsidRPr="5F2EC82B">
              <w:rPr>
                <w:sz w:val="22"/>
                <w:szCs w:val="22"/>
                <w:lang w:eastAsia="zh-TW"/>
              </w:rPr>
              <w:t xml:space="preserve"> </w:t>
            </w:r>
          </w:p>
          <w:p w14:paraId="7A7E268E" w14:textId="77777777" w:rsidR="000F0920" w:rsidRDefault="001D0951" w:rsidP="00695E9B">
            <w:pPr>
              <w:pStyle w:val="TableCellCenter"/>
              <w:keepNext/>
              <w:spacing w:after="20"/>
              <w:jc w:val="left"/>
              <w:rPr>
                <w:sz w:val="22"/>
                <w:szCs w:val="22"/>
                <w:lang w:eastAsia="zh-TW"/>
              </w:rPr>
            </w:pPr>
            <w:r w:rsidRPr="5F2EC82B">
              <w:rPr>
                <w:sz w:val="22"/>
                <w:szCs w:val="22"/>
                <w:lang w:eastAsia="zh-TW"/>
              </w:rPr>
              <w:t>Baseline Mean (SD)</w:t>
            </w:r>
          </w:p>
          <w:p w14:paraId="549A16FC" w14:textId="77777777" w:rsidR="000F0920" w:rsidRPr="004A5BFE" w:rsidRDefault="001D0951">
            <w:pPr>
              <w:pStyle w:val="TableCellCenter"/>
              <w:keepNext/>
              <w:spacing w:after="20"/>
              <w:jc w:val="left"/>
              <w:rPr>
                <w:sz w:val="22"/>
                <w:szCs w:val="22"/>
                <w:lang w:eastAsia="zh-TW"/>
              </w:rPr>
            </w:pPr>
            <w:r w:rsidRPr="07120F5B">
              <w:rPr>
                <w:sz w:val="22"/>
                <w:szCs w:val="22"/>
                <w:lang w:eastAsia="zh-TW"/>
              </w:rPr>
              <w:t xml:space="preserve">LS Mean change (SE) from baseline in total </w:t>
            </w:r>
            <w:proofErr w:type="spellStart"/>
            <w:r w:rsidRPr="07120F5B">
              <w:rPr>
                <w:sz w:val="22"/>
                <w:szCs w:val="22"/>
                <w:lang w:eastAsia="zh-TW"/>
              </w:rPr>
              <w:t>score</w:t>
            </w:r>
            <w:r w:rsidRPr="07120F5B">
              <w:rPr>
                <w:sz w:val="22"/>
                <w:szCs w:val="22"/>
                <w:vertAlign w:val="superscript"/>
                <w:lang w:eastAsia="zh-TW"/>
              </w:rPr>
              <w:t>a</w:t>
            </w:r>
            <w:proofErr w:type="spellEnd"/>
            <w:r w:rsidRPr="07120F5B">
              <w:rPr>
                <w:sz w:val="22"/>
                <w:szCs w:val="22"/>
                <w:lang w:eastAsia="zh-TW"/>
              </w:rPr>
              <w:t xml:space="preserve"> (reduced RSS score indicates improvement in rickets severity)</w:t>
            </w:r>
          </w:p>
        </w:tc>
        <w:tc>
          <w:tcPr>
            <w:tcW w:w="640" w:type="pct"/>
            <w:tcBorders>
              <w:top w:val="single" w:sz="4" w:space="0" w:color="auto"/>
              <w:left w:val="single" w:sz="4" w:space="0" w:color="auto"/>
              <w:right w:val="single" w:sz="4" w:space="0" w:color="auto"/>
            </w:tcBorders>
          </w:tcPr>
          <w:p w14:paraId="3670B610" w14:textId="77777777" w:rsidR="000F0920" w:rsidRPr="004A5BFE" w:rsidRDefault="000F0920">
            <w:pPr>
              <w:pStyle w:val="TableCellCenter"/>
              <w:keepNext/>
              <w:spacing w:after="20"/>
              <w:rPr>
                <w:sz w:val="22"/>
                <w:szCs w:val="20"/>
                <w:lang w:eastAsia="zh-TW"/>
              </w:rPr>
            </w:pPr>
          </w:p>
        </w:tc>
        <w:tc>
          <w:tcPr>
            <w:tcW w:w="1371" w:type="pct"/>
            <w:tcBorders>
              <w:top w:val="single" w:sz="4" w:space="0" w:color="auto"/>
              <w:left w:val="single" w:sz="4" w:space="0" w:color="auto"/>
              <w:right w:val="single" w:sz="4" w:space="0" w:color="auto"/>
            </w:tcBorders>
            <w:tcMar>
              <w:top w:w="0" w:type="dxa"/>
              <w:left w:w="58" w:type="dxa"/>
              <w:bottom w:w="0" w:type="dxa"/>
              <w:right w:w="58" w:type="dxa"/>
            </w:tcMar>
            <w:vAlign w:val="center"/>
            <w:hideMark/>
          </w:tcPr>
          <w:p w14:paraId="1D054899" w14:textId="77777777" w:rsidR="000F0920" w:rsidRPr="004A5BFE" w:rsidRDefault="000F0920">
            <w:pPr>
              <w:pStyle w:val="TableCellCenter"/>
              <w:keepNext/>
              <w:spacing w:after="20"/>
              <w:rPr>
                <w:sz w:val="22"/>
                <w:szCs w:val="20"/>
                <w:lang w:eastAsia="zh-TW"/>
              </w:rPr>
            </w:pPr>
          </w:p>
        </w:tc>
        <w:tc>
          <w:tcPr>
            <w:tcW w:w="1625" w:type="pct"/>
            <w:tcBorders>
              <w:top w:val="single" w:sz="4" w:space="0" w:color="auto"/>
              <w:left w:val="single" w:sz="4" w:space="0" w:color="auto"/>
              <w:right w:val="single" w:sz="4" w:space="0" w:color="auto"/>
            </w:tcBorders>
          </w:tcPr>
          <w:p w14:paraId="6EBEE5AE" w14:textId="77777777" w:rsidR="000F0920" w:rsidRPr="004A5BFE" w:rsidRDefault="000F0920">
            <w:pPr>
              <w:pStyle w:val="TableCellCenter"/>
              <w:keepNext/>
              <w:spacing w:after="20"/>
              <w:rPr>
                <w:sz w:val="22"/>
                <w:szCs w:val="20"/>
                <w:lang w:eastAsia="zh-TW"/>
              </w:rPr>
            </w:pPr>
          </w:p>
        </w:tc>
      </w:tr>
      <w:tr w:rsidR="005208C7" w14:paraId="4F9D562E" w14:textId="77777777" w:rsidTr="000D4495">
        <w:trPr>
          <w:trHeight w:val="252"/>
        </w:trPr>
        <w:tc>
          <w:tcPr>
            <w:tcW w:w="1364" w:type="pct"/>
            <w:vMerge/>
            <w:tcBorders>
              <w:left w:val="single" w:sz="4" w:space="0" w:color="auto"/>
              <w:right w:val="single" w:sz="4" w:space="0" w:color="auto"/>
            </w:tcBorders>
            <w:tcMar>
              <w:top w:w="0" w:type="dxa"/>
              <w:left w:w="58" w:type="dxa"/>
              <w:bottom w:w="0" w:type="dxa"/>
              <w:right w:w="58" w:type="dxa"/>
            </w:tcMar>
            <w:vAlign w:val="center"/>
          </w:tcPr>
          <w:p w14:paraId="7E537EE2" w14:textId="77777777" w:rsidR="000F0920" w:rsidRPr="004A5BFE" w:rsidRDefault="000F0920">
            <w:pPr>
              <w:pStyle w:val="TableCellCenter"/>
              <w:keepNext/>
              <w:spacing w:after="20"/>
              <w:jc w:val="left"/>
              <w:rPr>
                <w:b/>
                <w:bCs/>
                <w:sz w:val="22"/>
                <w:szCs w:val="20"/>
                <w:lang w:eastAsia="zh-TW"/>
              </w:rPr>
            </w:pPr>
          </w:p>
        </w:tc>
        <w:tc>
          <w:tcPr>
            <w:tcW w:w="640" w:type="pct"/>
            <w:tcBorders>
              <w:left w:val="single" w:sz="4" w:space="0" w:color="auto"/>
              <w:right w:val="single" w:sz="4" w:space="0" w:color="auto"/>
            </w:tcBorders>
          </w:tcPr>
          <w:p w14:paraId="64378E59" w14:textId="77777777" w:rsidR="000F0920" w:rsidRDefault="000F0920">
            <w:pPr>
              <w:pStyle w:val="TableCellCenter"/>
              <w:keepNext/>
              <w:spacing w:after="20"/>
              <w:rPr>
                <w:sz w:val="22"/>
                <w:szCs w:val="22"/>
                <w:lang w:eastAsia="zh-TW"/>
              </w:rPr>
            </w:pPr>
          </w:p>
          <w:p w14:paraId="425CDC0D" w14:textId="77777777" w:rsidR="000F0920" w:rsidRPr="004A5BFE" w:rsidRDefault="001D0951">
            <w:pPr>
              <w:pStyle w:val="TableCellCenter"/>
              <w:keepNext/>
              <w:spacing w:after="20"/>
              <w:rPr>
                <w:sz w:val="22"/>
                <w:szCs w:val="22"/>
                <w:lang w:eastAsia="zh-TW"/>
              </w:rPr>
            </w:pPr>
            <w:r w:rsidRPr="07120F5B">
              <w:rPr>
                <w:sz w:val="22"/>
                <w:szCs w:val="22"/>
                <w:lang w:eastAsia="zh-TW"/>
              </w:rPr>
              <w:t xml:space="preserve"> 40</w:t>
            </w:r>
          </w:p>
        </w:tc>
        <w:tc>
          <w:tcPr>
            <w:tcW w:w="1371" w:type="pct"/>
            <w:tcBorders>
              <w:top w:val="nil"/>
              <w:left w:val="single" w:sz="4" w:space="0" w:color="auto"/>
              <w:right w:val="single" w:sz="4" w:space="0" w:color="auto"/>
            </w:tcBorders>
            <w:tcMar>
              <w:top w:w="0" w:type="dxa"/>
              <w:left w:w="58" w:type="dxa"/>
              <w:bottom w:w="0" w:type="dxa"/>
              <w:right w:w="58" w:type="dxa"/>
            </w:tcMar>
            <w:vAlign w:val="center"/>
          </w:tcPr>
          <w:p w14:paraId="7F72B1E4" w14:textId="77777777" w:rsidR="000F0920" w:rsidRPr="0018548D" w:rsidRDefault="001D0951">
            <w:pPr>
              <w:pStyle w:val="TableCellCenter"/>
              <w:keepNext/>
              <w:spacing w:after="20"/>
              <w:rPr>
                <w:sz w:val="22"/>
                <w:szCs w:val="22"/>
                <w:lang w:eastAsia="zh-TW"/>
              </w:rPr>
            </w:pPr>
            <w:r w:rsidRPr="5F2EC82B">
              <w:rPr>
                <w:sz w:val="22"/>
                <w:szCs w:val="22"/>
                <w:lang w:eastAsia="zh-TW"/>
              </w:rPr>
              <w:t>1.92 (1.2)</w:t>
            </w:r>
          </w:p>
          <w:p w14:paraId="6E1F697E" w14:textId="77777777" w:rsidR="000F0920" w:rsidRPr="0018548D" w:rsidRDefault="001D0951">
            <w:pPr>
              <w:pStyle w:val="TableCellCenter"/>
              <w:keepNext/>
              <w:spacing w:after="20"/>
              <w:rPr>
                <w:sz w:val="22"/>
                <w:szCs w:val="22"/>
                <w:lang w:eastAsia="zh-TW"/>
              </w:rPr>
            </w:pPr>
            <w:r w:rsidRPr="5F2EC82B">
              <w:rPr>
                <w:sz w:val="22"/>
                <w:szCs w:val="22"/>
                <w:lang w:eastAsia="zh-TW"/>
              </w:rPr>
              <w:t>-1.06 (0.1)</w:t>
            </w:r>
            <w:proofErr w:type="gramStart"/>
            <w:r w:rsidRPr="5F2EC82B">
              <w:rPr>
                <w:sz w:val="22"/>
                <w:szCs w:val="22"/>
                <w:lang w:eastAsia="zh-TW"/>
              </w:rPr>
              <w:t xml:space="preserve">   (</w:t>
            </w:r>
            <w:proofErr w:type="gramEnd"/>
            <w:r w:rsidRPr="5F2EC82B">
              <w:rPr>
                <w:sz w:val="22"/>
                <w:szCs w:val="22"/>
                <w:lang w:eastAsia="zh-TW"/>
              </w:rPr>
              <w:t>p&lt;0.0001)</w:t>
            </w:r>
          </w:p>
        </w:tc>
        <w:tc>
          <w:tcPr>
            <w:tcW w:w="1625" w:type="pct"/>
            <w:tcBorders>
              <w:left w:val="single" w:sz="4" w:space="0" w:color="auto"/>
              <w:right w:val="single" w:sz="4" w:space="0" w:color="auto"/>
            </w:tcBorders>
          </w:tcPr>
          <w:p w14:paraId="461EF5BE" w14:textId="77777777" w:rsidR="000F0920" w:rsidRDefault="001D0951">
            <w:pPr>
              <w:pStyle w:val="TableCellCenter"/>
              <w:keepNext/>
              <w:spacing w:after="20"/>
              <w:rPr>
                <w:sz w:val="22"/>
                <w:szCs w:val="22"/>
                <w:lang w:eastAsia="zh-TW"/>
              </w:rPr>
            </w:pPr>
            <w:r w:rsidRPr="5F2EC82B">
              <w:rPr>
                <w:sz w:val="22"/>
                <w:szCs w:val="22"/>
                <w:lang w:eastAsia="zh-TW"/>
              </w:rPr>
              <w:t>1.67 (1.0)</w:t>
            </w:r>
          </w:p>
          <w:p w14:paraId="2CC65450" w14:textId="77777777" w:rsidR="000F0920" w:rsidRDefault="001D0951">
            <w:pPr>
              <w:pStyle w:val="TableCellCenter"/>
              <w:keepNext/>
              <w:spacing w:after="20"/>
              <w:rPr>
                <w:sz w:val="22"/>
                <w:szCs w:val="22"/>
                <w:lang w:eastAsia="zh-TW"/>
              </w:rPr>
            </w:pPr>
            <w:r w:rsidRPr="5F2EC82B">
              <w:rPr>
                <w:sz w:val="22"/>
                <w:szCs w:val="22"/>
                <w:lang w:eastAsia="zh-TW"/>
              </w:rPr>
              <w:t>-0.73 (0.1)</w:t>
            </w:r>
            <w:proofErr w:type="gramStart"/>
            <w:r w:rsidRPr="5F2EC82B">
              <w:rPr>
                <w:sz w:val="22"/>
                <w:szCs w:val="22"/>
                <w:lang w:eastAsia="zh-TW"/>
              </w:rPr>
              <w:t xml:space="preserve">   (</w:t>
            </w:r>
            <w:proofErr w:type="gramEnd"/>
            <w:r w:rsidRPr="5F2EC82B">
              <w:rPr>
                <w:sz w:val="22"/>
                <w:szCs w:val="22"/>
                <w:lang w:eastAsia="zh-TW"/>
              </w:rPr>
              <w:t>p&lt;0.0001)</w:t>
            </w:r>
          </w:p>
        </w:tc>
      </w:tr>
      <w:tr w:rsidR="005208C7" w14:paraId="4FF44F13" w14:textId="77777777" w:rsidTr="000D4495">
        <w:trPr>
          <w:trHeight w:val="324"/>
        </w:trPr>
        <w:tc>
          <w:tcPr>
            <w:tcW w:w="1364" w:type="pct"/>
            <w:vMerge/>
            <w:tcBorders>
              <w:left w:val="single" w:sz="4" w:space="0" w:color="auto"/>
              <w:bottom w:val="single" w:sz="4" w:space="0" w:color="auto"/>
              <w:right w:val="single" w:sz="4" w:space="0" w:color="auto"/>
            </w:tcBorders>
            <w:tcMar>
              <w:top w:w="0" w:type="dxa"/>
              <w:left w:w="58" w:type="dxa"/>
              <w:bottom w:w="0" w:type="dxa"/>
              <w:right w:w="58" w:type="dxa"/>
            </w:tcMar>
            <w:vAlign w:val="center"/>
          </w:tcPr>
          <w:p w14:paraId="620009BC" w14:textId="77777777" w:rsidR="000F0920" w:rsidRPr="004A5BFE" w:rsidRDefault="000F0920">
            <w:pPr>
              <w:pStyle w:val="TableCellCenter"/>
              <w:keepNext/>
              <w:spacing w:after="20"/>
              <w:jc w:val="left"/>
              <w:rPr>
                <w:b/>
                <w:bCs/>
                <w:sz w:val="22"/>
                <w:szCs w:val="20"/>
                <w:lang w:eastAsia="zh-TW"/>
              </w:rPr>
            </w:pPr>
          </w:p>
        </w:tc>
        <w:tc>
          <w:tcPr>
            <w:tcW w:w="640" w:type="pct"/>
            <w:tcBorders>
              <w:left w:val="single" w:sz="4" w:space="0" w:color="auto"/>
              <w:bottom w:val="single" w:sz="4" w:space="0" w:color="auto"/>
              <w:right w:val="single" w:sz="4" w:space="0" w:color="auto"/>
            </w:tcBorders>
          </w:tcPr>
          <w:p w14:paraId="36826822" w14:textId="77777777" w:rsidR="009A7DCF" w:rsidRDefault="009A7DCF">
            <w:pPr>
              <w:pStyle w:val="TableCellCenter"/>
              <w:keepNext/>
              <w:spacing w:after="20"/>
              <w:rPr>
                <w:sz w:val="22"/>
                <w:szCs w:val="22"/>
                <w:lang w:eastAsia="zh-TW"/>
              </w:rPr>
            </w:pPr>
          </w:p>
          <w:p w14:paraId="43E1BD56" w14:textId="77777777" w:rsidR="000F0920" w:rsidRPr="004A5BFE" w:rsidRDefault="001D0951">
            <w:pPr>
              <w:pStyle w:val="TableCellCenter"/>
              <w:keepNext/>
              <w:spacing w:after="20"/>
              <w:rPr>
                <w:sz w:val="22"/>
                <w:szCs w:val="22"/>
                <w:lang w:eastAsia="zh-TW"/>
              </w:rPr>
            </w:pPr>
            <w:r w:rsidRPr="07120F5B">
              <w:rPr>
                <w:sz w:val="22"/>
                <w:szCs w:val="22"/>
                <w:lang w:eastAsia="zh-TW"/>
              </w:rPr>
              <w:t xml:space="preserve"> 64</w:t>
            </w:r>
          </w:p>
        </w:tc>
        <w:tc>
          <w:tcPr>
            <w:tcW w:w="1371" w:type="pct"/>
            <w:tcBorders>
              <w:top w:val="nil"/>
              <w:left w:val="single" w:sz="4" w:space="0" w:color="auto"/>
              <w:bottom w:val="single" w:sz="4" w:space="0" w:color="auto"/>
              <w:right w:val="single" w:sz="4" w:space="0" w:color="auto"/>
            </w:tcBorders>
            <w:tcMar>
              <w:top w:w="0" w:type="dxa"/>
              <w:left w:w="58" w:type="dxa"/>
              <w:bottom w:w="0" w:type="dxa"/>
              <w:right w:w="58" w:type="dxa"/>
            </w:tcMar>
            <w:vAlign w:val="center"/>
          </w:tcPr>
          <w:p w14:paraId="4629760A" w14:textId="77777777" w:rsidR="000F0920" w:rsidRPr="004A5BFE" w:rsidRDefault="001D0951">
            <w:pPr>
              <w:pStyle w:val="TableCellCenter"/>
              <w:keepNext/>
              <w:spacing w:after="20"/>
              <w:rPr>
                <w:sz w:val="22"/>
                <w:szCs w:val="22"/>
                <w:lang w:eastAsia="zh-TW"/>
              </w:rPr>
            </w:pPr>
            <w:r w:rsidRPr="5F2EC82B">
              <w:rPr>
                <w:sz w:val="22"/>
                <w:szCs w:val="22"/>
                <w:lang w:eastAsia="zh-TW"/>
              </w:rPr>
              <w:t>-1.00 (0.1</w:t>
            </w:r>
            <w:proofErr w:type="gramStart"/>
            <w:r w:rsidRPr="5F2EC82B">
              <w:rPr>
                <w:sz w:val="22"/>
                <w:szCs w:val="22"/>
                <w:lang w:eastAsia="zh-TW"/>
              </w:rPr>
              <w:t>)  (</w:t>
            </w:r>
            <w:proofErr w:type="gramEnd"/>
            <w:r w:rsidRPr="5F2EC82B">
              <w:rPr>
                <w:sz w:val="22"/>
                <w:szCs w:val="22"/>
                <w:lang w:eastAsia="zh-TW"/>
              </w:rPr>
              <w:t>p&lt;0.0001)</w:t>
            </w:r>
          </w:p>
        </w:tc>
        <w:tc>
          <w:tcPr>
            <w:tcW w:w="1626" w:type="pct"/>
            <w:tcBorders>
              <w:left w:val="single" w:sz="4" w:space="0" w:color="auto"/>
              <w:bottom w:val="single" w:sz="4" w:space="0" w:color="auto"/>
              <w:right w:val="single" w:sz="4" w:space="0" w:color="auto"/>
            </w:tcBorders>
            <w:vAlign w:val="center"/>
          </w:tcPr>
          <w:p w14:paraId="3FA249C1" w14:textId="77777777" w:rsidR="000F0920" w:rsidRDefault="001D0951">
            <w:pPr>
              <w:pStyle w:val="TableCellCenter"/>
              <w:keepNext/>
              <w:spacing w:after="20"/>
              <w:rPr>
                <w:sz w:val="22"/>
                <w:szCs w:val="22"/>
                <w:lang w:eastAsia="zh-TW"/>
              </w:rPr>
            </w:pPr>
            <w:r w:rsidRPr="5F2EC82B">
              <w:rPr>
                <w:sz w:val="22"/>
                <w:szCs w:val="22"/>
                <w:lang w:eastAsia="zh-TW"/>
              </w:rPr>
              <w:t>-0.84 (0.1</w:t>
            </w:r>
            <w:proofErr w:type="gramStart"/>
            <w:r w:rsidRPr="5F2EC82B">
              <w:rPr>
                <w:sz w:val="22"/>
                <w:szCs w:val="22"/>
                <w:lang w:eastAsia="zh-TW"/>
              </w:rPr>
              <w:t>)  (</w:t>
            </w:r>
            <w:proofErr w:type="gramEnd"/>
            <w:r w:rsidRPr="5F2EC82B">
              <w:rPr>
                <w:sz w:val="22"/>
                <w:szCs w:val="22"/>
                <w:lang w:eastAsia="zh-TW"/>
              </w:rPr>
              <w:t>p&lt;0.0001)</w:t>
            </w:r>
          </w:p>
        </w:tc>
      </w:tr>
      <w:tr w:rsidR="005208C7" w14:paraId="791B91A2" w14:textId="77777777" w:rsidTr="000D4495">
        <w:trPr>
          <w:trHeight w:val="1289"/>
        </w:trPr>
        <w:tc>
          <w:tcPr>
            <w:tcW w:w="1364" w:type="pct"/>
            <w:tcBorders>
              <w:top w:val="single" w:sz="4" w:space="0" w:color="auto"/>
              <w:left w:val="single" w:sz="4" w:space="0" w:color="auto"/>
              <w:bottom w:val="single" w:sz="4" w:space="0" w:color="auto"/>
              <w:right w:val="single" w:sz="4" w:space="0" w:color="auto"/>
            </w:tcBorders>
            <w:tcMar>
              <w:top w:w="0" w:type="dxa"/>
              <w:left w:w="58" w:type="dxa"/>
              <w:bottom w:w="0" w:type="dxa"/>
              <w:right w:w="58" w:type="dxa"/>
            </w:tcMar>
            <w:vAlign w:val="center"/>
          </w:tcPr>
          <w:p w14:paraId="6A8A5D33" w14:textId="77777777" w:rsidR="000D4495" w:rsidRPr="00BA4BF5" w:rsidRDefault="001D0951" w:rsidP="00D1529A">
            <w:pPr>
              <w:pStyle w:val="TableCellCenter"/>
              <w:keepNext/>
              <w:spacing w:after="20"/>
              <w:jc w:val="left"/>
              <w:rPr>
                <w:b/>
                <w:bCs/>
                <w:sz w:val="22"/>
                <w:szCs w:val="22"/>
                <w:lang w:eastAsia="zh-TW"/>
              </w:rPr>
            </w:pPr>
            <w:r w:rsidRPr="5F2EC82B">
              <w:rPr>
                <w:b/>
                <w:bCs/>
                <w:sz w:val="22"/>
                <w:szCs w:val="22"/>
                <w:lang w:eastAsia="zh-TW"/>
              </w:rPr>
              <w:t>RGI-C Global Score</w:t>
            </w:r>
          </w:p>
          <w:p w14:paraId="59264A70" w14:textId="77777777" w:rsidR="000D4495" w:rsidRPr="004A5BFE" w:rsidRDefault="001D0951" w:rsidP="00695E9B">
            <w:pPr>
              <w:pStyle w:val="TableCellCenter"/>
              <w:keepNext/>
              <w:spacing w:after="20"/>
              <w:jc w:val="left"/>
              <w:rPr>
                <w:b/>
                <w:bCs/>
                <w:sz w:val="22"/>
                <w:szCs w:val="22"/>
                <w:lang w:eastAsia="zh-TW"/>
              </w:rPr>
            </w:pPr>
            <w:r w:rsidRPr="5F2EC82B">
              <w:rPr>
                <w:sz w:val="22"/>
                <w:szCs w:val="22"/>
                <w:lang w:eastAsia="zh-TW"/>
              </w:rPr>
              <w:t>LS Mean score (SE)</w:t>
            </w:r>
            <w:r w:rsidRPr="5F2EC82B">
              <w:rPr>
                <w:sz w:val="22"/>
                <w:szCs w:val="22"/>
                <w:vertAlign w:val="superscript"/>
                <w:lang w:eastAsia="zh-TW"/>
              </w:rPr>
              <w:t>a</w:t>
            </w:r>
            <w:r w:rsidRPr="5F2EC82B">
              <w:rPr>
                <w:sz w:val="22"/>
                <w:szCs w:val="22"/>
                <w:lang w:eastAsia="zh-TW"/>
              </w:rPr>
              <w:t xml:space="preserve"> (positive indicates healing)</w:t>
            </w:r>
          </w:p>
        </w:tc>
        <w:tc>
          <w:tcPr>
            <w:tcW w:w="640" w:type="pct"/>
            <w:tcBorders>
              <w:top w:val="single" w:sz="4" w:space="0" w:color="auto"/>
              <w:left w:val="single" w:sz="4" w:space="0" w:color="auto"/>
              <w:bottom w:val="single" w:sz="4" w:space="0" w:color="auto"/>
              <w:right w:val="single" w:sz="4" w:space="0" w:color="auto"/>
            </w:tcBorders>
          </w:tcPr>
          <w:p w14:paraId="2D028D85" w14:textId="77777777" w:rsidR="000D4495" w:rsidRPr="009A7DCF" w:rsidRDefault="000D4495">
            <w:pPr>
              <w:pStyle w:val="TableCellCenter"/>
              <w:keepNext/>
              <w:spacing w:after="20"/>
              <w:rPr>
                <w:sz w:val="22"/>
                <w:szCs w:val="20"/>
                <w:lang w:eastAsia="zh-TW"/>
              </w:rPr>
            </w:pPr>
          </w:p>
          <w:p w14:paraId="55FBF132" w14:textId="77777777" w:rsidR="000D4495" w:rsidRDefault="001D0951">
            <w:pPr>
              <w:pStyle w:val="TableCellCenter"/>
              <w:keepNext/>
              <w:spacing w:after="20"/>
              <w:rPr>
                <w:sz w:val="22"/>
                <w:szCs w:val="22"/>
                <w:lang w:eastAsia="zh-TW"/>
              </w:rPr>
            </w:pPr>
            <w:r w:rsidRPr="07120F5B">
              <w:rPr>
                <w:sz w:val="22"/>
                <w:szCs w:val="22"/>
                <w:lang w:eastAsia="zh-TW"/>
              </w:rPr>
              <w:t xml:space="preserve">40 </w:t>
            </w:r>
          </w:p>
          <w:p w14:paraId="3D60E8C0" w14:textId="77777777" w:rsidR="000D4495" w:rsidRPr="009A7DCF" w:rsidRDefault="000D4495">
            <w:pPr>
              <w:pStyle w:val="TableCellCenter"/>
              <w:keepNext/>
              <w:spacing w:after="20"/>
              <w:rPr>
                <w:sz w:val="22"/>
                <w:szCs w:val="22"/>
                <w:lang w:eastAsia="zh-TW"/>
              </w:rPr>
            </w:pPr>
          </w:p>
          <w:p w14:paraId="49CDE292" w14:textId="77777777" w:rsidR="000D4495" w:rsidRPr="009A7DCF" w:rsidRDefault="001D0951">
            <w:pPr>
              <w:pStyle w:val="TableCellCenter"/>
              <w:keepNext/>
              <w:spacing w:after="20"/>
              <w:rPr>
                <w:sz w:val="22"/>
                <w:szCs w:val="22"/>
                <w:lang w:eastAsia="zh-TW"/>
              </w:rPr>
            </w:pPr>
            <w:r w:rsidRPr="07120F5B">
              <w:rPr>
                <w:sz w:val="22"/>
                <w:szCs w:val="22"/>
                <w:lang w:eastAsia="zh-TW"/>
              </w:rPr>
              <w:t>64</w:t>
            </w:r>
          </w:p>
          <w:p w14:paraId="7A79C630" w14:textId="77777777" w:rsidR="000D4495" w:rsidRPr="009A7DCF" w:rsidRDefault="000D4495">
            <w:pPr>
              <w:pStyle w:val="TableCellCenter"/>
              <w:keepNext/>
              <w:spacing w:after="20"/>
              <w:rPr>
                <w:sz w:val="22"/>
                <w:szCs w:val="22"/>
                <w:lang w:eastAsia="zh-TW"/>
              </w:rPr>
            </w:pPr>
          </w:p>
        </w:tc>
        <w:tc>
          <w:tcPr>
            <w:tcW w:w="1371" w:type="pct"/>
            <w:tcBorders>
              <w:top w:val="single" w:sz="4" w:space="0" w:color="auto"/>
              <w:left w:val="single" w:sz="4" w:space="0" w:color="auto"/>
              <w:bottom w:val="single" w:sz="4" w:space="0" w:color="auto"/>
              <w:right w:val="single" w:sz="4" w:space="0" w:color="auto"/>
            </w:tcBorders>
            <w:tcMar>
              <w:top w:w="0" w:type="dxa"/>
              <w:left w:w="58" w:type="dxa"/>
              <w:bottom w:w="0" w:type="dxa"/>
              <w:right w:w="58" w:type="dxa"/>
            </w:tcMar>
            <w:vAlign w:val="center"/>
          </w:tcPr>
          <w:p w14:paraId="2CB526C2" w14:textId="77777777" w:rsidR="000D4495" w:rsidRDefault="000D4495">
            <w:pPr>
              <w:pStyle w:val="TableCellCenter"/>
              <w:keepNext/>
              <w:spacing w:after="20"/>
              <w:rPr>
                <w:sz w:val="22"/>
                <w:szCs w:val="22"/>
                <w:lang w:eastAsia="zh-TW"/>
              </w:rPr>
            </w:pPr>
          </w:p>
          <w:p w14:paraId="3C9CBC1D" w14:textId="77777777" w:rsidR="000D4495" w:rsidRDefault="001D0951">
            <w:pPr>
              <w:pStyle w:val="TableCellCenter"/>
              <w:keepNext/>
              <w:spacing w:before="0" w:after="0"/>
              <w:rPr>
                <w:sz w:val="22"/>
                <w:szCs w:val="22"/>
                <w:lang w:eastAsia="zh-TW"/>
              </w:rPr>
            </w:pPr>
            <w:r w:rsidRPr="5F2EC82B">
              <w:rPr>
                <w:sz w:val="22"/>
                <w:szCs w:val="22"/>
                <w:lang w:eastAsia="zh-TW"/>
              </w:rPr>
              <w:t>+1.66 (0.1) (p&lt;0.0001)</w:t>
            </w:r>
          </w:p>
          <w:p w14:paraId="63E983FE" w14:textId="77777777" w:rsidR="000D4495" w:rsidRPr="004A5BFE" w:rsidRDefault="000D4495">
            <w:pPr>
              <w:pStyle w:val="TableCellCenter"/>
              <w:keepNext/>
              <w:spacing w:before="0" w:after="0"/>
              <w:rPr>
                <w:sz w:val="22"/>
                <w:szCs w:val="22"/>
                <w:lang w:eastAsia="zh-TW"/>
              </w:rPr>
            </w:pPr>
          </w:p>
          <w:p w14:paraId="107990DA" w14:textId="77777777" w:rsidR="000D4495" w:rsidRPr="004A5BFE" w:rsidRDefault="001D0951">
            <w:pPr>
              <w:pStyle w:val="TableCellCenter"/>
              <w:keepNext/>
              <w:spacing w:before="0" w:after="0"/>
              <w:rPr>
                <w:sz w:val="22"/>
                <w:szCs w:val="22"/>
                <w:lang w:eastAsia="zh-TW"/>
              </w:rPr>
            </w:pPr>
            <w:r w:rsidRPr="5F2EC82B">
              <w:rPr>
                <w:sz w:val="22"/>
                <w:szCs w:val="22"/>
                <w:lang w:eastAsia="zh-TW"/>
              </w:rPr>
              <w:t>+1.56 (0.1) (p&lt;0.0001)</w:t>
            </w:r>
          </w:p>
          <w:p w14:paraId="22B6AC0D" w14:textId="77777777" w:rsidR="000D4495" w:rsidRPr="004A5BFE" w:rsidRDefault="000D4495">
            <w:pPr>
              <w:pStyle w:val="TableCellCenter"/>
              <w:keepNext/>
              <w:spacing w:after="20"/>
              <w:rPr>
                <w:sz w:val="22"/>
                <w:szCs w:val="22"/>
                <w:lang w:eastAsia="zh-TW"/>
              </w:rPr>
            </w:pPr>
          </w:p>
        </w:tc>
        <w:tc>
          <w:tcPr>
            <w:tcW w:w="1626" w:type="pct"/>
            <w:tcBorders>
              <w:top w:val="single" w:sz="4" w:space="0" w:color="auto"/>
              <w:left w:val="single" w:sz="4" w:space="0" w:color="auto"/>
              <w:bottom w:val="single" w:sz="4" w:space="0" w:color="auto"/>
              <w:right w:val="single" w:sz="4" w:space="0" w:color="auto"/>
            </w:tcBorders>
            <w:vAlign w:val="center"/>
          </w:tcPr>
          <w:p w14:paraId="54F332AF" w14:textId="77777777" w:rsidR="000D4495" w:rsidRDefault="000D4495">
            <w:pPr>
              <w:pStyle w:val="TableCellCenter"/>
              <w:keepNext/>
              <w:spacing w:after="20"/>
              <w:rPr>
                <w:sz w:val="22"/>
                <w:szCs w:val="22"/>
                <w:lang w:eastAsia="zh-TW"/>
              </w:rPr>
            </w:pPr>
          </w:p>
          <w:p w14:paraId="10EC33C0" w14:textId="77777777" w:rsidR="000D4495" w:rsidRDefault="001D0951">
            <w:pPr>
              <w:pStyle w:val="TableCellCenter"/>
              <w:keepNext/>
              <w:spacing w:after="20"/>
              <w:rPr>
                <w:sz w:val="22"/>
                <w:szCs w:val="22"/>
                <w:lang w:eastAsia="zh-TW"/>
              </w:rPr>
            </w:pPr>
            <w:r w:rsidRPr="5F2EC82B">
              <w:rPr>
                <w:sz w:val="22"/>
                <w:szCs w:val="22"/>
                <w:lang w:eastAsia="zh-TW"/>
              </w:rPr>
              <w:t>+1.47 (0.1) (p&lt;0.0001)</w:t>
            </w:r>
          </w:p>
          <w:p w14:paraId="508A0DDD" w14:textId="77777777" w:rsidR="000D4495" w:rsidRDefault="000D4495">
            <w:pPr>
              <w:pStyle w:val="TableCellCenter"/>
              <w:keepNext/>
              <w:spacing w:after="20"/>
              <w:rPr>
                <w:sz w:val="22"/>
                <w:szCs w:val="22"/>
                <w:lang w:eastAsia="zh-TW"/>
              </w:rPr>
            </w:pPr>
          </w:p>
          <w:p w14:paraId="5B42AB34" w14:textId="77777777" w:rsidR="000D4495" w:rsidRDefault="001D0951">
            <w:pPr>
              <w:pStyle w:val="TableCellCenter"/>
              <w:keepNext/>
              <w:spacing w:after="20"/>
              <w:rPr>
                <w:sz w:val="22"/>
                <w:szCs w:val="22"/>
                <w:lang w:eastAsia="zh-TW"/>
              </w:rPr>
            </w:pPr>
            <w:r w:rsidRPr="5F2EC82B">
              <w:rPr>
                <w:sz w:val="22"/>
                <w:szCs w:val="22"/>
                <w:lang w:eastAsia="zh-TW"/>
              </w:rPr>
              <w:t>+1.58 (0.1) (p&lt;0.0001)</w:t>
            </w:r>
          </w:p>
          <w:p w14:paraId="27AED484" w14:textId="77777777" w:rsidR="000D4495" w:rsidRDefault="000D4495">
            <w:pPr>
              <w:pStyle w:val="TableCellCenter"/>
              <w:keepNext/>
              <w:spacing w:after="20"/>
              <w:rPr>
                <w:sz w:val="22"/>
                <w:szCs w:val="22"/>
                <w:lang w:eastAsia="zh-TW"/>
              </w:rPr>
            </w:pPr>
          </w:p>
        </w:tc>
      </w:tr>
    </w:tbl>
    <w:p w14:paraId="31AEF135" w14:textId="77777777" w:rsidR="00124AD4" w:rsidRPr="001F1B4C" w:rsidRDefault="001D0951" w:rsidP="00D1529A">
      <w:pPr>
        <w:pStyle w:val="ListParagraph"/>
        <w:keepNext/>
        <w:numPr>
          <w:ilvl w:val="0"/>
          <w:numId w:val="5"/>
        </w:numPr>
        <w:spacing w:line="240" w:lineRule="auto"/>
        <w:ind w:left="270" w:right="-2" w:hanging="270"/>
        <w:rPr>
          <w:sz w:val="20"/>
        </w:rPr>
      </w:pPr>
      <w:r w:rsidRPr="5F2EC82B">
        <w:rPr>
          <w:sz w:val="20"/>
        </w:rPr>
        <w:t xml:space="preserve">The estimates of LS </w:t>
      </w:r>
      <w:proofErr w:type="gramStart"/>
      <w:r w:rsidRPr="5F2EC82B">
        <w:rPr>
          <w:sz w:val="20"/>
        </w:rPr>
        <w:t>means</w:t>
      </w:r>
      <w:proofErr w:type="gramEnd"/>
      <w:r w:rsidRPr="5F2EC82B">
        <w:rPr>
          <w:sz w:val="20"/>
        </w:rPr>
        <w:t xml:space="preserve"> and p-values are from the generalized estimation equation model accounting for baseline RSS, visits and regimen and its interaction.</w:t>
      </w:r>
    </w:p>
    <w:p w14:paraId="1F6853C0" w14:textId="77777777" w:rsidR="00124AD4" w:rsidRPr="00B96FD0" w:rsidRDefault="00124AD4">
      <w:pPr>
        <w:numPr>
          <w:ilvl w:val="12"/>
          <w:numId w:val="0"/>
        </w:numPr>
        <w:spacing w:line="240" w:lineRule="auto"/>
        <w:ind w:right="-2"/>
        <w:rPr>
          <w:szCs w:val="22"/>
        </w:rPr>
      </w:pPr>
    </w:p>
    <w:p w14:paraId="0061A9E5" w14:textId="77777777" w:rsidR="000317A7" w:rsidRDefault="000317A7" w:rsidP="001F1B4C">
      <w:pPr>
        <w:spacing w:line="240" w:lineRule="auto"/>
        <w:ind w:right="-2"/>
        <w:rPr>
          <w:u w:val="single"/>
        </w:rPr>
      </w:pPr>
    </w:p>
    <w:p w14:paraId="3DBF720F" w14:textId="77777777" w:rsidR="00124AD4" w:rsidRPr="000F0920" w:rsidRDefault="001D0951" w:rsidP="001F1B4C">
      <w:pPr>
        <w:spacing w:line="240" w:lineRule="auto"/>
        <w:ind w:right="-2"/>
      </w:pPr>
      <w:r w:rsidRPr="5F2EC82B">
        <w:rPr>
          <w:u w:val="single"/>
        </w:rPr>
        <w:t>Study UX023-CL205</w:t>
      </w:r>
    </w:p>
    <w:p w14:paraId="7487884F" w14:textId="77777777" w:rsidR="00124AD4" w:rsidRPr="00811106" w:rsidRDefault="001D0951" w:rsidP="00124AD4">
      <w:pPr>
        <w:spacing w:line="240" w:lineRule="auto"/>
        <w:ind w:right="-2"/>
      </w:pPr>
      <w:r>
        <w:t xml:space="preserve">In paediatric Study UX023-CL205, </w:t>
      </w:r>
      <w:proofErr w:type="spellStart"/>
      <w:r>
        <w:t>burosumab</w:t>
      </w:r>
      <w:proofErr w:type="spellEnd"/>
      <w:r>
        <w:t xml:space="preserve"> was evaluated in 13 XLH patients, aged 1 to 4 years (mean 2.9 years; SD 1.1) for 40 weeks. All patients had radiographic evidence of rickets at baseline and twelve patients had received oral phosphate and vitamin D analogues for a mean (SD) </w:t>
      </w:r>
      <w:r w:rsidRPr="00811106">
        <w:t xml:space="preserve">duration of 16.7 (14.4) months. This </w:t>
      </w:r>
      <w:r w:rsidRPr="00811106">
        <w:rPr>
          <w:lang w:val="en-US"/>
        </w:rPr>
        <w:t xml:space="preserve">conventional therapy was discontinued 2-6 weeks prior </w:t>
      </w:r>
      <w:proofErr w:type="spellStart"/>
      <w:r w:rsidRPr="00811106">
        <w:rPr>
          <w:lang w:val="en-US"/>
        </w:rPr>
        <w:t>burosumab</w:t>
      </w:r>
      <w:proofErr w:type="spellEnd"/>
      <w:r w:rsidRPr="00811106">
        <w:rPr>
          <w:lang w:val="en-US"/>
        </w:rPr>
        <w:t xml:space="preserve"> initiation. </w:t>
      </w:r>
      <w:r w:rsidRPr="00811106">
        <w:t xml:space="preserve">Patients received </w:t>
      </w:r>
      <w:proofErr w:type="spellStart"/>
      <w:r w:rsidRPr="00811106">
        <w:t>burosumab</w:t>
      </w:r>
      <w:proofErr w:type="spellEnd"/>
      <w:r w:rsidRPr="00811106">
        <w:t xml:space="preserve"> at a dose of 0.8 mg/kg every two weeks. </w:t>
      </w:r>
    </w:p>
    <w:p w14:paraId="0E852548" w14:textId="77777777" w:rsidR="00124AD4" w:rsidRPr="00811106" w:rsidRDefault="00124AD4" w:rsidP="00124AD4">
      <w:pPr>
        <w:spacing w:line="240" w:lineRule="auto"/>
        <w:ind w:right="-2"/>
        <w:rPr>
          <w:szCs w:val="22"/>
        </w:rPr>
      </w:pPr>
    </w:p>
    <w:p w14:paraId="24F3E1E5" w14:textId="77777777" w:rsidR="00F64164" w:rsidRDefault="001D0951" w:rsidP="07120F5B">
      <w:pPr>
        <w:shd w:val="clear" w:color="auto" w:fill="FFFFFF" w:themeFill="background1"/>
        <w:spacing w:line="240" w:lineRule="auto"/>
        <w:rPr>
          <w:rFonts w:eastAsia="TimesNewRoman"/>
        </w:rPr>
      </w:pPr>
      <w:r w:rsidRPr="00811106">
        <w:rPr>
          <w:rFonts w:eastAsia="TimesNewRoman"/>
        </w:rPr>
        <w:t xml:space="preserve">In Study UX023-CL205, mean (SD) </w:t>
      </w:r>
      <w:r w:rsidRPr="00811106">
        <w:t xml:space="preserve">fasting </w:t>
      </w:r>
      <w:r w:rsidRPr="00811106">
        <w:rPr>
          <w:rFonts w:eastAsia="TimesNewRoman"/>
        </w:rPr>
        <w:t xml:space="preserve">serum phosphate concentration increased from </w:t>
      </w:r>
      <w:r w:rsidR="00B27963" w:rsidRPr="00811106">
        <w:rPr>
          <w:rFonts w:eastAsia="TimesNewRoman"/>
        </w:rPr>
        <w:t xml:space="preserve">2.51 (0.284) mg/dL </w:t>
      </w:r>
      <w:r w:rsidR="000669BE" w:rsidRPr="00811106">
        <w:rPr>
          <w:rFonts w:eastAsia="TimesNewRoman"/>
        </w:rPr>
        <w:t xml:space="preserve">(0.81 (0.092) mmol/L) </w:t>
      </w:r>
      <w:r w:rsidRPr="00811106">
        <w:rPr>
          <w:rFonts w:eastAsia="TimesNewRoman"/>
        </w:rPr>
        <w:t xml:space="preserve">at baseline to </w:t>
      </w:r>
      <w:r w:rsidR="00B27963" w:rsidRPr="00811106">
        <w:rPr>
          <w:rFonts w:eastAsia="TimesNewRoman"/>
        </w:rPr>
        <w:t xml:space="preserve">3.47 (0.485) mg/dL </w:t>
      </w:r>
      <w:r w:rsidR="009426BD" w:rsidRPr="00811106">
        <w:rPr>
          <w:rFonts w:eastAsia="TimesNewRoman"/>
        </w:rPr>
        <w:t xml:space="preserve">(1.12 (0.158) mmol/L) </w:t>
      </w:r>
      <w:r w:rsidR="0032700A" w:rsidRPr="00811106">
        <w:rPr>
          <w:rFonts w:eastAsia="TimesNewRoman"/>
        </w:rPr>
        <w:t>at</w:t>
      </w:r>
      <w:r w:rsidRPr="00811106">
        <w:rPr>
          <w:rFonts w:eastAsia="TimesNewRoman"/>
        </w:rPr>
        <w:t xml:space="preserve"> Week 40.</w:t>
      </w:r>
      <w:r w:rsidRPr="07120F5B">
        <w:rPr>
          <w:rFonts w:eastAsia="TimesNewRoman"/>
        </w:rPr>
        <w:t xml:space="preserve"> </w:t>
      </w:r>
    </w:p>
    <w:p w14:paraId="3B2DE482" w14:textId="77777777" w:rsidR="00F2414F" w:rsidRDefault="00F2414F" w:rsidP="00F64164">
      <w:pPr>
        <w:shd w:val="clear" w:color="auto" w:fill="FFFFFF" w:themeFill="background1"/>
        <w:spacing w:line="240" w:lineRule="auto"/>
        <w:rPr>
          <w:rFonts w:eastAsia="TimesNewRoman"/>
        </w:rPr>
      </w:pPr>
    </w:p>
    <w:p w14:paraId="6AA432A7" w14:textId="77777777" w:rsidR="00F2414F" w:rsidRPr="006F11B2" w:rsidRDefault="001D0951" w:rsidP="5F2EC82B">
      <w:pPr>
        <w:spacing w:line="240" w:lineRule="auto"/>
        <w:ind w:right="-2"/>
        <w:rPr>
          <w:rFonts w:eastAsia="TimesNewRoman"/>
        </w:rPr>
      </w:pPr>
      <w:r w:rsidRPr="5F2EC82B">
        <w:rPr>
          <w:rFonts w:eastAsia="TimesNewRoman"/>
          <w:i/>
          <w:iCs/>
        </w:rPr>
        <w:t>Serum alkaline phosphatase activity</w:t>
      </w:r>
    </w:p>
    <w:p w14:paraId="3838324B" w14:textId="77777777" w:rsidR="00124AD4" w:rsidRPr="006F11B2" w:rsidRDefault="001D0951" w:rsidP="5F2EC82B">
      <w:pPr>
        <w:shd w:val="clear" w:color="auto" w:fill="FFFFFF" w:themeFill="background1"/>
        <w:spacing w:line="240" w:lineRule="auto"/>
        <w:rPr>
          <w:rFonts w:eastAsia="TimesNewRoman"/>
        </w:rPr>
      </w:pPr>
      <w:r w:rsidRPr="5F2EC82B">
        <w:rPr>
          <w:rFonts w:eastAsia="TimesNewRoman"/>
        </w:rPr>
        <w:t>Mean (SD) serum total alkaline phosphatase activity was 549 (193.8) U/L at baseline and decreased to 335 (87.6) U/L at Week 40 (mean change: -36.3%).</w:t>
      </w:r>
    </w:p>
    <w:p w14:paraId="5EEE4A3A" w14:textId="77777777" w:rsidR="00F64164" w:rsidRPr="006F11B2" w:rsidRDefault="00F64164" w:rsidP="00124AD4">
      <w:pPr>
        <w:shd w:val="clear" w:color="auto" w:fill="FFFFFF" w:themeFill="background1"/>
        <w:spacing w:line="240" w:lineRule="auto"/>
        <w:rPr>
          <w:rFonts w:eastAsia="TimesNewRoman"/>
        </w:rPr>
      </w:pPr>
    </w:p>
    <w:p w14:paraId="76A26AE2" w14:textId="77777777" w:rsidR="00E152F9" w:rsidRPr="006F11B2" w:rsidRDefault="001D0951" w:rsidP="00C277EC">
      <w:pPr>
        <w:keepNext/>
        <w:shd w:val="clear" w:color="auto" w:fill="FFFFFF" w:themeFill="background1"/>
        <w:rPr>
          <w:i/>
          <w:iCs/>
          <w:lang w:val="en-US"/>
        </w:rPr>
      </w:pPr>
      <w:r w:rsidRPr="5F2EC82B">
        <w:rPr>
          <w:i/>
          <w:iCs/>
        </w:rPr>
        <w:t>Rickets Severity Score (RSS)</w:t>
      </w:r>
    </w:p>
    <w:p w14:paraId="4FEB5BCF" w14:textId="77777777" w:rsidR="00E152F9" w:rsidRPr="006F11B2" w:rsidRDefault="001D0951" w:rsidP="00C277EC">
      <w:pPr>
        <w:keepNext/>
        <w:rPr>
          <w:rFonts w:ascii="Calibri" w:hAnsi="Calibri" w:cs="Calibri"/>
        </w:rPr>
      </w:pPr>
      <w:r>
        <w:t xml:space="preserve">After 40 weeks of treatment with </w:t>
      </w:r>
      <w:proofErr w:type="spellStart"/>
      <w:r>
        <w:t>burosumab</w:t>
      </w:r>
      <w:proofErr w:type="spellEnd"/>
      <w:r>
        <w:t>, mean total RSS improved from 2.92 (1.367) at baseline to 1.19 (0.522), corresponding to a change from baseline in LS mean (SE) change of -1.73 (0.132) (p&lt;0.0001).</w:t>
      </w:r>
    </w:p>
    <w:p w14:paraId="132DE9D8" w14:textId="77777777" w:rsidR="000F37D4" w:rsidRPr="006F11B2" w:rsidRDefault="000F37D4" w:rsidP="000F37D4">
      <w:pPr>
        <w:tabs>
          <w:tab w:val="clear" w:pos="567"/>
        </w:tabs>
        <w:autoSpaceDE w:val="0"/>
        <w:autoSpaceDN w:val="0"/>
        <w:adjustRightInd w:val="0"/>
        <w:spacing w:line="240" w:lineRule="auto"/>
        <w:rPr>
          <w:szCs w:val="22"/>
        </w:rPr>
      </w:pPr>
    </w:p>
    <w:p w14:paraId="6370CE8C" w14:textId="77777777" w:rsidR="00F2414F" w:rsidRPr="00662578" w:rsidRDefault="001D0951" w:rsidP="006456FA">
      <w:pPr>
        <w:keepNext/>
        <w:keepLines/>
        <w:spacing w:line="240" w:lineRule="auto"/>
        <w:ind w:right="-2"/>
        <w:rPr>
          <w:szCs w:val="22"/>
        </w:rPr>
      </w:pPr>
      <w:r w:rsidRPr="5F2EC82B">
        <w:rPr>
          <w:i/>
          <w:iCs/>
        </w:rPr>
        <w:lastRenderedPageBreak/>
        <w:t xml:space="preserve">Radiographic Global Impression of Change (RGI-C) </w:t>
      </w:r>
    </w:p>
    <w:p w14:paraId="79B0AAD8" w14:textId="77777777" w:rsidR="00F2414F" w:rsidRPr="00E97F61" w:rsidRDefault="001D0951" w:rsidP="006456FA">
      <w:pPr>
        <w:keepNext/>
        <w:keepLines/>
        <w:shd w:val="clear" w:color="auto" w:fill="FFFFFF" w:themeFill="background1"/>
        <w:spacing w:line="240" w:lineRule="auto"/>
        <w:rPr>
          <w:rFonts w:eastAsia="TimesNewRoman"/>
        </w:rPr>
      </w:pPr>
      <w:r w:rsidRPr="001F1B4C">
        <w:t xml:space="preserve">After 40 weeks of treatment with </w:t>
      </w:r>
      <w:proofErr w:type="spellStart"/>
      <w:r w:rsidRPr="001F1B4C">
        <w:t>burosumab</w:t>
      </w:r>
      <w:proofErr w:type="spellEnd"/>
      <w:r w:rsidRPr="001F1B4C">
        <w:t xml:space="preserve">, the </w:t>
      </w:r>
      <w:r w:rsidR="00311236">
        <w:t xml:space="preserve">LS </w:t>
      </w:r>
      <w:r w:rsidRPr="001F1B4C">
        <w:t>mean</w:t>
      </w:r>
      <w:r w:rsidR="00311236">
        <w:t xml:space="preserve"> (SE)</w:t>
      </w:r>
      <w:r w:rsidRPr="001F1B4C">
        <w:t xml:space="preserve"> RGI-C Global score was +2.33 (0.08) in all 13 patients (p &lt; 0.0001) demonstrating healing of rickets. All 13 patients </w:t>
      </w:r>
      <w:r w:rsidR="009A4186" w:rsidRPr="001F1B4C">
        <w:t xml:space="preserve">were considered RGI-C responders </w:t>
      </w:r>
      <w:r w:rsidRPr="001F1B4C">
        <w:t>as defined by RGI-C global score ≥ +2.0.</w:t>
      </w:r>
      <w:r w:rsidR="00CD4D9C">
        <w:t xml:space="preserve"> </w:t>
      </w:r>
    </w:p>
    <w:p w14:paraId="09972672" w14:textId="77777777" w:rsidR="000F5DEC" w:rsidRDefault="000F5DEC" w:rsidP="50BD9E82">
      <w:pPr>
        <w:tabs>
          <w:tab w:val="clear" w:pos="567"/>
        </w:tabs>
        <w:autoSpaceDE w:val="0"/>
        <w:autoSpaceDN w:val="0"/>
        <w:adjustRightInd w:val="0"/>
        <w:spacing w:line="240" w:lineRule="auto"/>
        <w:rPr>
          <w:rFonts w:eastAsia="SimSun"/>
        </w:rPr>
      </w:pPr>
    </w:p>
    <w:p w14:paraId="06AA8E34" w14:textId="207E8235" w:rsidR="00124AD4" w:rsidRPr="00B96FD0" w:rsidRDefault="001D0951" w:rsidP="50BD9E82">
      <w:pPr>
        <w:tabs>
          <w:tab w:val="clear" w:pos="567"/>
        </w:tabs>
        <w:autoSpaceDE w:val="0"/>
        <w:autoSpaceDN w:val="0"/>
        <w:adjustRightInd w:val="0"/>
        <w:spacing w:line="240" w:lineRule="auto"/>
        <w:rPr>
          <w:szCs w:val="22"/>
        </w:rPr>
      </w:pPr>
      <w:r w:rsidRPr="07120F5B">
        <w:rPr>
          <w:rFonts w:eastAsia="SimSun"/>
        </w:rPr>
        <w:t xml:space="preserve">The European Medicines Agency has deferred the obligation to submit the results of studies with </w:t>
      </w:r>
      <w:proofErr w:type="spellStart"/>
      <w:r w:rsidR="000F7C2B">
        <w:t>burosumab</w:t>
      </w:r>
      <w:proofErr w:type="spellEnd"/>
      <w:r w:rsidR="000F7C2B">
        <w:t xml:space="preserve"> </w:t>
      </w:r>
      <w:r w:rsidRPr="07120F5B">
        <w:rPr>
          <w:rFonts w:eastAsia="SimSun"/>
        </w:rPr>
        <w:t xml:space="preserve">in one or more subsets of the paediatric population in treatment of X-linked </w:t>
      </w:r>
      <w:proofErr w:type="spellStart"/>
      <w:r w:rsidRPr="07120F5B">
        <w:rPr>
          <w:rFonts w:eastAsia="SimSun"/>
        </w:rPr>
        <w:t>hypophosphataemia</w:t>
      </w:r>
      <w:proofErr w:type="spellEnd"/>
      <w:r w:rsidRPr="07120F5B">
        <w:rPr>
          <w:rFonts w:eastAsia="SimSun"/>
        </w:rPr>
        <w:t>. See 4.2 for information on paediatric use.</w:t>
      </w:r>
    </w:p>
    <w:p w14:paraId="581E0980" w14:textId="77777777" w:rsidR="00124AD4" w:rsidRDefault="00124AD4">
      <w:pPr>
        <w:numPr>
          <w:ilvl w:val="12"/>
          <w:numId w:val="0"/>
        </w:numPr>
        <w:spacing w:line="240" w:lineRule="auto"/>
        <w:ind w:right="-2"/>
        <w:rPr>
          <w:iCs/>
          <w:noProof/>
          <w:szCs w:val="22"/>
        </w:rPr>
      </w:pPr>
    </w:p>
    <w:p w14:paraId="135F5E93" w14:textId="77777777" w:rsidR="00A76CBC" w:rsidRPr="00B077AC" w:rsidRDefault="001D0951" w:rsidP="00A76CBC">
      <w:pPr>
        <w:numPr>
          <w:ilvl w:val="12"/>
          <w:numId w:val="0"/>
        </w:numPr>
        <w:spacing w:line="240" w:lineRule="auto"/>
        <w:ind w:right="-2"/>
        <w:rPr>
          <w:iCs/>
          <w:noProof/>
          <w:szCs w:val="22"/>
        </w:rPr>
      </w:pPr>
      <w:r w:rsidRPr="00B077AC">
        <w:rPr>
          <w:iCs/>
          <w:noProof/>
          <w:szCs w:val="22"/>
        </w:rPr>
        <w:t>This medicinal product has been authorised under a so-called ‘conditional approval’ scheme. This means that further evidence on this medicinal product is awaited.</w:t>
      </w:r>
    </w:p>
    <w:p w14:paraId="4CBBF688" w14:textId="77777777" w:rsidR="000207A1" w:rsidRDefault="001D0951" w:rsidP="009A1E23">
      <w:pPr>
        <w:numPr>
          <w:ilvl w:val="12"/>
          <w:numId w:val="0"/>
        </w:numPr>
        <w:spacing w:line="240" w:lineRule="auto"/>
        <w:ind w:right="-2"/>
        <w:rPr>
          <w:iCs/>
          <w:noProof/>
          <w:szCs w:val="22"/>
        </w:rPr>
      </w:pPr>
      <w:r w:rsidRPr="00B077AC">
        <w:rPr>
          <w:iCs/>
          <w:noProof/>
          <w:szCs w:val="22"/>
        </w:rPr>
        <w:t>The European Medicines Agency will review new information on this medicinal product at least every year and this SmPC will be updated as necessary.</w:t>
      </w:r>
    </w:p>
    <w:p w14:paraId="61EDA408" w14:textId="77777777" w:rsidR="009A12A5" w:rsidRDefault="009A12A5" w:rsidP="009A1E23">
      <w:pPr>
        <w:numPr>
          <w:ilvl w:val="12"/>
          <w:numId w:val="0"/>
        </w:numPr>
        <w:spacing w:line="240" w:lineRule="auto"/>
        <w:ind w:right="-2"/>
        <w:rPr>
          <w:iCs/>
          <w:noProof/>
          <w:szCs w:val="22"/>
        </w:rPr>
      </w:pPr>
    </w:p>
    <w:p w14:paraId="74BAC4EF" w14:textId="77777777" w:rsidR="009A12A5" w:rsidRDefault="009A12A5" w:rsidP="009A12A5">
      <w:pPr>
        <w:autoSpaceDE w:val="0"/>
        <w:autoSpaceDN w:val="0"/>
        <w:adjustRightInd w:val="0"/>
        <w:spacing w:line="240" w:lineRule="auto"/>
        <w:rPr>
          <w:u w:val="single"/>
        </w:rPr>
      </w:pPr>
    </w:p>
    <w:p w14:paraId="3C21F298" w14:textId="77777777" w:rsidR="009A12A5" w:rsidRDefault="009A12A5" w:rsidP="009A12A5">
      <w:pPr>
        <w:autoSpaceDE w:val="0"/>
        <w:autoSpaceDN w:val="0"/>
        <w:adjustRightInd w:val="0"/>
        <w:spacing w:line="240" w:lineRule="auto"/>
        <w:rPr>
          <w:u w:val="single"/>
        </w:rPr>
      </w:pPr>
      <w:r>
        <w:rPr>
          <w:u w:val="single"/>
        </w:rPr>
        <w:t>Clinical efficacy in adults with XLH</w:t>
      </w:r>
    </w:p>
    <w:p w14:paraId="7D648F1A" w14:textId="77777777" w:rsidR="009A12A5" w:rsidRDefault="009A12A5" w:rsidP="009A12A5">
      <w:pPr>
        <w:autoSpaceDE w:val="0"/>
        <w:autoSpaceDN w:val="0"/>
        <w:adjustRightInd w:val="0"/>
        <w:spacing w:line="240" w:lineRule="auto"/>
        <w:rPr>
          <w:u w:val="single"/>
        </w:rPr>
      </w:pPr>
    </w:p>
    <w:p w14:paraId="15D2C924" w14:textId="77777777" w:rsidR="009A12A5" w:rsidRDefault="009A12A5" w:rsidP="009A12A5">
      <w:pPr>
        <w:spacing w:line="240" w:lineRule="auto"/>
        <w:ind w:right="-2"/>
      </w:pPr>
      <w:r>
        <w:rPr>
          <w:i/>
          <w:u w:val="single"/>
        </w:rPr>
        <w:t>Study UX023-CL303</w:t>
      </w:r>
    </w:p>
    <w:p w14:paraId="527B24BF" w14:textId="3055DCEF" w:rsidR="009A12A5" w:rsidRDefault="009A12A5" w:rsidP="009A12A5">
      <w:pPr>
        <w:autoSpaceDE w:val="0"/>
        <w:autoSpaceDN w:val="0"/>
        <w:adjustRightInd w:val="0"/>
        <w:spacing w:line="240" w:lineRule="auto"/>
      </w:pPr>
      <w:r>
        <w:t xml:space="preserve">Study UX023-CL303 is a randomised, double-blind, placebo-controlled study in 134 adult XLH patients. The study comprised of a 24-week placebo-controlled treatment phase followed by a 24-week open-label period where all patients received </w:t>
      </w:r>
      <w:proofErr w:type="spellStart"/>
      <w:r>
        <w:t>burosumab</w:t>
      </w:r>
      <w:proofErr w:type="spellEnd"/>
      <w:r>
        <w:t xml:space="preserve">. Oral phosphate and active vitamin D analogues were not allowed during the study. </w:t>
      </w:r>
      <w:proofErr w:type="spellStart"/>
      <w:r>
        <w:t>Burosumab</w:t>
      </w:r>
      <w:proofErr w:type="spellEnd"/>
      <w:r>
        <w:t xml:space="preserve"> was administered at a dose of 1 mg/kg every 4 weeks. The primary endpoint of this study was normalisation of serum phosphate across the</w:t>
      </w:r>
      <w:r w:rsidR="00811106">
        <w:t> </w:t>
      </w:r>
      <w:r>
        <w:t>24</w:t>
      </w:r>
      <w:r w:rsidR="00811106">
        <w:t>-</w:t>
      </w:r>
      <w:r>
        <w:t xml:space="preserve">week double-blind period.  Key secondary endpoints included </w:t>
      </w:r>
      <w:r w:rsidR="009A0825">
        <w:t xml:space="preserve">worst pain as measured by the </w:t>
      </w:r>
      <w:r w:rsidR="007C6CBD">
        <w:t>Brief Pain Inventory (</w:t>
      </w:r>
      <w:r w:rsidR="009A0825">
        <w:t>BPI</w:t>
      </w:r>
      <w:r w:rsidR="007C6CBD">
        <w:t>)</w:t>
      </w:r>
      <w:r w:rsidR="009A0825">
        <w:t xml:space="preserve"> scale</w:t>
      </w:r>
      <w:r w:rsidR="009A0825" w:rsidDel="00E74A0D">
        <w:t xml:space="preserve"> </w:t>
      </w:r>
      <w:r w:rsidR="009A0825">
        <w:t xml:space="preserve">and </w:t>
      </w:r>
      <w:r>
        <w:t xml:space="preserve">stiffness and physical function as measured by the WOMAC </w:t>
      </w:r>
      <w:r w:rsidR="006176A1" w:rsidRPr="006176A1">
        <w:t>(</w:t>
      </w:r>
      <w:r w:rsidR="006176A1" w:rsidRPr="006176A1">
        <w:rPr>
          <w:szCs w:val="22"/>
        </w:rPr>
        <w:t>Western Ontario and McMaster Universities Osteoarthritis)</w:t>
      </w:r>
      <w:r w:rsidR="006176A1">
        <w:rPr>
          <w:i/>
          <w:szCs w:val="22"/>
        </w:rPr>
        <w:t xml:space="preserve"> </w:t>
      </w:r>
      <w:r>
        <w:t>Index</w:t>
      </w:r>
      <w:r w:rsidR="007C6CBD">
        <w:t>.</w:t>
      </w:r>
      <w:r w:rsidR="00811106">
        <w:t xml:space="preserve"> </w:t>
      </w:r>
      <w:r>
        <w:t xml:space="preserve">Exploratory endpoints included fracture and </w:t>
      </w:r>
      <w:proofErr w:type="spellStart"/>
      <w:r>
        <w:t>pseudofracture</w:t>
      </w:r>
      <w:proofErr w:type="spellEnd"/>
      <w:r>
        <w:t xml:space="preserve"> healing</w:t>
      </w:r>
      <w:r w:rsidR="00AE4231">
        <w:t>, enthesopathy</w:t>
      </w:r>
      <w:r w:rsidR="009A0825">
        <w:t>,</w:t>
      </w:r>
      <w:r w:rsidR="007C6CBD">
        <w:t xml:space="preserve"> </w:t>
      </w:r>
      <w:r>
        <w:t>6 Minute Walk Test</w:t>
      </w:r>
      <w:r w:rsidR="009A0825">
        <w:t xml:space="preserve">, BPI Pain interference, </w:t>
      </w:r>
      <w:r w:rsidR="007C6CBD">
        <w:t>Brief Fatigue Inventory (</w:t>
      </w:r>
      <w:r w:rsidR="009A0825">
        <w:t>BFI</w:t>
      </w:r>
      <w:r w:rsidR="007C6CBD">
        <w:t>)</w:t>
      </w:r>
      <w:r w:rsidR="009A0825">
        <w:t xml:space="preserve"> worst fatigue and BFI global fatigue score. </w:t>
      </w:r>
    </w:p>
    <w:p w14:paraId="593D95D7" w14:textId="77777777" w:rsidR="009A12A5" w:rsidRDefault="009A12A5" w:rsidP="009A12A5">
      <w:pPr>
        <w:autoSpaceDE w:val="0"/>
        <w:autoSpaceDN w:val="0"/>
        <w:adjustRightInd w:val="0"/>
        <w:spacing w:line="240" w:lineRule="auto"/>
      </w:pPr>
    </w:p>
    <w:p w14:paraId="2AAA4CDF" w14:textId="0759D7E2" w:rsidR="009A12A5" w:rsidRDefault="009A12A5" w:rsidP="009A12A5">
      <w:pPr>
        <w:autoSpaceDE w:val="0"/>
        <w:autoSpaceDN w:val="0"/>
        <w:adjustRightInd w:val="0"/>
        <w:spacing w:line="240" w:lineRule="auto"/>
        <w:rPr>
          <w:color w:val="000000"/>
          <w:lang w:val="en-US"/>
        </w:rPr>
      </w:pPr>
      <w:r>
        <w:t>At study entry, the mean age of patients was 40 years (range 19 to 66 years) and 35% were male.</w:t>
      </w:r>
      <w:r w:rsidR="007F6CD7">
        <w:t> </w:t>
      </w:r>
      <w:r>
        <w:t>66</w:t>
      </w:r>
      <w:r w:rsidR="007F6CD7">
        <w:t> </w:t>
      </w:r>
      <w:r>
        <w:t xml:space="preserve">patients were randomised to </w:t>
      </w:r>
      <w:r w:rsidR="00007C6C">
        <w:t>p</w:t>
      </w:r>
      <w:r>
        <w:t xml:space="preserve">lacebo treatment and 68 to </w:t>
      </w:r>
      <w:proofErr w:type="spellStart"/>
      <w:r>
        <w:t>burosumab</w:t>
      </w:r>
      <w:proofErr w:type="spellEnd"/>
      <w:r>
        <w:t xml:space="preserve"> treatment; at baseline, mean (SD) serum phosphate was 0.62 (</w:t>
      </w:r>
      <w:r w:rsidRPr="00B4674A">
        <w:t>0.10</w:t>
      </w:r>
      <w:r>
        <w:t>) mmol/l [1.92</w:t>
      </w:r>
      <w:r>
        <w:rPr>
          <w:color w:val="000000"/>
          <w:lang w:val="en-US"/>
        </w:rPr>
        <w:t xml:space="preserve"> (0.32) mg/dL] and </w:t>
      </w:r>
      <w:r>
        <w:t>0.66 (</w:t>
      </w:r>
      <w:r w:rsidR="00EC3FD8" w:rsidRPr="0045101C">
        <w:t>0.1</w:t>
      </w:r>
      <w:r>
        <w:t> mmol/l) [</w:t>
      </w:r>
      <w:r>
        <w:rPr>
          <w:color w:val="000000"/>
          <w:lang w:val="en-US"/>
        </w:rPr>
        <w:t xml:space="preserve">2.03 (0.30) mg/dL] in the placebo and </w:t>
      </w:r>
      <w:proofErr w:type="spellStart"/>
      <w:r>
        <w:rPr>
          <w:color w:val="000000"/>
          <w:lang w:val="en-US"/>
        </w:rPr>
        <w:t>burosumab</w:t>
      </w:r>
      <w:proofErr w:type="spellEnd"/>
      <w:r>
        <w:rPr>
          <w:color w:val="000000"/>
          <w:lang w:val="en-US"/>
        </w:rPr>
        <w:t xml:space="preserve"> groups respectively. </w:t>
      </w:r>
    </w:p>
    <w:p w14:paraId="6253D2D6" w14:textId="77777777" w:rsidR="009A12A5" w:rsidRDefault="009A12A5" w:rsidP="009A12A5">
      <w:pPr>
        <w:autoSpaceDE w:val="0"/>
        <w:autoSpaceDN w:val="0"/>
        <w:adjustRightInd w:val="0"/>
        <w:spacing w:line="240" w:lineRule="auto"/>
        <w:rPr>
          <w:color w:val="000000"/>
          <w:lang w:val="en-US"/>
        </w:rPr>
      </w:pPr>
    </w:p>
    <w:p w14:paraId="44CC550D" w14:textId="73C39FE3" w:rsidR="009A12A5" w:rsidRPr="00BC78DF" w:rsidRDefault="009A12A5" w:rsidP="009A12A5">
      <w:pPr>
        <w:tabs>
          <w:tab w:val="clear" w:pos="567"/>
        </w:tabs>
        <w:autoSpaceDE w:val="0"/>
        <w:autoSpaceDN w:val="0"/>
        <w:adjustRightInd w:val="0"/>
        <w:spacing w:line="240" w:lineRule="auto"/>
        <w:rPr>
          <w:rFonts w:eastAsia="SimSun"/>
          <w:sz w:val="24"/>
          <w:szCs w:val="24"/>
          <w:lang w:eastAsia="ja-JP"/>
        </w:rPr>
      </w:pPr>
      <w:r>
        <w:rPr>
          <w:color w:val="000000"/>
          <w:lang w:val="en-US"/>
        </w:rPr>
        <w:t>For the primary efficacy endpoint</w:t>
      </w:r>
      <w:r w:rsidRPr="00811106">
        <w:rPr>
          <w:color w:val="000000"/>
          <w:lang w:val="en-US"/>
        </w:rPr>
        <w:t xml:space="preserve">, </w:t>
      </w:r>
      <w:r w:rsidR="00AD728F" w:rsidRPr="00811106">
        <w:rPr>
          <w:color w:val="000000"/>
          <w:lang w:val="en-US"/>
        </w:rPr>
        <w:t>a greater proportion</w:t>
      </w:r>
      <w:r>
        <w:rPr>
          <w:color w:val="000000"/>
          <w:lang w:val="en-US"/>
        </w:rPr>
        <w:t xml:space="preserve"> of patients treated with </w:t>
      </w:r>
      <w:proofErr w:type="spellStart"/>
      <w:r>
        <w:rPr>
          <w:color w:val="000000"/>
          <w:lang w:val="en-US"/>
        </w:rPr>
        <w:t>burosumab</w:t>
      </w:r>
      <w:proofErr w:type="spellEnd"/>
      <w:r>
        <w:rPr>
          <w:color w:val="000000"/>
          <w:lang w:val="en-US"/>
        </w:rPr>
        <w:t xml:space="preserve"> achieved a mean serum phosph</w:t>
      </w:r>
      <w:r w:rsidR="00DB6932">
        <w:rPr>
          <w:color w:val="000000"/>
          <w:lang w:val="en-US"/>
        </w:rPr>
        <w:t>ate</w:t>
      </w:r>
      <w:r>
        <w:rPr>
          <w:color w:val="000000"/>
          <w:lang w:val="en-US"/>
        </w:rPr>
        <w:t xml:space="preserve"> level above the lower limit of normal (LLN) compared to the placebo group through week 24 (Table </w:t>
      </w:r>
      <w:r w:rsidR="00B11DFA">
        <w:rPr>
          <w:color w:val="000000"/>
          <w:lang w:val="en-US"/>
        </w:rPr>
        <w:t>5</w:t>
      </w:r>
      <w:r w:rsidR="00796CF6">
        <w:rPr>
          <w:color w:val="000000"/>
          <w:lang w:val="en-US"/>
        </w:rPr>
        <w:t xml:space="preserve"> and Figure 3</w:t>
      </w:r>
      <w:r>
        <w:rPr>
          <w:color w:val="000000"/>
          <w:lang w:val="en-US"/>
        </w:rPr>
        <w:t xml:space="preserve">).  </w:t>
      </w:r>
    </w:p>
    <w:p w14:paraId="6DE7B07B" w14:textId="77777777" w:rsidR="009A12A5" w:rsidRDefault="009A12A5" w:rsidP="009A12A5">
      <w:pPr>
        <w:autoSpaceDE w:val="0"/>
        <w:autoSpaceDN w:val="0"/>
        <w:adjustRightInd w:val="0"/>
        <w:spacing w:line="240" w:lineRule="auto"/>
        <w:rPr>
          <w:color w:val="000000"/>
          <w:lang w:val="en-US"/>
        </w:rPr>
      </w:pPr>
    </w:p>
    <w:p w14:paraId="6C6A59F0" w14:textId="667D6C12" w:rsidR="009A12A5" w:rsidRDefault="009A12A5" w:rsidP="00DC2BB8">
      <w:pPr>
        <w:keepNext/>
        <w:keepLines/>
        <w:tabs>
          <w:tab w:val="clear" w:pos="567"/>
          <w:tab w:val="left" w:pos="720"/>
        </w:tabs>
        <w:spacing w:before="120" w:after="120" w:line="240" w:lineRule="auto"/>
        <w:ind w:left="851" w:hanging="797"/>
        <w:outlineLvl w:val="1"/>
        <w:rPr>
          <w:b/>
          <w:bCs/>
          <w:lang w:val="en-US"/>
        </w:rPr>
      </w:pPr>
      <w:r>
        <w:rPr>
          <w:b/>
          <w:szCs w:val="22"/>
          <w:lang w:val="en-US"/>
        </w:rPr>
        <w:t xml:space="preserve">Table </w:t>
      </w:r>
      <w:r w:rsidR="00B11DFA">
        <w:rPr>
          <w:b/>
          <w:szCs w:val="22"/>
          <w:lang w:val="en-US"/>
        </w:rPr>
        <w:t>5</w:t>
      </w:r>
      <w:r>
        <w:rPr>
          <w:b/>
          <w:szCs w:val="22"/>
          <w:lang w:val="en-US"/>
        </w:rPr>
        <w:t xml:space="preserve">: </w:t>
      </w:r>
      <w:r>
        <w:rPr>
          <w:b/>
          <w:bCs/>
          <w:lang w:val="en-US"/>
        </w:rPr>
        <w:t xml:space="preserve">Proportion of Adult Patients Achieving Mean Serum </w:t>
      </w:r>
      <w:r w:rsidR="000F7C2B">
        <w:rPr>
          <w:b/>
          <w:bCs/>
          <w:lang w:val="en-US"/>
        </w:rPr>
        <w:t>Phosphate</w:t>
      </w:r>
      <w:r>
        <w:rPr>
          <w:b/>
          <w:bCs/>
          <w:lang w:val="en-US"/>
        </w:rPr>
        <w:t xml:space="preserve"> Levels Above the LLN at the Midpoint of the Dose Interval in Study UX023-CL303 (Double-Blind Period)</w:t>
      </w:r>
    </w:p>
    <w:tbl>
      <w:tblPr>
        <w:tblW w:w="4881" w:type="pct"/>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063"/>
        <w:gridCol w:w="1960"/>
        <w:gridCol w:w="1822"/>
      </w:tblGrid>
      <w:tr w:rsidR="009A12A5" w14:paraId="41544EC3" w14:textId="77777777" w:rsidTr="009D7673">
        <w:trPr>
          <w:tblHeader/>
          <w:jc w:val="center"/>
        </w:trPr>
        <w:tc>
          <w:tcPr>
            <w:tcW w:w="2862" w:type="pct"/>
            <w:tcBorders>
              <w:top w:val="single" w:sz="4" w:space="0" w:color="auto"/>
              <w:left w:val="single" w:sz="4" w:space="0" w:color="auto"/>
              <w:bottom w:val="single" w:sz="4" w:space="0" w:color="auto"/>
              <w:right w:val="nil"/>
            </w:tcBorders>
            <w:vAlign w:val="bottom"/>
          </w:tcPr>
          <w:p w14:paraId="470944BF" w14:textId="77777777" w:rsidR="009A12A5" w:rsidRDefault="009A12A5" w:rsidP="006456FA">
            <w:pPr>
              <w:keepNext/>
              <w:keepLines/>
              <w:tabs>
                <w:tab w:val="clear" w:pos="567"/>
                <w:tab w:val="left" w:pos="720"/>
              </w:tabs>
              <w:spacing w:before="20" w:after="20" w:line="240" w:lineRule="auto"/>
              <w:ind w:left="420" w:hanging="420"/>
              <w:rPr>
                <w:rFonts w:eastAsia="Calibri"/>
                <w:b/>
                <w:szCs w:val="22"/>
                <w:lang w:val="en-US"/>
              </w:rPr>
            </w:pPr>
          </w:p>
        </w:tc>
        <w:tc>
          <w:tcPr>
            <w:tcW w:w="1108" w:type="pct"/>
            <w:tcBorders>
              <w:top w:val="single" w:sz="4" w:space="0" w:color="auto"/>
              <w:left w:val="nil"/>
              <w:bottom w:val="single" w:sz="4" w:space="0" w:color="000000" w:themeColor="text1"/>
              <w:right w:val="nil"/>
            </w:tcBorders>
            <w:vAlign w:val="bottom"/>
            <w:hideMark/>
          </w:tcPr>
          <w:p w14:paraId="499F3744" w14:textId="77777777" w:rsidR="009A12A5" w:rsidRDefault="009A12A5" w:rsidP="006456FA">
            <w:pPr>
              <w:keepNext/>
              <w:keepLines/>
              <w:tabs>
                <w:tab w:val="clear" w:pos="567"/>
                <w:tab w:val="left" w:pos="720"/>
              </w:tabs>
              <w:spacing w:before="20" w:after="20" w:line="240" w:lineRule="auto"/>
              <w:jc w:val="center"/>
              <w:rPr>
                <w:rFonts w:eastAsia="Calibri"/>
                <w:b/>
                <w:bCs/>
                <w:lang w:val="en-US"/>
              </w:rPr>
            </w:pPr>
            <w:r>
              <w:rPr>
                <w:rFonts w:eastAsia="Calibri"/>
                <w:b/>
                <w:bCs/>
                <w:lang w:val="en-US"/>
              </w:rPr>
              <w:t>Placebo</w:t>
            </w:r>
            <w:r>
              <w:rPr>
                <w:rFonts w:eastAsia="Calibri"/>
                <w:szCs w:val="22"/>
                <w:lang w:val="en-US"/>
              </w:rPr>
              <w:br/>
            </w:r>
            <w:r>
              <w:rPr>
                <w:rFonts w:eastAsia="Calibri"/>
                <w:b/>
                <w:bCs/>
                <w:lang w:val="en-US"/>
              </w:rPr>
              <w:t>(N = 66)</w:t>
            </w:r>
          </w:p>
        </w:tc>
        <w:tc>
          <w:tcPr>
            <w:tcW w:w="1031" w:type="pct"/>
            <w:tcBorders>
              <w:top w:val="single" w:sz="4" w:space="0" w:color="auto"/>
              <w:left w:val="nil"/>
              <w:bottom w:val="single" w:sz="4" w:space="0" w:color="000000" w:themeColor="text1"/>
              <w:right w:val="single" w:sz="4" w:space="0" w:color="auto"/>
            </w:tcBorders>
            <w:vAlign w:val="bottom"/>
            <w:hideMark/>
          </w:tcPr>
          <w:p w14:paraId="7C180A69" w14:textId="77777777" w:rsidR="009A12A5" w:rsidRDefault="009A12A5" w:rsidP="006456FA">
            <w:pPr>
              <w:keepNext/>
              <w:keepLines/>
              <w:tabs>
                <w:tab w:val="clear" w:pos="567"/>
                <w:tab w:val="left" w:pos="720"/>
              </w:tabs>
              <w:spacing w:before="20" w:after="20" w:line="240" w:lineRule="auto"/>
              <w:jc w:val="center"/>
              <w:rPr>
                <w:rFonts w:eastAsia="Calibri"/>
                <w:b/>
                <w:bCs/>
                <w:lang w:val="en-US"/>
              </w:rPr>
            </w:pPr>
            <w:proofErr w:type="spellStart"/>
            <w:r>
              <w:rPr>
                <w:rFonts w:eastAsia="Calibri"/>
                <w:b/>
                <w:bCs/>
                <w:lang w:val="en-US"/>
              </w:rPr>
              <w:t>Burosumab</w:t>
            </w:r>
            <w:proofErr w:type="spellEnd"/>
            <w:r>
              <w:rPr>
                <w:rFonts w:eastAsia="Calibri"/>
                <w:b/>
                <w:bCs/>
                <w:lang w:val="en-US"/>
              </w:rPr>
              <w:t xml:space="preserve"> </w:t>
            </w:r>
            <w:r>
              <w:rPr>
                <w:rFonts w:eastAsia="Calibri"/>
                <w:b/>
                <w:bCs/>
                <w:lang w:val="en-US"/>
              </w:rPr>
              <w:br/>
              <w:t>(N = 68)</w:t>
            </w:r>
          </w:p>
        </w:tc>
      </w:tr>
      <w:tr w:rsidR="009A12A5" w14:paraId="586877E2" w14:textId="77777777" w:rsidTr="009D7673">
        <w:trPr>
          <w:jc w:val="center"/>
        </w:trPr>
        <w:tc>
          <w:tcPr>
            <w:tcW w:w="2862" w:type="pct"/>
            <w:tcBorders>
              <w:top w:val="nil"/>
              <w:left w:val="single" w:sz="4" w:space="0" w:color="auto"/>
              <w:bottom w:val="nil"/>
              <w:right w:val="nil"/>
            </w:tcBorders>
            <w:hideMark/>
          </w:tcPr>
          <w:p w14:paraId="5A5E68FA" w14:textId="74A7EBAB" w:rsidR="009A12A5" w:rsidRDefault="009A12A5" w:rsidP="006456FA">
            <w:pPr>
              <w:keepNext/>
              <w:keepLines/>
              <w:tabs>
                <w:tab w:val="clear" w:pos="567"/>
                <w:tab w:val="left" w:pos="720"/>
              </w:tabs>
              <w:spacing w:before="20" w:line="240" w:lineRule="auto"/>
              <w:rPr>
                <w:rFonts w:eastAsia="Calibri"/>
                <w:lang w:val="en-US"/>
              </w:rPr>
            </w:pPr>
            <w:r>
              <w:rPr>
                <w:rFonts w:eastAsia="Calibri"/>
                <w:lang w:val="en-US"/>
              </w:rPr>
              <w:t xml:space="preserve">Achieved Mean Serum </w:t>
            </w:r>
            <w:r w:rsidR="00C310CC">
              <w:rPr>
                <w:rFonts w:eastAsia="Calibri"/>
                <w:lang w:val="en-US"/>
              </w:rPr>
              <w:t>Phosphate</w:t>
            </w:r>
            <w:r>
              <w:rPr>
                <w:rFonts w:eastAsia="Calibri"/>
                <w:lang w:val="en-US"/>
              </w:rPr>
              <w:t xml:space="preserve"> &gt; LLN Across Midpoints of Dose Intervals Through Week 24 - n (%)</w:t>
            </w:r>
          </w:p>
        </w:tc>
        <w:tc>
          <w:tcPr>
            <w:tcW w:w="1108" w:type="pct"/>
            <w:tcBorders>
              <w:top w:val="nil"/>
              <w:left w:val="nil"/>
              <w:bottom w:val="nil"/>
              <w:right w:val="nil"/>
            </w:tcBorders>
            <w:hideMark/>
          </w:tcPr>
          <w:p w14:paraId="72EE2C5D" w14:textId="77777777" w:rsidR="009A12A5" w:rsidRDefault="009A12A5" w:rsidP="006456FA">
            <w:pPr>
              <w:keepNext/>
              <w:keepLines/>
              <w:tabs>
                <w:tab w:val="clear" w:pos="567"/>
                <w:tab w:val="left" w:pos="720"/>
              </w:tabs>
              <w:spacing w:before="20" w:line="240" w:lineRule="auto"/>
              <w:jc w:val="center"/>
              <w:rPr>
                <w:rFonts w:eastAsia="Calibri"/>
                <w:lang w:val="en-US"/>
              </w:rPr>
            </w:pPr>
            <w:r>
              <w:rPr>
                <w:rFonts w:eastAsia="Calibri"/>
                <w:lang w:val="en-US"/>
              </w:rPr>
              <w:t>7.6% (5/66)</w:t>
            </w:r>
          </w:p>
        </w:tc>
        <w:tc>
          <w:tcPr>
            <w:tcW w:w="1031" w:type="pct"/>
            <w:tcBorders>
              <w:top w:val="nil"/>
              <w:left w:val="nil"/>
              <w:bottom w:val="nil"/>
              <w:right w:val="single" w:sz="4" w:space="0" w:color="auto"/>
            </w:tcBorders>
            <w:hideMark/>
          </w:tcPr>
          <w:p w14:paraId="3628DB0E" w14:textId="77777777" w:rsidR="009A12A5" w:rsidRDefault="009A12A5" w:rsidP="006456FA">
            <w:pPr>
              <w:keepNext/>
              <w:keepLines/>
              <w:tabs>
                <w:tab w:val="clear" w:pos="567"/>
                <w:tab w:val="left" w:pos="720"/>
              </w:tabs>
              <w:spacing w:before="20" w:line="240" w:lineRule="auto"/>
              <w:jc w:val="center"/>
              <w:rPr>
                <w:rFonts w:eastAsia="Calibri"/>
                <w:lang w:val="en-US"/>
              </w:rPr>
            </w:pPr>
            <w:r>
              <w:rPr>
                <w:rFonts w:eastAsia="Calibri"/>
                <w:lang w:val="en-US"/>
              </w:rPr>
              <w:t>94.1% (64/68)</w:t>
            </w:r>
          </w:p>
        </w:tc>
      </w:tr>
      <w:tr w:rsidR="009A12A5" w14:paraId="4DDC00BD" w14:textId="77777777" w:rsidTr="009D7673">
        <w:trPr>
          <w:jc w:val="center"/>
        </w:trPr>
        <w:tc>
          <w:tcPr>
            <w:tcW w:w="2862" w:type="pct"/>
            <w:tcBorders>
              <w:top w:val="nil"/>
              <w:left w:val="single" w:sz="4" w:space="0" w:color="auto"/>
              <w:bottom w:val="nil"/>
              <w:right w:val="nil"/>
            </w:tcBorders>
            <w:hideMark/>
          </w:tcPr>
          <w:p w14:paraId="3ACC041A" w14:textId="77777777" w:rsidR="009A12A5" w:rsidRDefault="009A12A5" w:rsidP="006456FA">
            <w:pPr>
              <w:keepNext/>
              <w:keepLines/>
              <w:tabs>
                <w:tab w:val="clear" w:pos="567"/>
                <w:tab w:val="left" w:pos="720"/>
              </w:tabs>
              <w:spacing w:before="20" w:line="240" w:lineRule="auto"/>
              <w:ind w:left="432" w:hanging="162"/>
              <w:rPr>
                <w:rFonts w:eastAsia="Calibri"/>
                <w:lang w:val="en-US"/>
              </w:rPr>
            </w:pPr>
            <w:r>
              <w:rPr>
                <w:rFonts w:eastAsia="Calibri"/>
                <w:lang w:val="en-US"/>
              </w:rPr>
              <w:t>95% CI</w:t>
            </w:r>
          </w:p>
        </w:tc>
        <w:tc>
          <w:tcPr>
            <w:tcW w:w="1108" w:type="pct"/>
            <w:tcBorders>
              <w:top w:val="nil"/>
              <w:left w:val="nil"/>
              <w:bottom w:val="nil"/>
              <w:right w:val="nil"/>
            </w:tcBorders>
            <w:hideMark/>
          </w:tcPr>
          <w:p w14:paraId="3FC61B9B" w14:textId="77777777" w:rsidR="009A12A5" w:rsidRDefault="009A12A5" w:rsidP="006456FA">
            <w:pPr>
              <w:keepNext/>
              <w:keepLines/>
              <w:tabs>
                <w:tab w:val="clear" w:pos="567"/>
                <w:tab w:val="left" w:pos="720"/>
              </w:tabs>
              <w:spacing w:before="20" w:line="240" w:lineRule="auto"/>
              <w:jc w:val="center"/>
              <w:rPr>
                <w:rFonts w:eastAsia="Calibri"/>
                <w:lang w:val="en-US"/>
              </w:rPr>
            </w:pPr>
            <w:r>
              <w:rPr>
                <w:rFonts w:eastAsia="Calibri"/>
                <w:lang w:val="en-US"/>
              </w:rPr>
              <w:t>(3.3, 16.5)</w:t>
            </w:r>
          </w:p>
        </w:tc>
        <w:tc>
          <w:tcPr>
            <w:tcW w:w="1031" w:type="pct"/>
            <w:tcBorders>
              <w:top w:val="nil"/>
              <w:left w:val="nil"/>
              <w:bottom w:val="nil"/>
              <w:right w:val="single" w:sz="4" w:space="0" w:color="auto"/>
            </w:tcBorders>
            <w:hideMark/>
          </w:tcPr>
          <w:p w14:paraId="2E1DF20F" w14:textId="77777777" w:rsidR="009A12A5" w:rsidRDefault="009A12A5" w:rsidP="006456FA">
            <w:pPr>
              <w:keepNext/>
              <w:keepLines/>
              <w:tabs>
                <w:tab w:val="clear" w:pos="567"/>
                <w:tab w:val="left" w:pos="720"/>
              </w:tabs>
              <w:spacing w:before="20" w:line="240" w:lineRule="auto"/>
              <w:jc w:val="center"/>
              <w:rPr>
                <w:rFonts w:eastAsia="Calibri"/>
                <w:lang w:val="en-US"/>
              </w:rPr>
            </w:pPr>
            <w:r>
              <w:rPr>
                <w:rFonts w:eastAsia="Calibri"/>
                <w:lang w:val="en-US"/>
              </w:rPr>
              <w:t>(85.8, 97.7)</w:t>
            </w:r>
          </w:p>
        </w:tc>
      </w:tr>
      <w:tr w:rsidR="009A12A5" w14:paraId="53292991" w14:textId="77777777" w:rsidTr="009D7673">
        <w:trPr>
          <w:jc w:val="center"/>
        </w:trPr>
        <w:tc>
          <w:tcPr>
            <w:tcW w:w="2862" w:type="pct"/>
            <w:tcBorders>
              <w:top w:val="nil"/>
              <w:left w:val="single" w:sz="4" w:space="0" w:color="auto"/>
              <w:bottom w:val="single" w:sz="4" w:space="0" w:color="auto"/>
              <w:right w:val="nil"/>
            </w:tcBorders>
            <w:hideMark/>
          </w:tcPr>
          <w:p w14:paraId="0C1543F5" w14:textId="77777777" w:rsidR="009A12A5" w:rsidRDefault="009A12A5" w:rsidP="006456FA">
            <w:pPr>
              <w:keepNext/>
              <w:keepLines/>
              <w:tabs>
                <w:tab w:val="clear" w:pos="567"/>
                <w:tab w:val="left" w:pos="720"/>
              </w:tabs>
              <w:spacing w:before="20" w:line="240" w:lineRule="auto"/>
              <w:ind w:left="432" w:hanging="162"/>
              <w:rPr>
                <w:rFonts w:eastAsia="Calibri"/>
                <w:lang w:val="en-US"/>
              </w:rPr>
            </w:pPr>
            <w:r>
              <w:rPr>
                <w:rFonts w:eastAsia="Calibri"/>
                <w:lang w:val="en-US"/>
              </w:rPr>
              <w:t>p-</w:t>
            </w:r>
            <w:proofErr w:type="spellStart"/>
            <w:r>
              <w:rPr>
                <w:rFonts w:eastAsia="Calibri"/>
                <w:lang w:val="en-US"/>
              </w:rPr>
              <w:t>value</w:t>
            </w:r>
            <w:r>
              <w:rPr>
                <w:rFonts w:eastAsia="Calibri"/>
                <w:vertAlign w:val="superscript"/>
                <w:lang w:val="en-US"/>
              </w:rPr>
              <w:t>a</w:t>
            </w:r>
            <w:proofErr w:type="spellEnd"/>
          </w:p>
        </w:tc>
        <w:tc>
          <w:tcPr>
            <w:tcW w:w="1108" w:type="pct"/>
            <w:tcBorders>
              <w:top w:val="nil"/>
              <w:left w:val="nil"/>
              <w:bottom w:val="single" w:sz="4" w:space="0" w:color="auto"/>
              <w:right w:val="nil"/>
            </w:tcBorders>
          </w:tcPr>
          <w:p w14:paraId="26DCB3B2" w14:textId="77777777" w:rsidR="009A12A5" w:rsidRDefault="009A12A5" w:rsidP="006456FA">
            <w:pPr>
              <w:keepNext/>
              <w:keepLines/>
              <w:tabs>
                <w:tab w:val="clear" w:pos="567"/>
                <w:tab w:val="left" w:pos="720"/>
              </w:tabs>
              <w:spacing w:before="20" w:line="240" w:lineRule="auto"/>
              <w:jc w:val="center"/>
              <w:rPr>
                <w:rFonts w:eastAsia="Calibri"/>
                <w:szCs w:val="22"/>
                <w:lang w:val="en-US"/>
              </w:rPr>
            </w:pPr>
          </w:p>
        </w:tc>
        <w:tc>
          <w:tcPr>
            <w:tcW w:w="1031" w:type="pct"/>
            <w:tcBorders>
              <w:top w:val="nil"/>
              <w:left w:val="nil"/>
              <w:bottom w:val="single" w:sz="4" w:space="0" w:color="auto"/>
              <w:right w:val="single" w:sz="4" w:space="0" w:color="auto"/>
            </w:tcBorders>
            <w:hideMark/>
          </w:tcPr>
          <w:p w14:paraId="7BE67526" w14:textId="77777777" w:rsidR="009A12A5" w:rsidRDefault="009A12A5" w:rsidP="006456FA">
            <w:pPr>
              <w:keepNext/>
              <w:keepLines/>
              <w:tabs>
                <w:tab w:val="clear" w:pos="567"/>
                <w:tab w:val="left" w:pos="720"/>
              </w:tabs>
              <w:spacing w:before="20" w:line="240" w:lineRule="auto"/>
              <w:jc w:val="center"/>
              <w:rPr>
                <w:rFonts w:eastAsia="Calibri"/>
                <w:lang w:val="en-US"/>
              </w:rPr>
            </w:pPr>
            <w:r>
              <w:rPr>
                <w:rFonts w:eastAsia="Calibri"/>
                <w:lang w:val="en-US"/>
              </w:rPr>
              <w:t>&lt; 0.0001</w:t>
            </w:r>
          </w:p>
        </w:tc>
      </w:tr>
    </w:tbl>
    <w:p w14:paraId="6D2C75C4" w14:textId="77777777" w:rsidR="009A12A5" w:rsidRDefault="009A12A5" w:rsidP="006456FA">
      <w:pPr>
        <w:keepNext/>
        <w:keepLines/>
        <w:tabs>
          <w:tab w:val="left" w:pos="360"/>
        </w:tabs>
        <w:spacing w:line="240" w:lineRule="auto"/>
        <w:ind w:left="360" w:hanging="360"/>
        <w:rPr>
          <w:rFonts w:eastAsia="Calibri"/>
          <w:sz w:val="18"/>
          <w:lang w:val="en-US"/>
        </w:rPr>
      </w:pPr>
      <w:r>
        <w:rPr>
          <w:rFonts w:eastAsia="Calibri"/>
          <w:sz w:val="18"/>
          <w:lang w:val="en-US"/>
        </w:rPr>
        <w:t>The 95% CIs are calculated using the Wilson score method.</w:t>
      </w:r>
    </w:p>
    <w:p w14:paraId="5DAED517" w14:textId="6239A761" w:rsidR="009A12A5" w:rsidRDefault="009A12A5" w:rsidP="006456FA">
      <w:pPr>
        <w:keepNext/>
        <w:keepLines/>
        <w:tabs>
          <w:tab w:val="left" w:pos="360"/>
        </w:tabs>
        <w:spacing w:line="240" w:lineRule="auto"/>
        <w:ind w:left="360" w:hanging="360"/>
        <w:rPr>
          <w:rFonts w:eastAsia="Calibri"/>
          <w:sz w:val="18"/>
          <w:lang w:val="en-US"/>
        </w:rPr>
      </w:pPr>
      <w:r>
        <w:rPr>
          <w:rFonts w:eastAsia="Calibri"/>
          <w:sz w:val="18"/>
          <w:vertAlign w:val="superscript"/>
          <w:lang w:val="en-US"/>
        </w:rPr>
        <w:t>a</w:t>
      </w:r>
      <w:r>
        <w:rPr>
          <w:rFonts w:eastAsia="Calibri"/>
          <w:sz w:val="18"/>
          <w:szCs w:val="22"/>
          <w:lang w:val="en-US"/>
        </w:rPr>
        <w:tab/>
      </w:r>
      <w:r>
        <w:rPr>
          <w:rFonts w:eastAsia="Calibri"/>
          <w:sz w:val="18"/>
          <w:lang w:val="en-US"/>
        </w:rPr>
        <w:t>P-value is from Cochran-Mantel-</w:t>
      </w:r>
      <w:proofErr w:type="spellStart"/>
      <w:r>
        <w:rPr>
          <w:rFonts w:eastAsia="Calibri"/>
          <w:sz w:val="18"/>
          <w:lang w:val="en-US"/>
        </w:rPr>
        <w:t>Haenszel</w:t>
      </w:r>
      <w:proofErr w:type="spellEnd"/>
      <w:r>
        <w:rPr>
          <w:rFonts w:eastAsia="Calibri"/>
          <w:sz w:val="18"/>
          <w:lang w:val="en-US"/>
        </w:rPr>
        <w:t xml:space="preserve"> (CMH) testing for association between achieving the primary endpoint and treatment group, adjusting for </w:t>
      </w:r>
      <w:proofErr w:type="spellStart"/>
      <w:r>
        <w:rPr>
          <w:rFonts w:eastAsia="Calibri"/>
          <w:sz w:val="18"/>
          <w:lang w:val="en-US"/>
        </w:rPr>
        <w:t>randomi</w:t>
      </w:r>
      <w:r w:rsidR="00C310CC">
        <w:rPr>
          <w:rFonts w:eastAsia="Calibri"/>
          <w:sz w:val="18"/>
          <w:lang w:val="en-US"/>
        </w:rPr>
        <w:t>s</w:t>
      </w:r>
      <w:r>
        <w:rPr>
          <w:rFonts w:eastAsia="Calibri"/>
          <w:sz w:val="18"/>
          <w:lang w:val="en-US"/>
        </w:rPr>
        <w:t>ation</w:t>
      </w:r>
      <w:proofErr w:type="spellEnd"/>
      <w:r>
        <w:rPr>
          <w:rFonts w:eastAsia="Calibri"/>
          <w:sz w:val="18"/>
          <w:lang w:val="en-US"/>
        </w:rPr>
        <w:t xml:space="preserve"> stratifications.</w:t>
      </w:r>
    </w:p>
    <w:p w14:paraId="1731BAFC" w14:textId="77777777" w:rsidR="009A12A5" w:rsidRDefault="009A12A5" w:rsidP="006456FA">
      <w:pPr>
        <w:keepNext/>
        <w:keepLines/>
        <w:tabs>
          <w:tab w:val="left" w:pos="360"/>
        </w:tabs>
        <w:spacing w:line="240" w:lineRule="auto"/>
        <w:ind w:left="360" w:hanging="360"/>
        <w:rPr>
          <w:rFonts w:eastAsia="Calibri"/>
          <w:sz w:val="18"/>
          <w:lang w:val="en-US"/>
        </w:rPr>
      </w:pPr>
    </w:p>
    <w:p w14:paraId="69DF110A" w14:textId="77777777" w:rsidR="009A12A5" w:rsidRDefault="009A12A5" w:rsidP="009A12A5">
      <w:pPr>
        <w:tabs>
          <w:tab w:val="clear" w:pos="567"/>
          <w:tab w:val="left" w:pos="360"/>
        </w:tabs>
        <w:spacing w:line="240" w:lineRule="auto"/>
        <w:ind w:left="360" w:hanging="360"/>
        <w:rPr>
          <w:rFonts w:eastAsia="Calibri"/>
          <w:b/>
          <w:bCs/>
          <w:szCs w:val="22"/>
          <w:lang w:val="en-US"/>
        </w:rPr>
      </w:pPr>
    </w:p>
    <w:p w14:paraId="2D9D8F04" w14:textId="77777777" w:rsidR="009A12A5" w:rsidRDefault="009A12A5" w:rsidP="009A12A5">
      <w:pPr>
        <w:tabs>
          <w:tab w:val="clear" w:pos="567"/>
          <w:tab w:val="left" w:pos="360"/>
        </w:tabs>
        <w:spacing w:line="240" w:lineRule="auto"/>
        <w:ind w:left="360" w:hanging="360"/>
        <w:rPr>
          <w:rFonts w:eastAsia="Calibri"/>
          <w:b/>
          <w:bCs/>
          <w:szCs w:val="22"/>
          <w:lang w:val="en-US"/>
        </w:rPr>
      </w:pPr>
    </w:p>
    <w:p w14:paraId="108452E4" w14:textId="7745A14A" w:rsidR="009A12A5" w:rsidRPr="00BF519D" w:rsidRDefault="009A12A5" w:rsidP="003F4F6F">
      <w:pPr>
        <w:keepNext/>
        <w:keepLines/>
        <w:tabs>
          <w:tab w:val="clear" w:pos="567"/>
          <w:tab w:val="left" w:pos="360"/>
        </w:tabs>
        <w:spacing w:line="240" w:lineRule="auto"/>
        <w:ind w:left="357" w:hanging="357"/>
        <w:rPr>
          <w:rFonts w:eastAsia="SimSun"/>
          <w:b/>
          <w:bCs/>
          <w:szCs w:val="22"/>
          <w:lang w:eastAsia="ja-JP"/>
        </w:rPr>
      </w:pPr>
      <w:r w:rsidRPr="00BF519D">
        <w:rPr>
          <w:rFonts w:eastAsia="Calibri"/>
          <w:b/>
          <w:bCs/>
          <w:szCs w:val="22"/>
          <w:lang w:val="en-US"/>
        </w:rPr>
        <w:lastRenderedPageBreak/>
        <w:t xml:space="preserve">Figure </w:t>
      </w:r>
      <w:r w:rsidR="000F7C2B">
        <w:rPr>
          <w:rFonts w:eastAsia="Calibri"/>
          <w:b/>
          <w:bCs/>
          <w:szCs w:val="22"/>
          <w:lang w:val="en-US"/>
        </w:rPr>
        <w:t>3</w:t>
      </w:r>
      <w:r w:rsidRPr="00BF519D">
        <w:rPr>
          <w:rFonts w:eastAsia="Calibri"/>
          <w:b/>
          <w:bCs/>
          <w:szCs w:val="22"/>
          <w:lang w:val="en-US"/>
        </w:rPr>
        <w:t>:</w:t>
      </w:r>
      <w:r w:rsidRPr="00BF519D">
        <w:rPr>
          <w:rFonts w:eastAsia="Calibri"/>
          <w:szCs w:val="22"/>
          <w:lang w:val="en-US"/>
        </w:rPr>
        <w:t xml:space="preserve"> </w:t>
      </w:r>
      <w:r w:rsidRPr="00BF519D">
        <w:rPr>
          <w:rFonts w:eastAsia="SimSun"/>
          <w:b/>
          <w:bCs/>
          <w:szCs w:val="22"/>
          <w:lang w:eastAsia="ja-JP"/>
        </w:rPr>
        <w:t xml:space="preserve">Mean (± SE) Serum </w:t>
      </w:r>
      <w:r w:rsidR="00B11DFA">
        <w:rPr>
          <w:rFonts w:eastAsia="SimSun"/>
          <w:b/>
          <w:bCs/>
          <w:szCs w:val="22"/>
          <w:lang w:eastAsia="ja-JP"/>
        </w:rPr>
        <w:t>Phosphate</w:t>
      </w:r>
      <w:r w:rsidRPr="00BF519D">
        <w:rPr>
          <w:rFonts w:eastAsia="SimSun"/>
          <w:b/>
          <w:bCs/>
          <w:szCs w:val="22"/>
          <w:lang w:eastAsia="ja-JP"/>
        </w:rPr>
        <w:t xml:space="preserve"> Peak Concentrations (mg/dL</w:t>
      </w:r>
      <w:r w:rsidR="0089750B">
        <w:rPr>
          <w:rFonts w:eastAsia="SimSun"/>
          <w:b/>
          <w:bCs/>
          <w:szCs w:val="22"/>
          <w:lang w:eastAsia="ja-JP"/>
        </w:rPr>
        <w:t xml:space="preserve"> </w:t>
      </w:r>
      <w:r w:rsidR="00686214">
        <w:t>[</w:t>
      </w:r>
      <w:r w:rsidR="0089750B">
        <w:rPr>
          <w:rFonts w:eastAsia="SimSun"/>
          <w:b/>
          <w:bCs/>
          <w:szCs w:val="22"/>
          <w:lang w:eastAsia="ja-JP"/>
        </w:rPr>
        <w:t>mmol/L</w:t>
      </w:r>
      <w:r w:rsidR="00686214">
        <w:rPr>
          <w:color w:val="000000"/>
          <w:lang w:val="en-US"/>
        </w:rPr>
        <w:t>]</w:t>
      </w:r>
      <w:r w:rsidRPr="00BF519D">
        <w:rPr>
          <w:rFonts w:eastAsia="SimSun"/>
          <w:b/>
          <w:bCs/>
          <w:szCs w:val="22"/>
          <w:lang w:eastAsia="ja-JP"/>
        </w:rPr>
        <w:t>)</w:t>
      </w:r>
    </w:p>
    <w:p w14:paraId="3F6C9E6A" w14:textId="77777777" w:rsidR="009A12A5" w:rsidRDefault="009A12A5" w:rsidP="003F4F6F">
      <w:pPr>
        <w:keepNext/>
        <w:keepLines/>
        <w:tabs>
          <w:tab w:val="clear" w:pos="567"/>
          <w:tab w:val="left" w:pos="360"/>
        </w:tabs>
        <w:spacing w:line="240" w:lineRule="auto"/>
        <w:ind w:left="357" w:hanging="357"/>
        <w:rPr>
          <w:rFonts w:eastAsia="Calibri"/>
          <w:sz w:val="18"/>
          <w:lang w:val="en-US"/>
        </w:rPr>
      </w:pPr>
    </w:p>
    <w:p w14:paraId="23BA1A5C" w14:textId="23B32178" w:rsidR="009A12A5" w:rsidRDefault="009A12A5" w:rsidP="003F4F6F">
      <w:pPr>
        <w:keepNext/>
        <w:keepLines/>
        <w:tabs>
          <w:tab w:val="clear" w:pos="567"/>
          <w:tab w:val="left" w:pos="360"/>
        </w:tabs>
        <w:spacing w:line="240" w:lineRule="auto"/>
        <w:ind w:left="357" w:hanging="357"/>
        <w:rPr>
          <w:rFonts w:eastAsia="Calibri"/>
          <w:sz w:val="18"/>
          <w:lang w:val="en-US"/>
        </w:rPr>
      </w:pPr>
    </w:p>
    <w:p w14:paraId="2A17C8EB" w14:textId="77777777" w:rsidR="003952A3" w:rsidRDefault="003952A3" w:rsidP="003F4F6F">
      <w:pPr>
        <w:keepNext/>
        <w:keepLines/>
        <w:tabs>
          <w:tab w:val="clear" w:pos="567"/>
          <w:tab w:val="left" w:pos="360"/>
        </w:tabs>
        <w:spacing w:line="240" w:lineRule="auto"/>
        <w:ind w:left="357" w:hanging="357"/>
        <w:rPr>
          <w:rFonts w:eastAsia="Calibri"/>
          <w:sz w:val="18"/>
          <w:lang w:val="en-US"/>
        </w:rPr>
      </w:pPr>
    </w:p>
    <w:p w14:paraId="7AF2D00A" w14:textId="4D736FE0" w:rsidR="0089750B" w:rsidRDefault="003952A3" w:rsidP="000849F4">
      <w:pPr>
        <w:keepNext/>
        <w:keepLines/>
        <w:tabs>
          <w:tab w:val="clear" w:pos="567"/>
          <w:tab w:val="left" w:pos="360"/>
        </w:tabs>
        <w:spacing w:line="240" w:lineRule="auto"/>
        <w:rPr>
          <w:rFonts w:eastAsia="Calibri"/>
          <w:sz w:val="18"/>
          <w:lang w:val="en-US"/>
        </w:rPr>
      </w:pPr>
      <w:r>
        <w:rPr>
          <w:noProof/>
        </w:rPr>
        <w:drawing>
          <wp:inline distT="0" distB="0" distL="0" distR="0" wp14:anchorId="6097BD77" wp14:editId="18042827">
            <wp:extent cx="5760085" cy="4280544"/>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149"/>
                    <a:stretch/>
                  </pic:blipFill>
                  <pic:spPr bwMode="auto">
                    <a:xfrm>
                      <a:off x="0" y="0"/>
                      <a:ext cx="5760085" cy="4280544"/>
                    </a:xfrm>
                    <a:prstGeom prst="rect">
                      <a:avLst/>
                    </a:prstGeom>
                    <a:ln>
                      <a:noFill/>
                    </a:ln>
                    <a:extLst>
                      <a:ext uri="{53640926-AAD7-44D8-BBD7-CCE9431645EC}">
                        <a14:shadowObscured xmlns:a14="http://schemas.microsoft.com/office/drawing/2010/main"/>
                      </a:ext>
                    </a:extLst>
                  </pic:spPr>
                </pic:pic>
              </a:graphicData>
            </a:graphic>
          </wp:inline>
        </w:drawing>
      </w:r>
    </w:p>
    <w:p w14:paraId="101092A1" w14:textId="66D5F75D" w:rsidR="0089750B" w:rsidRDefault="0089750B" w:rsidP="003F4F6F">
      <w:pPr>
        <w:keepNext/>
        <w:keepLines/>
        <w:tabs>
          <w:tab w:val="clear" w:pos="567"/>
          <w:tab w:val="left" w:pos="360"/>
        </w:tabs>
        <w:spacing w:line="240" w:lineRule="auto"/>
        <w:ind w:left="357" w:hanging="357"/>
        <w:rPr>
          <w:rFonts w:eastAsia="Calibri"/>
          <w:sz w:val="18"/>
          <w:lang w:val="en-US"/>
        </w:rPr>
      </w:pPr>
    </w:p>
    <w:p w14:paraId="397F9290" w14:textId="77777777" w:rsidR="0089750B" w:rsidRDefault="0089750B" w:rsidP="003F4F6F">
      <w:pPr>
        <w:keepNext/>
        <w:keepLines/>
        <w:tabs>
          <w:tab w:val="clear" w:pos="567"/>
          <w:tab w:val="left" w:pos="360"/>
        </w:tabs>
        <w:spacing w:line="240" w:lineRule="auto"/>
        <w:ind w:left="357" w:hanging="357"/>
        <w:rPr>
          <w:rFonts w:eastAsia="Calibri"/>
          <w:sz w:val="18"/>
          <w:lang w:val="en-US"/>
        </w:rPr>
      </w:pPr>
    </w:p>
    <w:p w14:paraId="35920BAC" w14:textId="329A1441" w:rsidR="009A12A5" w:rsidRDefault="009A12A5" w:rsidP="003F4F6F">
      <w:pPr>
        <w:keepNext/>
        <w:keepLines/>
        <w:tabs>
          <w:tab w:val="clear" w:pos="567"/>
          <w:tab w:val="left" w:pos="360"/>
        </w:tabs>
        <w:spacing w:line="240" w:lineRule="auto"/>
        <w:ind w:left="357" w:hanging="357"/>
        <w:rPr>
          <w:rFonts w:eastAsia="Calibri"/>
          <w:sz w:val="18"/>
          <w:lang w:val="en-US"/>
        </w:rPr>
      </w:pPr>
    </w:p>
    <w:p w14:paraId="3990BCA6" w14:textId="5C07CE43" w:rsidR="008E01FC" w:rsidRDefault="008E01FC" w:rsidP="003F4F6F">
      <w:pPr>
        <w:keepNext/>
        <w:keepLines/>
        <w:tabs>
          <w:tab w:val="clear" w:pos="567"/>
          <w:tab w:val="left" w:pos="360"/>
        </w:tabs>
        <w:spacing w:line="240" w:lineRule="auto"/>
        <w:ind w:left="357" w:hanging="357"/>
        <w:rPr>
          <w:rFonts w:eastAsia="Calibri"/>
          <w:sz w:val="18"/>
          <w:lang w:val="en-US"/>
        </w:rPr>
      </w:pPr>
    </w:p>
    <w:p w14:paraId="3ED68D91" w14:textId="77777777" w:rsidR="009A12A5" w:rsidRDefault="009A12A5" w:rsidP="003F4F6F">
      <w:pPr>
        <w:keepNext/>
        <w:keepLines/>
        <w:tabs>
          <w:tab w:val="clear" w:pos="567"/>
          <w:tab w:val="left" w:pos="360"/>
        </w:tabs>
        <w:spacing w:line="240" w:lineRule="auto"/>
        <w:ind w:left="357" w:hanging="357"/>
        <w:rPr>
          <w:rFonts w:eastAsia="Calibri"/>
          <w:sz w:val="18"/>
          <w:lang w:val="en-US"/>
        </w:rPr>
      </w:pPr>
    </w:p>
    <w:p w14:paraId="4801C379" w14:textId="77777777" w:rsidR="009A12A5" w:rsidRDefault="009A12A5" w:rsidP="00EA633C">
      <w:pPr>
        <w:keepNext/>
        <w:keepLines/>
        <w:tabs>
          <w:tab w:val="clear" w:pos="567"/>
          <w:tab w:val="left" w:pos="360"/>
        </w:tabs>
        <w:spacing w:line="240" w:lineRule="auto"/>
        <w:ind w:left="360" w:hanging="360"/>
        <w:rPr>
          <w:i/>
          <w:szCs w:val="22"/>
        </w:rPr>
      </w:pPr>
    </w:p>
    <w:p w14:paraId="554092F8" w14:textId="16445A61" w:rsidR="00541B5A" w:rsidRDefault="00541B5A" w:rsidP="00541B5A">
      <w:pPr>
        <w:tabs>
          <w:tab w:val="left" w:pos="360"/>
        </w:tabs>
        <w:spacing w:line="240" w:lineRule="auto"/>
        <w:ind w:left="360" w:hanging="360"/>
        <w:rPr>
          <w:i/>
          <w:szCs w:val="22"/>
        </w:rPr>
      </w:pPr>
      <w:r>
        <w:rPr>
          <w:i/>
          <w:szCs w:val="22"/>
        </w:rPr>
        <w:t xml:space="preserve">Patient reported pain, physical function and stiffness </w:t>
      </w:r>
    </w:p>
    <w:p w14:paraId="6499F02A" w14:textId="31E5DD75" w:rsidR="009A12A5" w:rsidRPr="00ED412E" w:rsidRDefault="00541B5A" w:rsidP="00541B5A">
      <w:pPr>
        <w:tabs>
          <w:tab w:val="clear" w:pos="567"/>
        </w:tabs>
        <w:spacing w:line="240" w:lineRule="auto"/>
        <w:rPr>
          <w:rFonts w:eastAsia="SimSun"/>
          <w:sz w:val="24"/>
          <w:szCs w:val="24"/>
          <w:lang w:eastAsia="en-GB"/>
        </w:rPr>
      </w:pPr>
      <w:r>
        <w:t xml:space="preserve">Change from baseline at Week 24 showed a larger difference for </w:t>
      </w:r>
      <w:proofErr w:type="spellStart"/>
      <w:r>
        <w:t>burosumab</w:t>
      </w:r>
      <w:proofErr w:type="spellEnd"/>
      <w:r>
        <w:t xml:space="preserve"> relative to placebo in patient reported pain (BPI), physical function (WOMAC Index) and stiffness (WOMAC Index).  The mean (SE) difference between treatment groups (</w:t>
      </w:r>
      <w:proofErr w:type="spellStart"/>
      <w:r>
        <w:t>burosumab</w:t>
      </w:r>
      <w:proofErr w:type="spellEnd"/>
      <w:r>
        <w:t xml:space="preserve">-placebo) reach statistical significance for WOMAC stiffness at Week 24.  Details </w:t>
      </w:r>
      <w:r w:rsidR="00796CF6">
        <w:t xml:space="preserve">are shown </w:t>
      </w:r>
      <w:r>
        <w:t xml:space="preserve">in Table 6.  </w:t>
      </w:r>
    </w:p>
    <w:p w14:paraId="009F6403" w14:textId="77777777" w:rsidR="009A12A5" w:rsidRPr="001F3FAD" w:rsidRDefault="009A12A5" w:rsidP="009A12A5">
      <w:pPr>
        <w:tabs>
          <w:tab w:val="clear" w:pos="567"/>
          <w:tab w:val="left" w:pos="360"/>
        </w:tabs>
        <w:spacing w:line="240" w:lineRule="auto"/>
        <w:ind w:left="360" w:hanging="360"/>
        <w:rPr>
          <w:rFonts w:eastAsia="Calibri"/>
          <w:sz w:val="20"/>
          <w:lang w:val="en-US"/>
        </w:rPr>
      </w:pPr>
    </w:p>
    <w:p w14:paraId="7DCC7804" w14:textId="77777777" w:rsidR="009A12A5" w:rsidRDefault="009A12A5" w:rsidP="009A12A5">
      <w:pPr>
        <w:tabs>
          <w:tab w:val="clear" w:pos="567"/>
        </w:tabs>
        <w:spacing w:line="240" w:lineRule="auto"/>
        <w:rPr>
          <w:rFonts w:eastAsia="Calibri"/>
          <w:b/>
          <w:bCs/>
          <w:szCs w:val="22"/>
          <w:lang w:val="en-US"/>
        </w:rPr>
      </w:pPr>
      <w:r>
        <w:rPr>
          <w:rFonts w:eastAsia="Calibri"/>
          <w:b/>
          <w:bCs/>
          <w:szCs w:val="22"/>
          <w:lang w:val="en-US"/>
        </w:rPr>
        <w:br w:type="page"/>
      </w:r>
    </w:p>
    <w:p w14:paraId="282522BF" w14:textId="44864E93" w:rsidR="009A12A5" w:rsidRPr="00BF519D" w:rsidRDefault="009A12A5" w:rsidP="006456FA">
      <w:pPr>
        <w:tabs>
          <w:tab w:val="clear" w:pos="567"/>
          <w:tab w:val="left" w:pos="993"/>
        </w:tabs>
        <w:spacing w:line="240" w:lineRule="auto"/>
        <w:ind w:left="851" w:hanging="851"/>
        <w:rPr>
          <w:rFonts w:eastAsia="Calibri"/>
          <w:b/>
          <w:bCs/>
          <w:szCs w:val="22"/>
          <w:lang w:val="en-US"/>
        </w:rPr>
      </w:pPr>
      <w:r w:rsidRPr="00BF519D">
        <w:rPr>
          <w:rFonts w:eastAsia="Calibri"/>
          <w:b/>
          <w:bCs/>
          <w:szCs w:val="22"/>
          <w:lang w:val="en-US"/>
        </w:rPr>
        <w:lastRenderedPageBreak/>
        <w:t xml:space="preserve">Table </w:t>
      </w:r>
      <w:r w:rsidR="008657DA">
        <w:rPr>
          <w:rFonts w:eastAsia="Calibri"/>
          <w:b/>
          <w:bCs/>
          <w:szCs w:val="22"/>
          <w:lang w:val="en-US"/>
        </w:rPr>
        <w:t>6</w:t>
      </w:r>
      <w:r w:rsidRPr="00BF519D">
        <w:rPr>
          <w:rFonts w:eastAsia="Calibri"/>
          <w:b/>
          <w:bCs/>
          <w:szCs w:val="22"/>
          <w:lang w:val="en-US"/>
        </w:rPr>
        <w:t xml:space="preserve">: </w:t>
      </w:r>
      <w:r w:rsidR="00070582">
        <w:rPr>
          <w:rFonts w:eastAsia="Calibri"/>
          <w:b/>
          <w:bCs/>
          <w:szCs w:val="22"/>
          <w:lang w:val="en-US"/>
        </w:rPr>
        <w:t xml:space="preserve">Patient reported pain, physical function and stiffness </w:t>
      </w:r>
      <w:r w:rsidRPr="00BF519D">
        <w:rPr>
          <w:rFonts w:eastAsia="Calibri"/>
          <w:b/>
          <w:bCs/>
          <w:szCs w:val="22"/>
          <w:lang w:val="en-US"/>
        </w:rPr>
        <w:t>score change</w:t>
      </w:r>
      <w:r w:rsidR="003A7B86">
        <w:rPr>
          <w:rFonts w:eastAsia="Calibri"/>
          <w:b/>
          <w:bCs/>
          <w:szCs w:val="22"/>
          <w:lang w:val="en-US"/>
        </w:rPr>
        <w:t>s</w:t>
      </w:r>
      <w:r w:rsidRPr="00BF519D">
        <w:rPr>
          <w:rFonts w:eastAsia="Calibri"/>
          <w:b/>
          <w:bCs/>
          <w:szCs w:val="22"/>
          <w:lang w:val="en-US"/>
        </w:rPr>
        <w:t xml:space="preserve"> from baseline to Week 24 and analysis of difference at Week 24</w:t>
      </w:r>
    </w:p>
    <w:p w14:paraId="33B2D0FB" w14:textId="77777777" w:rsidR="009A12A5" w:rsidRDefault="009A12A5" w:rsidP="009A12A5">
      <w:pPr>
        <w:tabs>
          <w:tab w:val="clear" w:pos="567"/>
          <w:tab w:val="left" w:pos="360"/>
        </w:tabs>
        <w:spacing w:line="240" w:lineRule="auto"/>
        <w:ind w:left="360" w:hanging="360"/>
        <w:rPr>
          <w:rFonts w:eastAsia="Calibri"/>
          <w:b/>
          <w:bCs/>
          <w:sz w:val="20"/>
          <w:lang w:val="en-US"/>
        </w:rPr>
      </w:pPr>
    </w:p>
    <w:p w14:paraId="79870404" w14:textId="77777777" w:rsidR="00F94C0D" w:rsidRDefault="00F94C0D" w:rsidP="009A12A5">
      <w:pPr>
        <w:tabs>
          <w:tab w:val="left" w:pos="360"/>
        </w:tabs>
        <w:spacing w:line="240" w:lineRule="auto"/>
        <w:rPr>
          <w:rFonts w:eastAsia="Calibri"/>
          <w:sz w:val="20"/>
          <w:lang w:val="en-US"/>
        </w:rPr>
      </w:pPr>
    </w:p>
    <w:tbl>
      <w:tblPr>
        <w:tblStyle w:val="TableGrid"/>
        <w:tblW w:w="9066" w:type="dxa"/>
        <w:tblInd w:w="-5" w:type="dxa"/>
        <w:tblLook w:val="04A0" w:firstRow="1" w:lastRow="0" w:firstColumn="1" w:lastColumn="0" w:noHBand="0" w:noVBand="1"/>
      </w:tblPr>
      <w:tblGrid>
        <w:gridCol w:w="3256"/>
        <w:gridCol w:w="12"/>
        <w:gridCol w:w="2828"/>
        <w:gridCol w:w="63"/>
        <w:gridCol w:w="2907"/>
      </w:tblGrid>
      <w:tr w:rsidR="00070582" w:rsidRPr="008635F5" w14:paraId="491D59C4" w14:textId="77777777" w:rsidTr="00143788">
        <w:tc>
          <w:tcPr>
            <w:tcW w:w="3256" w:type="dxa"/>
          </w:tcPr>
          <w:p w14:paraId="73D910C0" w14:textId="77777777" w:rsidR="00070582" w:rsidRPr="001F3FAD" w:rsidRDefault="00070582" w:rsidP="00153E15">
            <w:pPr>
              <w:rPr>
                <w:sz w:val="20"/>
              </w:rPr>
            </w:pPr>
          </w:p>
        </w:tc>
        <w:tc>
          <w:tcPr>
            <w:tcW w:w="2840" w:type="dxa"/>
            <w:gridSpan w:val="2"/>
          </w:tcPr>
          <w:p w14:paraId="696478F4" w14:textId="77777777" w:rsidR="00070582" w:rsidRPr="008635F5" w:rsidRDefault="00070582" w:rsidP="00153E15">
            <w:pPr>
              <w:jc w:val="center"/>
              <w:rPr>
                <w:b/>
                <w:bCs/>
                <w:sz w:val="20"/>
              </w:rPr>
            </w:pPr>
            <w:r w:rsidRPr="008635F5">
              <w:rPr>
                <w:b/>
                <w:bCs/>
                <w:sz w:val="20"/>
              </w:rPr>
              <w:t>Placebo</w:t>
            </w:r>
          </w:p>
        </w:tc>
        <w:tc>
          <w:tcPr>
            <w:tcW w:w="2970" w:type="dxa"/>
            <w:gridSpan w:val="2"/>
          </w:tcPr>
          <w:p w14:paraId="4E81155C" w14:textId="77777777" w:rsidR="00070582" w:rsidRPr="008635F5" w:rsidRDefault="00070582" w:rsidP="00153E15">
            <w:pPr>
              <w:jc w:val="center"/>
              <w:rPr>
                <w:b/>
                <w:bCs/>
                <w:sz w:val="20"/>
              </w:rPr>
            </w:pPr>
            <w:proofErr w:type="spellStart"/>
            <w:r w:rsidRPr="008635F5">
              <w:rPr>
                <w:b/>
                <w:bCs/>
                <w:sz w:val="20"/>
              </w:rPr>
              <w:t>Burosumab</w:t>
            </w:r>
            <w:proofErr w:type="spellEnd"/>
          </w:p>
        </w:tc>
      </w:tr>
      <w:tr w:rsidR="00070582" w:rsidRPr="00A6085D" w14:paraId="77E1714C" w14:textId="77777777" w:rsidTr="00143788">
        <w:tc>
          <w:tcPr>
            <w:tcW w:w="3256" w:type="dxa"/>
          </w:tcPr>
          <w:p w14:paraId="06098AE6" w14:textId="77777777" w:rsidR="00070582" w:rsidRPr="001F3FAD" w:rsidRDefault="00070582" w:rsidP="00153E15">
            <w:pPr>
              <w:rPr>
                <w:sz w:val="20"/>
              </w:rPr>
            </w:pPr>
          </w:p>
        </w:tc>
        <w:tc>
          <w:tcPr>
            <w:tcW w:w="2840" w:type="dxa"/>
            <w:gridSpan w:val="2"/>
          </w:tcPr>
          <w:p w14:paraId="3722531A" w14:textId="77777777" w:rsidR="00070582" w:rsidRPr="00143788" w:rsidRDefault="00070582" w:rsidP="00153E15">
            <w:pPr>
              <w:jc w:val="center"/>
              <w:rPr>
                <w:sz w:val="20"/>
              </w:rPr>
            </w:pPr>
            <w:r w:rsidRPr="00143788">
              <w:rPr>
                <w:sz w:val="20"/>
              </w:rPr>
              <w:t>N=66</w:t>
            </w:r>
          </w:p>
        </w:tc>
        <w:tc>
          <w:tcPr>
            <w:tcW w:w="2970" w:type="dxa"/>
            <w:gridSpan w:val="2"/>
          </w:tcPr>
          <w:p w14:paraId="3ADAD31A" w14:textId="77777777" w:rsidR="00070582" w:rsidRPr="00143788" w:rsidRDefault="00070582" w:rsidP="00153E15">
            <w:pPr>
              <w:jc w:val="center"/>
              <w:rPr>
                <w:sz w:val="20"/>
              </w:rPr>
            </w:pPr>
            <w:r w:rsidRPr="00143788">
              <w:rPr>
                <w:sz w:val="20"/>
              </w:rPr>
              <w:t>N=68</w:t>
            </w:r>
          </w:p>
        </w:tc>
      </w:tr>
      <w:tr w:rsidR="00070582" w:rsidRPr="00C62A58" w14:paraId="31C2446E" w14:textId="77777777" w:rsidTr="00143788">
        <w:tc>
          <w:tcPr>
            <w:tcW w:w="3256" w:type="dxa"/>
          </w:tcPr>
          <w:p w14:paraId="1EC45D2F" w14:textId="77777777" w:rsidR="00070582" w:rsidRPr="00C62A58" w:rsidRDefault="00070582" w:rsidP="00153E15">
            <w:pPr>
              <w:rPr>
                <w:b/>
                <w:bCs/>
                <w:i/>
                <w:iCs/>
                <w:sz w:val="20"/>
              </w:rPr>
            </w:pPr>
            <w:r w:rsidRPr="00C62A58">
              <w:rPr>
                <w:b/>
                <w:bCs/>
                <w:i/>
                <w:iCs/>
                <w:sz w:val="20"/>
              </w:rPr>
              <w:t>BPI worst pain</w:t>
            </w:r>
            <w:r w:rsidRPr="00F1591C">
              <w:rPr>
                <w:rFonts w:eastAsia="Calibri"/>
                <w:sz w:val="20"/>
                <w:vertAlign w:val="superscript"/>
                <w:lang w:val="en-US"/>
              </w:rPr>
              <w:t>a</w:t>
            </w:r>
          </w:p>
        </w:tc>
        <w:tc>
          <w:tcPr>
            <w:tcW w:w="2840" w:type="dxa"/>
            <w:gridSpan w:val="2"/>
          </w:tcPr>
          <w:p w14:paraId="6E378F31" w14:textId="77777777" w:rsidR="00070582" w:rsidRPr="00F1591C" w:rsidRDefault="00070582" w:rsidP="00153E15">
            <w:pPr>
              <w:jc w:val="center"/>
              <w:rPr>
                <w:sz w:val="20"/>
              </w:rPr>
            </w:pPr>
          </w:p>
        </w:tc>
        <w:tc>
          <w:tcPr>
            <w:tcW w:w="2970" w:type="dxa"/>
            <w:gridSpan w:val="2"/>
          </w:tcPr>
          <w:p w14:paraId="647D30B4" w14:textId="77777777" w:rsidR="00070582" w:rsidRPr="00C62A58" w:rsidRDefault="00070582" w:rsidP="00153E15">
            <w:pPr>
              <w:jc w:val="center"/>
              <w:rPr>
                <w:sz w:val="20"/>
              </w:rPr>
            </w:pPr>
          </w:p>
        </w:tc>
      </w:tr>
      <w:tr w:rsidR="00070582" w:rsidRPr="00C62A58" w14:paraId="01616B5A" w14:textId="77777777" w:rsidTr="00143788">
        <w:trPr>
          <w:trHeight w:val="353"/>
        </w:trPr>
        <w:tc>
          <w:tcPr>
            <w:tcW w:w="3256" w:type="dxa"/>
          </w:tcPr>
          <w:p w14:paraId="75E4A6FE" w14:textId="5C84FDF1" w:rsidR="00070582" w:rsidRPr="00070582" w:rsidRDefault="00070582" w:rsidP="00070582">
            <w:pPr>
              <w:tabs>
                <w:tab w:val="left" w:pos="360"/>
              </w:tabs>
              <w:spacing w:line="240" w:lineRule="auto"/>
              <w:rPr>
                <w:rFonts w:eastAsia="Calibri"/>
                <w:sz w:val="20"/>
                <w:lang w:val="en-US"/>
              </w:rPr>
            </w:pPr>
            <w:r w:rsidRPr="00F1591C">
              <w:rPr>
                <w:rFonts w:eastAsia="Calibri"/>
                <w:sz w:val="20"/>
                <w:lang w:val="en-US"/>
              </w:rPr>
              <w:t>LS Mean (SE) change from Baseline</w:t>
            </w:r>
          </w:p>
        </w:tc>
        <w:tc>
          <w:tcPr>
            <w:tcW w:w="2840" w:type="dxa"/>
            <w:gridSpan w:val="2"/>
          </w:tcPr>
          <w:p w14:paraId="5FE764C5" w14:textId="14A2734F" w:rsidR="00070582" w:rsidRPr="00C62A58" w:rsidRDefault="00070582" w:rsidP="00070582">
            <w:pPr>
              <w:jc w:val="center"/>
              <w:rPr>
                <w:sz w:val="20"/>
              </w:rPr>
            </w:pPr>
            <w:r>
              <w:rPr>
                <w:sz w:val="20"/>
              </w:rPr>
              <w:t xml:space="preserve">-0.32 (0.2) </w:t>
            </w:r>
          </w:p>
        </w:tc>
        <w:tc>
          <w:tcPr>
            <w:tcW w:w="2970" w:type="dxa"/>
            <w:gridSpan w:val="2"/>
          </w:tcPr>
          <w:p w14:paraId="4B11B534" w14:textId="372E6A0D" w:rsidR="00070582" w:rsidRPr="00C62A58" w:rsidRDefault="00070582" w:rsidP="00070582">
            <w:pPr>
              <w:jc w:val="center"/>
              <w:rPr>
                <w:sz w:val="20"/>
              </w:rPr>
            </w:pPr>
            <w:r>
              <w:rPr>
                <w:sz w:val="20"/>
              </w:rPr>
              <w:t>-0.79 (0.2)</w:t>
            </w:r>
          </w:p>
        </w:tc>
      </w:tr>
      <w:tr w:rsidR="00070582" w:rsidRPr="00C62A58" w14:paraId="1AC3DD2F" w14:textId="77777777" w:rsidTr="00143788">
        <w:tc>
          <w:tcPr>
            <w:tcW w:w="3256" w:type="dxa"/>
          </w:tcPr>
          <w:p w14:paraId="0C091BF2" w14:textId="62EA3704" w:rsidR="00070582" w:rsidRPr="00F1591C" w:rsidRDefault="00070582" w:rsidP="00070582">
            <w:pPr>
              <w:tabs>
                <w:tab w:val="left" w:pos="360"/>
              </w:tabs>
              <w:spacing w:line="240" w:lineRule="auto"/>
              <w:rPr>
                <w:rFonts w:eastAsia="Calibri"/>
                <w:sz w:val="20"/>
                <w:lang w:val="en-US"/>
              </w:rPr>
            </w:pPr>
            <w:r w:rsidRPr="00436859">
              <w:rPr>
                <w:rFonts w:eastAsia="Calibri"/>
                <w:sz w:val="20"/>
              </w:rPr>
              <w:t>[95% CIs]</w:t>
            </w:r>
          </w:p>
        </w:tc>
        <w:tc>
          <w:tcPr>
            <w:tcW w:w="2840" w:type="dxa"/>
            <w:gridSpan w:val="2"/>
          </w:tcPr>
          <w:p w14:paraId="5481D9B8" w14:textId="63C313FB" w:rsidR="00070582" w:rsidRPr="003E61B5" w:rsidRDefault="00070582" w:rsidP="00070582">
            <w:pPr>
              <w:jc w:val="center"/>
              <w:rPr>
                <w:rFonts w:eastAsia="Calibri"/>
                <w:sz w:val="20"/>
                <w:lang w:val="en-US"/>
              </w:rPr>
            </w:pPr>
            <w:r>
              <w:rPr>
                <w:rFonts w:eastAsia="Calibri"/>
                <w:sz w:val="20"/>
              </w:rPr>
              <w:t>[</w:t>
            </w:r>
            <w:r w:rsidRPr="003E61B5">
              <w:rPr>
                <w:rFonts w:eastAsia="Calibri"/>
                <w:sz w:val="20"/>
                <w:lang w:val="en-US"/>
              </w:rPr>
              <w:t>-0.76, 0.11</w:t>
            </w:r>
            <w:r w:rsidRPr="005265FA">
              <w:rPr>
                <w:rFonts w:eastAsia="Calibri"/>
                <w:sz w:val="20"/>
              </w:rPr>
              <w:t>]</w:t>
            </w:r>
          </w:p>
        </w:tc>
        <w:tc>
          <w:tcPr>
            <w:tcW w:w="2970" w:type="dxa"/>
            <w:gridSpan w:val="2"/>
          </w:tcPr>
          <w:p w14:paraId="148A5AA3" w14:textId="4D9508E5" w:rsidR="00070582" w:rsidRPr="003E61B5" w:rsidRDefault="00070582" w:rsidP="00070582">
            <w:pPr>
              <w:jc w:val="center"/>
              <w:rPr>
                <w:rFonts w:eastAsia="Calibri"/>
                <w:sz w:val="20"/>
                <w:lang w:val="en-US"/>
              </w:rPr>
            </w:pPr>
            <w:r>
              <w:rPr>
                <w:rFonts w:eastAsia="Calibri"/>
                <w:sz w:val="20"/>
              </w:rPr>
              <w:t>[</w:t>
            </w:r>
            <w:r w:rsidRPr="003E61B5">
              <w:rPr>
                <w:rFonts w:eastAsia="Calibri"/>
                <w:sz w:val="20"/>
                <w:lang w:val="en-US"/>
              </w:rPr>
              <w:t>-1.20, -0.37</w:t>
            </w:r>
            <w:r w:rsidRPr="005265FA">
              <w:rPr>
                <w:rFonts w:eastAsia="Calibri"/>
                <w:sz w:val="20"/>
              </w:rPr>
              <w:t>]</w:t>
            </w:r>
          </w:p>
        </w:tc>
      </w:tr>
      <w:tr w:rsidR="00070582" w:rsidRPr="005265FA" w14:paraId="090ADAF7" w14:textId="77777777" w:rsidTr="00143788">
        <w:tc>
          <w:tcPr>
            <w:tcW w:w="3256" w:type="dxa"/>
          </w:tcPr>
          <w:p w14:paraId="11601EE9" w14:textId="77777777" w:rsidR="00070582" w:rsidRPr="006668D0" w:rsidRDefault="00070582" w:rsidP="00070582">
            <w:pPr>
              <w:rPr>
                <w:sz w:val="20"/>
              </w:rPr>
            </w:pPr>
            <w:r w:rsidRPr="00F1591C">
              <w:rPr>
                <w:rFonts w:eastAsia="Calibri"/>
                <w:sz w:val="20"/>
                <w:lang w:val="en-US"/>
              </w:rPr>
              <w:t>LS Mean (SE) Difference (</w:t>
            </w:r>
            <w:proofErr w:type="spellStart"/>
            <w:r w:rsidRPr="00F1591C">
              <w:rPr>
                <w:rFonts w:eastAsia="Calibri"/>
                <w:sz w:val="20"/>
                <w:lang w:val="en-US"/>
              </w:rPr>
              <w:t>Burosumab</w:t>
            </w:r>
            <w:proofErr w:type="spellEnd"/>
            <w:r w:rsidRPr="00F1591C">
              <w:rPr>
                <w:rFonts w:eastAsia="Calibri"/>
                <w:sz w:val="20"/>
                <w:lang w:val="en-US"/>
              </w:rPr>
              <w:t>-Placebo)</w:t>
            </w:r>
          </w:p>
        </w:tc>
        <w:tc>
          <w:tcPr>
            <w:tcW w:w="5810" w:type="dxa"/>
            <w:gridSpan w:val="4"/>
          </w:tcPr>
          <w:p w14:paraId="2F8E8180" w14:textId="77777777" w:rsidR="00070582" w:rsidRPr="005265FA" w:rsidRDefault="00070582" w:rsidP="00070582">
            <w:pPr>
              <w:jc w:val="center"/>
              <w:rPr>
                <w:sz w:val="20"/>
              </w:rPr>
            </w:pPr>
            <w:r w:rsidRPr="00436859">
              <w:rPr>
                <w:sz w:val="20"/>
              </w:rPr>
              <w:t>-0.5 (0.28)</w:t>
            </w:r>
          </w:p>
        </w:tc>
      </w:tr>
      <w:tr w:rsidR="00070582" w:rsidRPr="00436859" w14:paraId="187B4A38" w14:textId="77777777" w:rsidTr="00143788">
        <w:tc>
          <w:tcPr>
            <w:tcW w:w="3256" w:type="dxa"/>
          </w:tcPr>
          <w:p w14:paraId="007EEE31" w14:textId="77777777" w:rsidR="00070582" w:rsidRPr="00F1591C" w:rsidRDefault="00070582" w:rsidP="00070582">
            <w:pPr>
              <w:rPr>
                <w:sz w:val="20"/>
              </w:rPr>
            </w:pPr>
            <w:r w:rsidRPr="00F1591C">
              <w:rPr>
                <w:rFonts w:eastAsia="Calibri"/>
                <w:sz w:val="20"/>
                <w:lang w:val="en-US"/>
              </w:rPr>
              <w:t>p-value</w:t>
            </w:r>
          </w:p>
        </w:tc>
        <w:tc>
          <w:tcPr>
            <w:tcW w:w="5810" w:type="dxa"/>
            <w:gridSpan w:val="4"/>
          </w:tcPr>
          <w:p w14:paraId="20848F54" w14:textId="77777777" w:rsidR="00070582" w:rsidRPr="00436859" w:rsidRDefault="00070582" w:rsidP="00070582">
            <w:pPr>
              <w:jc w:val="center"/>
              <w:rPr>
                <w:sz w:val="20"/>
              </w:rPr>
            </w:pPr>
            <w:r>
              <w:rPr>
                <w:sz w:val="20"/>
              </w:rPr>
              <w:t>0.0919</w:t>
            </w:r>
            <w:r w:rsidRPr="006668D0">
              <w:rPr>
                <w:rFonts w:eastAsia="Calibri"/>
                <w:sz w:val="20"/>
                <w:vertAlign w:val="superscript"/>
                <w:lang w:val="en-US"/>
              </w:rPr>
              <w:t>c</w:t>
            </w:r>
          </w:p>
        </w:tc>
      </w:tr>
      <w:tr w:rsidR="00070582" w:rsidRPr="005265FA" w14:paraId="0B663428" w14:textId="77777777" w:rsidTr="00143788">
        <w:tc>
          <w:tcPr>
            <w:tcW w:w="9066" w:type="dxa"/>
            <w:gridSpan w:val="5"/>
          </w:tcPr>
          <w:p w14:paraId="4CDB129F" w14:textId="77777777" w:rsidR="00070582" w:rsidRPr="005265FA" w:rsidRDefault="00070582" w:rsidP="00070582">
            <w:pPr>
              <w:tabs>
                <w:tab w:val="left" w:pos="360"/>
              </w:tabs>
              <w:spacing w:line="240" w:lineRule="auto"/>
              <w:rPr>
                <w:rFonts w:eastAsia="Calibri"/>
                <w:b/>
                <w:bCs/>
                <w:sz w:val="20"/>
                <w:lang w:val="en-US"/>
              </w:rPr>
            </w:pPr>
            <w:r w:rsidRPr="00F1591C">
              <w:rPr>
                <w:rFonts w:eastAsia="Calibri"/>
                <w:b/>
                <w:bCs/>
                <w:i/>
                <w:sz w:val="20"/>
                <w:lang w:val="en-US"/>
              </w:rPr>
              <w:t>WOMAC Index p</w:t>
            </w:r>
            <w:r w:rsidRPr="005265FA">
              <w:rPr>
                <w:rFonts w:eastAsia="Calibri"/>
                <w:b/>
                <w:bCs/>
                <w:i/>
                <w:sz w:val="20"/>
                <w:lang w:val="en-US"/>
              </w:rPr>
              <w:t xml:space="preserve">hysical </w:t>
            </w:r>
            <w:proofErr w:type="spellStart"/>
            <w:r w:rsidRPr="005265FA">
              <w:rPr>
                <w:rFonts w:eastAsia="Calibri"/>
                <w:b/>
                <w:bCs/>
                <w:i/>
                <w:sz w:val="20"/>
                <w:lang w:val="en-US"/>
              </w:rPr>
              <w:t>function</w:t>
            </w:r>
            <w:r w:rsidRPr="005265FA">
              <w:rPr>
                <w:rFonts w:eastAsia="Calibri"/>
                <w:sz w:val="20"/>
                <w:vertAlign w:val="superscript"/>
                <w:lang w:val="en-US"/>
              </w:rPr>
              <w:t>b</w:t>
            </w:r>
            <w:proofErr w:type="spellEnd"/>
          </w:p>
        </w:tc>
      </w:tr>
      <w:tr w:rsidR="00070582" w:rsidRPr="001F3FAD" w14:paraId="64B1B5CB" w14:textId="77777777" w:rsidTr="00143788">
        <w:tc>
          <w:tcPr>
            <w:tcW w:w="3268" w:type="dxa"/>
            <w:gridSpan w:val="2"/>
          </w:tcPr>
          <w:p w14:paraId="6AEBA690" w14:textId="77777777" w:rsidR="00070582" w:rsidRPr="00F1591C" w:rsidRDefault="00070582" w:rsidP="00070582">
            <w:pPr>
              <w:tabs>
                <w:tab w:val="left" w:pos="360"/>
              </w:tabs>
              <w:spacing w:line="240" w:lineRule="auto"/>
              <w:rPr>
                <w:rFonts w:eastAsia="Calibri"/>
                <w:sz w:val="20"/>
                <w:lang w:val="en-US"/>
              </w:rPr>
            </w:pPr>
            <w:r w:rsidRPr="00F1591C">
              <w:rPr>
                <w:rFonts w:eastAsia="Calibri"/>
                <w:sz w:val="20"/>
                <w:lang w:val="en-US"/>
              </w:rPr>
              <w:t>LS Mean (SE) change from Baseline</w:t>
            </w:r>
          </w:p>
          <w:p w14:paraId="6D61DFD1" w14:textId="77777777" w:rsidR="00070582" w:rsidRPr="006668D0" w:rsidRDefault="00070582" w:rsidP="00070582">
            <w:pPr>
              <w:tabs>
                <w:tab w:val="left" w:pos="360"/>
              </w:tabs>
              <w:spacing w:line="240" w:lineRule="auto"/>
              <w:rPr>
                <w:rFonts w:eastAsia="Calibri"/>
                <w:sz w:val="20"/>
                <w:lang w:val="en-US"/>
              </w:rPr>
            </w:pPr>
          </w:p>
          <w:p w14:paraId="5ED4385B" w14:textId="77777777" w:rsidR="00070582" w:rsidRPr="00436859" w:rsidRDefault="00070582" w:rsidP="00070582">
            <w:pPr>
              <w:tabs>
                <w:tab w:val="left" w:pos="360"/>
              </w:tabs>
              <w:spacing w:line="240" w:lineRule="auto"/>
              <w:rPr>
                <w:rFonts w:eastAsia="Calibri"/>
                <w:sz w:val="20"/>
                <w:lang w:val="en-US"/>
              </w:rPr>
            </w:pPr>
            <w:r w:rsidRPr="006668D0">
              <w:rPr>
                <w:rFonts w:eastAsia="Calibri"/>
                <w:sz w:val="20"/>
              </w:rPr>
              <w:t>[95% CIs]</w:t>
            </w:r>
          </w:p>
        </w:tc>
        <w:tc>
          <w:tcPr>
            <w:tcW w:w="2891" w:type="dxa"/>
            <w:gridSpan w:val="2"/>
          </w:tcPr>
          <w:p w14:paraId="0E82D666" w14:textId="77777777" w:rsidR="00070582" w:rsidRPr="005265FA" w:rsidRDefault="00070582" w:rsidP="00070582">
            <w:pPr>
              <w:tabs>
                <w:tab w:val="left" w:pos="360"/>
              </w:tabs>
              <w:spacing w:line="240" w:lineRule="auto"/>
              <w:jc w:val="center"/>
              <w:rPr>
                <w:rFonts w:eastAsia="Calibri"/>
                <w:sz w:val="20"/>
                <w:lang w:val="en-US"/>
              </w:rPr>
            </w:pPr>
            <w:r w:rsidRPr="005265FA">
              <w:rPr>
                <w:rFonts w:eastAsia="Calibri"/>
                <w:sz w:val="20"/>
                <w:lang w:val="en-US"/>
              </w:rPr>
              <w:t>+1.79 (2.7)</w:t>
            </w:r>
          </w:p>
          <w:p w14:paraId="4C67CAA4" w14:textId="77777777" w:rsidR="00070582" w:rsidRPr="005265FA" w:rsidRDefault="00070582" w:rsidP="00070582">
            <w:pPr>
              <w:tabs>
                <w:tab w:val="left" w:pos="360"/>
              </w:tabs>
              <w:spacing w:line="240" w:lineRule="auto"/>
              <w:jc w:val="center"/>
              <w:rPr>
                <w:rFonts w:eastAsia="Calibri"/>
                <w:sz w:val="20"/>
              </w:rPr>
            </w:pPr>
          </w:p>
          <w:p w14:paraId="44D5C946" w14:textId="77777777" w:rsidR="00070582" w:rsidRPr="005265FA" w:rsidRDefault="00070582" w:rsidP="00070582">
            <w:pPr>
              <w:tabs>
                <w:tab w:val="left" w:pos="360"/>
              </w:tabs>
              <w:spacing w:line="240" w:lineRule="auto"/>
              <w:jc w:val="center"/>
              <w:rPr>
                <w:rFonts w:eastAsia="Calibri"/>
                <w:sz w:val="20"/>
                <w:lang w:val="en-US"/>
              </w:rPr>
            </w:pPr>
            <w:r w:rsidRPr="005265FA">
              <w:rPr>
                <w:rFonts w:eastAsia="Calibri"/>
                <w:sz w:val="20"/>
              </w:rPr>
              <w:t>[-3.54, 7.13]</w:t>
            </w:r>
          </w:p>
        </w:tc>
        <w:tc>
          <w:tcPr>
            <w:tcW w:w="2907" w:type="dxa"/>
          </w:tcPr>
          <w:p w14:paraId="58975825" w14:textId="694CBCA5" w:rsidR="00070582" w:rsidRDefault="00070582" w:rsidP="00070582">
            <w:pPr>
              <w:tabs>
                <w:tab w:val="left" w:pos="360"/>
              </w:tabs>
              <w:spacing w:line="240" w:lineRule="auto"/>
              <w:jc w:val="center"/>
              <w:rPr>
                <w:rFonts w:eastAsia="Calibri"/>
                <w:sz w:val="20"/>
                <w:lang w:val="en-US"/>
              </w:rPr>
            </w:pPr>
            <w:r w:rsidRPr="001F3FAD">
              <w:rPr>
                <w:rFonts w:eastAsia="Calibri"/>
                <w:sz w:val="20"/>
                <w:lang w:val="en-US"/>
              </w:rPr>
              <w:t>-3.11 (2.</w:t>
            </w:r>
            <w:r w:rsidR="003952A3">
              <w:rPr>
                <w:rFonts w:eastAsia="Calibri"/>
                <w:sz w:val="20"/>
                <w:lang w:val="en-US"/>
              </w:rPr>
              <w:t>6</w:t>
            </w:r>
            <w:r w:rsidRPr="001F3FAD">
              <w:rPr>
                <w:rFonts w:eastAsia="Calibri"/>
                <w:sz w:val="20"/>
                <w:lang w:val="en-US"/>
              </w:rPr>
              <w:t>)</w:t>
            </w:r>
          </w:p>
          <w:p w14:paraId="411D7BDA" w14:textId="77777777" w:rsidR="00070582" w:rsidRDefault="00070582" w:rsidP="00070582">
            <w:pPr>
              <w:tabs>
                <w:tab w:val="left" w:pos="360"/>
              </w:tabs>
              <w:spacing w:line="240" w:lineRule="auto"/>
              <w:jc w:val="center"/>
              <w:rPr>
                <w:rFonts w:eastAsia="Calibri"/>
                <w:sz w:val="20"/>
              </w:rPr>
            </w:pPr>
          </w:p>
          <w:p w14:paraId="23253011" w14:textId="77777777" w:rsidR="00070582" w:rsidRPr="001F3FAD" w:rsidRDefault="00070582" w:rsidP="00070582">
            <w:pPr>
              <w:tabs>
                <w:tab w:val="left" w:pos="360"/>
              </w:tabs>
              <w:spacing w:line="240" w:lineRule="auto"/>
              <w:jc w:val="center"/>
              <w:rPr>
                <w:rFonts w:eastAsia="Calibri"/>
                <w:sz w:val="20"/>
                <w:lang w:val="en-US"/>
              </w:rPr>
            </w:pPr>
            <w:r>
              <w:rPr>
                <w:rFonts w:eastAsia="Calibri"/>
                <w:sz w:val="20"/>
              </w:rPr>
              <w:t>[-8.12, 1.89]</w:t>
            </w:r>
          </w:p>
        </w:tc>
      </w:tr>
      <w:tr w:rsidR="00070582" w:rsidRPr="006668D0" w14:paraId="47F6D27D" w14:textId="77777777" w:rsidTr="00143788">
        <w:tc>
          <w:tcPr>
            <w:tcW w:w="3268" w:type="dxa"/>
            <w:gridSpan w:val="2"/>
          </w:tcPr>
          <w:p w14:paraId="109820BD" w14:textId="77777777" w:rsidR="00070582" w:rsidRPr="00F1591C" w:rsidRDefault="00070582" w:rsidP="00070582">
            <w:pPr>
              <w:tabs>
                <w:tab w:val="left" w:pos="360"/>
              </w:tabs>
              <w:spacing w:line="240" w:lineRule="auto"/>
              <w:rPr>
                <w:rFonts w:eastAsia="Calibri"/>
                <w:sz w:val="20"/>
                <w:lang w:val="en-US"/>
              </w:rPr>
            </w:pPr>
            <w:r w:rsidRPr="00F1591C">
              <w:rPr>
                <w:rFonts w:eastAsia="Calibri"/>
                <w:sz w:val="20"/>
                <w:lang w:val="en-US"/>
              </w:rPr>
              <w:t>LS Mean (SE) Difference</w:t>
            </w:r>
          </w:p>
        </w:tc>
        <w:tc>
          <w:tcPr>
            <w:tcW w:w="5798" w:type="dxa"/>
            <w:gridSpan w:val="3"/>
          </w:tcPr>
          <w:p w14:paraId="372CAD08" w14:textId="77777777" w:rsidR="00070582" w:rsidRPr="006668D0" w:rsidRDefault="00070582" w:rsidP="00070582">
            <w:pPr>
              <w:tabs>
                <w:tab w:val="left" w:pos="360"/>
              </w:tabs>
              <w:spacing w:line="240" w:lineRule="auto"/>
              <w:jc w:val="center"/>
              <w:rPr>
                <w:rFonts w:eastAsia="Calibri"/>
                <w:sz w:val="20"/>
                <w:lang w:val="en-US"/>
              </w:rPr>
            </w:pPr>
            <w:r w:rsidRPr="006668D0">
              <w:rPr>
                <w:rFonts w:eastAsia="Calibri"/>
                <w:sz w:val="20"/>
                <w:lang w:val="en-US"/>
              </w:rPr>
              <w:t>-4.9 (2.5)</w:t>
            </w:r>
          </w:p>
        </w:tc>
      </w:tr>
      <w:tr w:rsidR="00070582" w:rsidRPr="00F1591C" w14:paraId="224D6C39" w14:textId="77777777" w:rsidTr="00143788">
        <w:tc>
          <w:tcPr>
            <w:tcW w:w="3268" w:type="dxa"/>
            <w:gridSpan w:val="2"/>
          </w:tcPr>
          <w:p w14:paraId="62F5E34B" w14:textId="77777777" w:rsidR="00070582" w:rsidRPr="00F1591C" w:rsidRDefault="00070582" w:rsidP="00070582">
            <w:pPr>
              <w:tabs>
                <w:tab w:val="left" w:pos="360"/>
              </w:tabs>
              <w:spacing w:line="240" w:lineRule="auto"/>
              <w:rPr>
                <w:rFonts w:eastAsia="Calibri"/>
                <w:sz w:val="20"/>
                <w:lang w:val="en-US"/>
              </w:rPr>
            </w:pPr>
            <w:r w:rsidRPr="00F1591C">
              <w:rPr>
                <w:rFonts w:eastAsia="Calibri"/>
                <w:sz w:val="20"/>
                <w:lang w:val="en-US"/>
              </w:rPr>
              <w:t>p-value</w:t>
            </w:r>
          </w:p>
        </w:tc>
        <w:tc>
          <w:tcPr>
            <w:tcW w:w="5798" w:type="dxa"/>
            <w:gridSpan w:val="3"/>
          </w:tcPr>
          <w:p w14:paraId="0E1DA4F1" w14:textId="77777777" w:rsidR="00070582" w:rsidRPr="00F1591C" w:rsidRDefault="00070582" w:rsidP="00070582">
            <w:pPr>
              <w:tabs>
                <w:tab w:val="left" w:pos="360"/>
              </w:tabs>
              <w:spacing w:line="240" w:lineRule="auto"/>
              <w:jc w:val="center"/>
              <w:rPr>
                <w:rFonts w:eastAsia="Calibri"/>
                <w:strike/>
                <w:sz w:val="20"/>
                <w:lang w:val="en-US"/>
              </w:rPr>
            </w:pPr>
            <w:r>
              <w:rPr>
                <w:rFonts w:eastAsia="Calibri"/>
                <w:sz w:val="20"/>
                <w:lang w:val="en-US"/>
              </w:rPr>
              <w:t>0.0478</w:t>
            </w:r>
            <w:r w:rsidRPr="00F1591C">
              <w:rPr>
                <w:rFonts w:eastAsia="Calibri"/>
                <w:sz w:val="20"/>
                <w:vertAlign w:val="superscript"/>
                <w:lang w:val="en-US"/>
              </w:rPr>
              <w:t>c</w:t>
            </w:r>
          </w:p>
        </w:tc>
      </w:tr>
      <w:tr w:rsidR="00070582" w:rsidRPr="00F1591C" w14:paraId="45CFBFE0" w14:textId="77777777" w:rsidTr="00143788">
        <w:tc>
          <w:tcPr>
            <w:tcW w:w="9066" w:type="dxa"/>
            <w:gridSpan w:val="5"/>
          </w:tcPr>
          <w:p w14:paraId="0F3D82CE" w14:textId="77777777" w:rsidR="00070582" w:rsidRPr="00F1591C" w:rsidRDefault="00070582" w:rsidP="00070582">
            <w:pPr>
              <w:tabs>
                <w:tab w:val="left" w:pos="360"/>
              </w:tabs>
              <w:spacing w:line="240" w:lineRule="auto"/>
              <w:rPr>
                <w:rFonts w:eastAsia="Calibri"/>
                <w:b/>
                <w:bCs/>
                <w:sz w:val="20"/>
                <w:lang w:val="en-US"/>
              </w:rPr>
            </w:pPr>
            <w:r w:rsidRPr="00F1591C">
              <w:rPr>
                <w:rFonts w:eastAsia="Calibri"/>
                <w:b/>
                <w:bCs/>
                <w:i/>
                <w:sz w:val="20"/>
                <w:lang w:val="en-US"/>
              </w:rPr>
              <w:t xml:space="preserve">WOMAC Index </w:t>
            </w:r>
            <w:proofErr w:type="spellStart"/>
            <w:r w:rsidRPr="00F1591C">
              <w:rPr>
                <w:rFonts w:eastAsia="Calibri"/>
                <w:b/>
                <w:bCs/>
                <w:i/>
                <w:sz w:val="20"/>
                <w:lang w:val="en-US"/>
              </w:rPr>
              <w:t>stiffness</w:t>
            </w:r>
            <w:r w:rsidRPr="00F1591C">
              <w:rPr>
                <w:rFonts w:eastAsia="Calibri"/>
                <w:sz w:val="20"/>
                <w:vertAlign w:val="superscript"/>
                <w:lang w:val="en-US"/>
              </w:rPr>
              <w:t>b</w:t>
            </w:r>
            <w:proofErr w:type="spellEnd"/>
          </w:p>
        </w:tc>
      </w:tr>
      <w:tr w:rsidR="00070582" w:rsidRPr="001F3FAD" w14:paraId="52053080" w14:textId="77777777" w:rsidTr="00143788">
        <w:trPr>
          <w:trHeight w:val="653"/>
        </w:trPr>
        <w:tc>
          <w:tcPr>
            <w:tcW w:w="3268" w:type="dxa"/>
            <w:gridSpan w:val="2"/>
          </w:tcPr>
          <w:p w14:paraId="4E00C034" w14:textId="77777777" w:rsidR="00070582" w:rsidRPr="00F1591C" w:rsidRDefault="00070582" w:rsidP="00070582">
            <w:pPr>
              <w:tabs>
                <w:tab w:val="left" w:pos="360"/>
              </w:tabs>
              <w:spacing w:line="240" w:lineRule="auto"/>
              <w:rPr>
                <w:rFonts w:eastAsia="Calibri"/>
                <w:sz w:val="20"/>
                <w:lang w:val="en-US"/>
              </w:rPr>
            </w:pPr>
            <w:r w:rsidRPr="00F1591C">
              <w:rPr>
                <w:rFonts w:eastAsia="Calibri"/>
                <w:sz w:val="20"/>
                <w:lang w:val="en-US"/>
              </w:rPr>
              <w:t>LS Mean (SE) change from Baseline</w:t>
            </w:r>
          </w:p>
          <w:p w14:paraId="0DDA5DD7" w14:textId="77777777" w:rsidR="00070582" w:rsidRPr="006668D0" w:rsidRDefault="00070582" w:rsidP="00070582">
            <w:pPr>
              <w:tabs>
                <w:tab w:val="left" w:pos="360"/>
              </w:tabs>
              <w:spacing w:line="240" w:lineRule="auto"/>
              <w:rPr>
                <w:rFonts w:eastAsia="Calibri"/>
                <w:sz w:val="20"/>
              </w:rPr>
            </w:pPr>
          </w:p>
          <w:p w14:paraId="0D4EB782" w14:textId="77777777" w:rsidR="00070582" w:rsidRPr="006668D0" w:rsidRDefault="00070582" w:rsidP="00070582">
            <w:pPr>
              <w:tabs>
                <w:tab w:val="left" w:pos="360"/>
              </w:tabs>
              <w:spacing w:line="240" w:lineRule="auto"/>
              <w:rPr>
                <w:rFonts w:eastAsia="Calibri"/>
                <w:sz w:val="20"/>
                <w:lang w:val="en-US"/>
              </w:rPr>
            </w:pPr>
            <w:r w:rsidRPr="006668D0">
              <w:rPr>
                <w:rFonts w:eastAsia="Calibri"/>
                <w:sz w:val="20"/>
              </w:rPr>
              <w:t>[95% CIs]</w:t>
            </w:r>
          </w:p>
        </w:tc>
        <w:tc>
          <w:tcPr>
            <w:tcW w:w="2891" w:type="dxa"/>
            <w:gridSpan w:val="2"/>
          </w:tcPr>
          <w:p w14:paraId="1FE2A4C2" w14:textId="77777777" w:rsidR="00070582" w:rsidRPr="00C62A58" w:rsidRDefault="00070582" w:rsidP="00070582">
            <w:pPr>
              <w:tabs>
                <w:tab w:val="left" w:pos="360"/>
              </w:tabs>
              <w:spacing w:line="240" w:lineRule="auto"/>
              <w:jc w:val="center"/>
              <w:rPr>
                <w:rFonts w:eastAsia="Calibri"/>
                <w:sz w:val="20"/>
                <w:lang w:val="en-US"/>
              </w:rPr>
            </w:pPr>
            <w:r w:rsidRPr="00436859">
              <w:rPr>
                <w:rFonts w:eastAsia="Calibri"/>
                <w:sz w:val="20"/>
                <w:lang w:val="en-US"/>
              </w:rPr>
              <w:t>+0.</w:t>
            </w:r>
            <w:r>
              <w:rPr>
                <w:rFonts w:eastAsia="Calibri"/>
                <w:sz w:val="20"/>
                <w:lang w:val="en-US"/>
              </w:rPr>
              <w:t>25</w:t>
            </w:r>
            <w:r w:rsidRPr="00C62A58">
              <w:rPr>
                <w:rFonts w:eastAsia="Calibri"/>
                <w:sz w:val="20"/>
                <w:lang w:val="en-US"/>
              </w:rPr>
              <w:t xml:space="preserve"> (3.1) </w:t>
            </w:r>
          </w:p>
          <w:p w14:paraId="54D77899" w14:textId="77777777" w:rsidR="00070582" w:rsidRPr="00C62A58" w:rsidRDefault="00070582" w:rsidP="00070582">
            <w:pPr>
              <w:tabs>
                <w:tab w:val="left" w:pos="360"/>
              </w:tabs>
              <w:spacing w:line="240" w:lineRule="auto"/>
              <w:jc w:val="center"/>
              <w:rPr>
                <w:rFonts w:eastAsia="Calibri"/>
                <w:sz w:val="20"/>
              </w:rPr>
            </w:pPr>
          </w:p>
          <w:p w14:paraId="693A626A" w14:textId="2D15AA9D" w:rsidR="00070582" w:rsidRPr="00C62A58" w:rsidRDefault="00AF21FF" w:rsidP="00070582">
            <w:pPr>
              <w:tabs>
                <w:tab w:val="left" w:pos="360"/>
              </w:tabs>
              <w:spacing w:line="240" w:lineRule="auto"/>
              <w:jc w:val="center"/>
              <w:rPr>
                <w:rFonts w:eastAsia="Calibri"/>
                <w:sz w:val="20"/>
                <w:lang w:val="en-US"/>
              </w:rPr>
            </w:pPr>
            <w:r w:rsidRPr="00AF21FF">
              <w:rPr>
                <w:rFonts w:eastAsia="Calibri"/>
                <w:sz w:val="20"/>
                <w:lang w:val="en-US"/>
              </w:rPr>
              <w:t>[5.89, 6.39</w:t>
            </w:r>
            <w:r w:rsidR="00070582" w:rsidRPr="00AF21FF">
              <w:rPr>
                <w:rFonts w:eastAsia="Calibri"/>
                <w:sz w:val="20"/>
                <w:lang w:val="en-US"/>
              </w:rPr>
              <w:t>]</w:t>
            </w:r>
          </w:p>
        </w:tc>
        <w:tc>
          <w:tcPr>
            <w:tcW w:w="2907" w:type="dxa"/>
          </w:tcPr>
          <w:p w14:paraId="7FDE7EBB" w14:textId="6081C348" w:rsidR="00070582" w:rsidRDefault="00070582" w:rsidP="00070582">
            <w:pPr>
              <w:tabs>
                <w:tab w:val="left" w:pos="360"/>
              </w:tabs>
              <w:spacing w:line="240" w:lineRule="auto"/>
              <w:jc w:val="center"/>
              <w:rPr>
                <w:rFonts w:eastAsia="Calibri"/>
                <w:sz w:val="20"/>
                <w:lang w:val="en-US"/>
              </w:rPr>
            </w:pPr>
            <w:r w:rsidRPr="001F3FAD">
              <w:rPr>
                <w:rFonts w:eastAsia="Calibri"/>
                <w:sz w:val="20"/>
                <w:lang w:val="en-US"/>
              </w:rPr>
              <w:t>-7.8</w:t>
            </w:r>
            <w:r>
              <w:rPr>
                <w:rFonts w:eastAsia="Calibri"/>
                <w:sz w:val="20"/>
                <w:lang w:val="en-US"/>
              </w:rPr>
              <w:t>7</w:t>
            </w:r>
            <w:r w:rsidRPr="001F3FAD">
              <w:rPr>
                <w:rFonts w:eastAsia="Calibri"/>
                <w:sz w:val="20"/>
                <w:lang w:val="en-US"/>
              </w:rPr>
              <w:t xml:space="preserve"> (3.</w:t>
            </w:r>
            <w:r w:rsidR="00E174EB">
              <w:rPr>
                <w:rFonts w:eastAsia="Calibri"/>
                <w:sz w:val="20"/>
                <w:lang w:val="en-US"/>
              </w:rPr>
              <w:t>0</w:t>
            </w:r>
            <w:r w:rsidRPr="001F3FAD">
              <w:rPr>
                <w:rFonts w:eastAsia="Calibri"/>
                <w:sz w:val="20"/>
                <w:lang w:val="en-US"/>
              </w:rPr>
              <w:t>)</w:t>
            </w:r>
            <w:r>
              <w:rPr>
                <w:rFonts w:eastAsia="Calibri"/>
                <w:sz w:val="20"/>
                <w:lang w:val="en-US"/>
              </w:rPr>
              <w:t xml:space="preserve"> </w:t>
            </w:r>
          </w:p>
          <w:p w14:paraId="15B0C04D" w14:textId="77777777" w:rsidR="00070582" w:rsidRDefault="00070582" w:rsidP="00070582">
            <w:pPr>
              <w:tabs>
                <w:tab w:val="left" w:pos="360"/>
              </w:tabs>
              <w:spacing w:line="240" w:lineRule="auto"/>
              <w:jc w:val="center"/>
              <w:rPr>
                <w:rFonts w:eastAsia="Calibri"/>
                <w:sz w:val="20"/>
              </w:rPr>
            </w:pPr>
          </w:p>
          <w:p w14:paraId="38CE00E5" w14:textId="36F6E876" w:rsidR="00070582" w:rsidRPr="001F3FAD" w:rsidRDefault="00AF21FF" w:rsidP="00070582">
            <w:pPr>
              <w:tabs>
                <w:tab w:val="left" w:pos="360"/>
              </w:tabs>
              <w:spacing w:line="240" w:lineRule="auto"/>
              <w:jc w:val="center"/>
              <w:rPr>
                <w:rFonts w:eastAsia="Calibri"/>
                <w:sz w:val="20"/>
                <w:lang w:val="en-US"/>
              </w:rPr>
            </w:pPr>
            <w:r w:rsidRPr="00AF21FF">
              <w:rPr>
                <w:rFonts w:eastAsia="Calibri"/>
                <w:sz w:val="20"/>
                <w:lang w:val="en-US"/>
              </w:rPr>
              <w:t>[-13.82, -1.91</w:t>
            </w:r>
            <w:r w:rsidR="00070582" w:rsidRPr="00AF21FF">
              <w:rPr>
                <w:rFonts w:eastAsia="Calibri"/>
                <w:sz w:val="20"/>
              </w:rPr>
              <w:t>]</w:t>
            </w:r>
          </w:p>
        </w:tc>
      </w:tr>
      <w:tr w:rsidR="00070582" w:rsidRPr="00C62A58" w14:paraId="4240318F" w14:textId="77777777" w:rsidTr="00143788">
        <w:tc>
          <w:tcPr>
            <w:tcW w:w="3268" w:type="dxa"/>
            <w:gridSpan w:val="2"/>
          </w:tcPr>
          <w:p w14:paraId="2C227A24" w14:textId="77777777" w:rsidR="00070582" w:rsidRPr="006668D0" w:rsidRDefault="00070582" w:rsidP="00070582">
            <w:pPr>
              <w:tabs>
                <w:tab w:val="left" w:pos="360"/>
              </w:tabs>
              <w:spacing w:line="240" w:lineRule="auto"/>
              <w:rPr>
                <w:rFonts w:eastAsia="Calibri"/>
                <w:sz w:val="20"/>
                <w:lang w:val="en-US"/>
              </w:rPr>
            </w:pPr>
            <w:r w:rsidRPr="00F1591C">
              <w:rPr>
                <w:rFonts w:eastAsia="Calibri"/>
                <w:sz w:val="20"/>
                <w:lang w:val="en-US"/>
              </w:rPr>
              <w:t>LS Mean (SE) Difference (</w:t>
            </w:r>
            <w:proofErr w:type="spellStart"/>
            <w:r w:rsidRPr="00F1591C">
              <w:rPr>
                <w:rFonts w:eastAsia="Calibri"/>
                <w:sz w:val="20"/>
                <w:lang w:val="en-US"/>
              </w:rPr>
              <w:t>Burosumab</w:t>
            </w:r>
            <w:proofErr w:type="spellEnd"/>
            <w:r w:rsidRPr="00F1591C">
              <w:rPr>
                <w:rFonts w:eastAsia="Calibri"/>
                <w:sz w:val="20"/>
                <w:lang w:val="en-US"/>
              </w:rPr>
              <w:t>-Placebo)</w:t>
            </w:r>
          </w:p>
        </w:tc>
        <w:tc>
          <w:tcPr>
            <w:tcW w:w="5798" w:type="dxa"/>
            <w:gridSpan w:val="3"/>
          </w:tcPr>
          <w:p w14:paraId="41B4702C" w14:textId="77777777" w:rsidR="00070582" w:rsidRPr="00C62A58" w:rsidRDefault="00070582" w:rsidP="00070582">
            <w:pPr>
              <w:tabs>
                <w:tab w:val="left" w:pos="360"/>
              </w:tabs>
              <w:spacing w:line="240" w:lineRule="auto"/>
              <w:jc w:val="center"/>
              <w:rPr>
                <w:rFonts w:eastAsia="Calibri"/>
                <w:sz w:val="20"/>
                <w:lang w:val="en-US"/>
              </w:rPr>
            </w:pPr>
            <w:r w:rsidRPr="006668D0">
              <w:rPr>
                <w:rFonts w:eastAsia="Calibri"/>
                <w:sz w:val="20"/>
                <w:lang w:val="en-US"/>
              </w:rPr>
              <w:t>-8.</w:t>
            </w:r>
            <w:r>
              <w:rPr>
                <w:rFonts w:eastAsia="Calibri"/>
                <w:sz w:val="20"/>
                <w:lang w:val="en-US"/>
              </w:rPr>
              <w:t>12</w:t>
            </w:r>
            <w:r w:rsidRPr="00C62A58">
              <w:rPr>
                <w:rFonts w:eastAsia="Calibri"/>
                <w:sz w:val="20"/>
                <w:lang w:val="en-US"/>
              </w:rPr>
              <w:t xml:space="preserve"> (3.</w:t>
            </w:r>
            <w:r>
              <w:rPr>
                <w:rFonts w:eastAsia="Calibri"/>
                <w:sz w:val="20"/>
                <w:lang w:val="en-US"/>
              </w:rPr>
              <w:t>2</w:t>
            </w:r>
            <w:r w:rsidRPr="00C62A58">
              <w:rPr>
                <w:rFonts w:eastAsia="Calibri"/>
                <w:sz w:val="20"/>
                <w:lang w:val="en-US"/>
              </w:rPr>
              <w:t xml:space="preserve">) </w:t>
            </w:r>
          </w:p>
        </w:tc>
      </w:tr>
      <w:tr w:rsidR="00070582" w:rsidRPr="00F1591C" w14:paraId="355D874E" w14:textId="77777777" w:rsidTr="00143788">
        <w:tc>
          <w:tcPr>
            <w:tcW w:w="3268" w:type="dxa"/>
            <w:gridSpan w:val="2"/>
          </w:tcPr>
          <w:p w14:paraId="33BA122B" w14:textId="77777777" w:rsidR="00070582" w:rsidRPr="00F1591C" w:rsidRDefault="00070582" w:rsidP="00070582">
            <w:pPr>
              <w:tabs>
                <w:tab w:val="left" w:pos="360"/>
              </w:tabs>
              <w:spacing w:line="240" w:lineRule="auto"/>
              <w:rPr>
                <w:rFonts w:eastAsia="Calibri"/>
                <w:sz w:val="20"/>
                <w:lang w:val="en-US"/>
              </w:rPr>
            </w:pPr>
            <w:r w:rsidRPr="00F1591C">
              <w:rPr>
                <w:rFonts w:eastAsia="Calibri"/>
                <w:sz w:val="20"/>
                <w:lang w:val="en-US"/>
              </w:rPr>
              <w:t>p-value</w:t>
            </w:r>
          </w:p>
        </w:tc>
        <w:tc>
          <w:tcPr>
            <w:tcW w:w="5798" w:type="dxa"/>
            <w:gridSpan w:val="3"/>
          </w:tcPr>
          <w:p w14:paraId="0457BF96" w14:textId="3D99A702" w:rsidR="00070582" w:rsidRPr="00F1591C" w:rsidRDefault="00070582" w:rsidP="00070582">
            <w:pPr>
              <w:tabs>
                <w:tab w:val="left" w:pos="360"/>
              </w:tabs>
              <w:spacing w:line="240" w:lineRule="auto"/>
              <w:jc w:val="center"/>
              <w:rPr>
                <w:rFonts w:eastAsia="Calibri"/>
                <w:sz w:val="20"/>
                <w:lang w:val="en-US"/>
              </w:rPr>
            </w:pPr>
            <w:r w:rsidRPr="00F1591C">
              <w:rPr>
                <w:rFonts w:eastAsia="Calibri"/>
                <w:sz w:val="20"/>
                <w:lang w:val="en-US"/>
              </w:rPr>
              <w:t xml:space="preserve">0.0122 </w:t>
            </w:r>
            <w:r w:rsidRPr="00C62A58">
              <w:rPr>
                <w:rFonts w:eastAsia="Calibri"/>
                <w:sz w:val="20"/>
                <w:lang w:val="en-US"/>
              </w:rPr>
              <w:t xml:space="preserve"> </w:t>
            </w:r>
          </w:p>
        </w:tc>
      </w:tr>
      <w:tr w:rsidR="00070582" w:rsidRPr="00C62A58" w:rsidDel="00AC679B" w14:paraId="007993D2" w14:textId="77777777" w:rsidTr="00143788">
        <w:tc>
          <w:tcPr>
            <w:tcW w:w="9066" w:type="dxa"/>
            <w:gridSpan w:val="5"/>
          </w:tcPr>
          <w:p w14:paraId="0AF1ED10" w14:textId="77777777" w:rsidR="003E61B5" w:rsidRDefault="003E61B5" w:rsidP="00070582">
            <w:pPr>
              <w:tabs>
                <w:tab w:val="left" w:pos="360"/>
              </w:tabs>
              <w:spacing w:line="240" w:lineRule="auto"/>
              <w:rPr>
                <w:rFonts w:eastAsia="Calibri"/>
                <w:sz w:val="18"/>
                <w:szCs w:val="18"/>
                <w:vertAlign w:val="superscript"/>
                <w:lang w:val="en-US"/>
              </w:rPr>
            </w:pPr>
          </w:p>
          <w:p w14:paraId="601C7C72" w14:textId="78CB94CC" w:rsidR="00070582" w:rsidRPr="00C62A58" w:rsidRDefault="00070582" w:rsidP="00070582">
            <w:pPr>
              <w:tabs>
                <w:tab w:val="left" w:pos="360"/>
              </w:tabs>
              <w:spacing w:line="240" w:lineRule="auto"/>
              <w:rPr>
                <w:rFonts w:eastAsia="Calibri"/>
                <w:sz w:val="18"/>
                <w:szCs w:val="18"/>
                <w:vertAlign w:val="superscript"/>
                <w:lang w:val="en-US"/>
              </w:rPr>
            </w:pPr>
            <w:r w:rsidRPr="00C62A58">
              <w:rPr>
                <w:rFonts w:eastAsia="Calibri"/>
                <w:sz w:val="18"/>
                <w:szCs w:val="18"/>
                <w:vertAlign w:val="superscript"/>
                <w:lang w:val="en-US"/>
              </w:rPr>
              <w:t>a</w:t>
            </w:r>
            <w:r w:rsidR="003952A3">
              <w:rPr>
                <w:rFonts w:eastAsia="Calibri"/>
                <w:sz w:val="18"/>
                <w:szCs w:val="18"/>
                <w:vertAlign w:val="superscript"/>
                <w:lang w:val="en-US"/>
              </w:rPr>
              <w:t xml:space="preserve"> </w:t>
            </w:r>
            <w:r w:rsidRPr="00C62A58">
              <w:rPr>
                <w:rFonts w:eastAsia="Calibri"/>
                <w:sz w:val="18"/>
                <w:szCs w:val="18"/>
                <w:lang w:val="en-US"/>
              </w:rPr>
              <w:t>BPI worst pain item score ranges from 0 (no pain) to 10 (pain as bad as you can imag</w:t>
            </w:r>
            <w:r w:rsidR="00E174EB">
              <w:rPr>
                <w:rFonts w:eastAsia="Calibri"/>
                <w:sz w:val="18"/>
                <w:szCs w:val="18"/>
                <w:lang w:val="en-US"/>
              </w:rPr>
              <w:t>in</w:t>
            </w:r>
            <w:r w:rsidRPr="00C62A58">
              <w:rPr>
                <w:rFonts w:eastAsia="Calibri"/>
                <w:sz w:val="18"/>
                <w:szCs w:val="18"/>
                <w:lang w:val="en-US"/>
              </w:rPr>
              <w:t>e)</w:t>
            </w:r>
          </w:p>
          <w:p w14:paraId="3FDF1BB3" w14:textId="351841EF" w:rsidR="00070582" w:rsidRPr="00C62A58" w:rsidRDefault="00070582" w:rsidP="00070582">
            <w:pPr>
              <w:tabs>
                <w:tab w:val="left" w:pos="360"/>
              </w:tabs>
              <w:spacing w:line="240" w:lineRule="auto"/>
              <w:rPr>
                <w:rFonts w:eastAsia="Calibri"/>
                <w:sz w:val="18"/>
                <w:szCs w:val="18"/>
                <w:vertAlign w:val="superscript"/>
                <w:lang w:val="en-US"/>
              </w:rPr>
            </w:pPr>
            <w:r w:rsidRPr="00C62A58">
              <w:rPr>
                <w:rFonts w:eastAsia="Calibri"/>
                <w:sz w:val="18"/>
                <w:szCs w:val="18"/>
                <w:vertAlign w:val="superscript"/>
                <w:lang w:val="en-US"/>
              </w:rPr>
              <w:t>b</w:t>
            </w:r>
            <w:r w:rsidR="003952A3">
              <w:rPr>
                <w:rFonts w:eastAsia="Calibri"/>
                <w:sz w:val="18"/>
                <w:szCs w:val="18"/>
                <w:vertAlign w:val="superscript"/>
                <w:lang w:val="en-US"/>
              </w:rPr>
              <w:t xml:space="preserve"> </w:t>
            </w:r>
            <w:r w:rsidRPr="00C62A58">
              <w:rPr>
                <w:rFonts w:eastAsia="Calibri"/>
                <w:sz w:val="18"/>
                <w:szCs w:val="18"/>
                <w:lang w:val="en-US"/>
              </w:rPr>
              <w:t xml:space="preserve">WOMAC Index </w:t>
            </w:r>
            <w:r>
              <w:rPr>
                <w:rFonts w:eastAsia="Calibri"/>
                <w:sz w:val="18"/>
                <w:szCs w:val="18"/>
                <w:lang w:val="en-US"/>
              </w:rPr>
              <w:t>physical function and</w:t>
            </w:r>
            <w:r w:rsidRPr="00C62A58">
              <w:rPr>
                <w:rFonts w:eastAsia="Calibri"/>
                <w:sz w:val="18"/>
                <w:szCs w:val="18"/>
                <w:lang w:val="en-US"/>
              </w:rPr>
              <w:t xml:space="preserve"> stiffness</w:t>
            </w:r>
            <w:r>
              <w:rPr>
                <w:rFonts w:eastAsia="Calibri"/>
                <w:sz w:val="18"/>
                <w:szCs w:val="18"/>
                <w:lang w:val="en-US"/>
              </w:rPr>
              <w:t xml:space="preserve"> </w:t>
            </w:r>
            <w:r w:rsidRPr="00C62A58">
              <w:rPr>
                <w:rFonts w:eastAsia="Calibri"/>
                <w:sz w:val="18"/>
                <w:szCs w:val="18"/>
                <w:lang w:val="en-US"/>
              </w:rPr>
              <w:t>domain</w:t>
            </w:r>
            <w:r>
              <w:rPr>
                <w:rFonts w:eastAsia="Calibri"/>
                <w:sz w:val="18"/>
                <w:szCs w:val="18"/>
                <w:lang w:val="en-US"/>
              </w:rPr>
              <w:t>s</w:t>
            </w:r>
            <w:r w:rsidRPr="00C62A58">
              <w:rPr>
                <w:rFonts w:eastAsia="Calibri"/>
                <w:sz w:val="18"/>
                <w:szCs w:val="18"/>
                <w:lang w:val="en-US"/>
              </w:rPr>
              <w:t xml:space="preserve"> range from 0 (best health) to 100 (worst health)  </w:t>
            </w:r>
          </w:p>
          <w:p w14:paraId="5AFEEA91" w14:textId="7EA62FFB" w:rsidR="00070582" w:rsidRPr="00E174EB" w:rsidDel="00AC679B" w:rsidRDefault="00070582" w:rsidP="00070582">
            <w:pPr>
              <w:tabs>
                <w:tab w:val="left" w:pos="360"/>
              </w:tabs>
              <w:spacing w:line="240" w:lineRule="auto"/>
              <w:rPr>
                <w:rFonts w:eastAsia="Calibri"/>
                <w:sz w:val="18"/>
                <w:szCs w:val="18"/>
                <w:lang w:val="en-US"/>
              </w:rPr>
            </w:pPr>
            <w:r>
              <w:rPr>
                <w:rFonts w:eastAsia="Calibri"/>
                <w:sz w:val="18"/>
                <w:szCs w:val="18"/>
                <w:vertAlign w:val="superscript"/>
                <w:lang w:val="en-US"/>
              </w:rPr>
              <w:t>c</w:t>
            </w:r>
            <w:r w:rsidR="003952A3">
              <w:rPr>
                <w:rFonts w:eastAsia="Calibri"/>
                <w:sz w:val="18"/>
                <w:szCs w:val="18"/>
                <w:vertAlign w:val="superscript"/>
                <w:lang w:val="en-US"/>
              </w:rPr>
              <w:t xml:space="preserve"> </w:t>
            </w:r>
            <w:r w:rsidRPr="00C62A58">
              <w:rPr>
                <w:rFonts w:eastAsia="Calibri"/>
                <w:sz w:val="18"/>
                <w:szCs w:val="18"/>
                <w:lang w:val="en-US"/>
              </w:rPr>
              <w:t>Not significant following Hochberg adjustment</w:t>
            </w:r>
          </w:p>
        </w:tc>
      </w:tr>
    </w:tbl>
    <w:p w14:paraId="40CF4300" w14:textId="77777777" w:rsidR="009A12A5" w:rsidRDefault="009A12A5" w:rsidP="009A12A5">
      <w:pPr>
        <w:pStyle w:val="BodytextAgency"/>
        <w:keepNext/>
        <w:rPr>
          <w:rFonts w:ascii="Times New Roman" w:hAnsi="Times New Roman" w:cs="Times New Roman"/>
          <w:b/>
          <w:sz w:val="28"/>
        </w:rPr>
      </w:pPr>
    </w:p>
    <w:p w14:paraId="00C336DA" w14:textId="77777777" w:rsidR="009A12A5" w:rsidRPr="00BF519D" w:rsidRDefault="009A12A5" w:rsidP="006456FA">
      <w:pPr>
        <w:tabs>
          <w:tab w:val="clear" w:pos="567"/>
          <w:tab w:val="left" w:pos="720"/>
        </w:tabs>
        <w:autoSpaceDE w:val="0"/>
        <w:autoSpaceDN w:val="0"/>
        <w:adjustRightInd w:val="0"/>
        <w:spacing w:line="240" w:lineRule="auto"/>
        <w:rPr>
          <w:i/>
        </w:rPr>
      </w:pPr>
      <w:bookmarkStart w:id="12" w:name="_Ref514939359"/>
      <w:bookmarkStart w:id="13" w:name="_Toc514944847"/>
      <w:r w:rsidRPr="00BF519D">
        <w:rPr>
          <w:i/>
        </w:rPr>
        <w:t>6 Minute Walk Test</w:t>
      </w:r>
    </w:p>
    <w:p w14:paraId="5C1BEAFD" w14:textId="3411B308" w:rsidR="009A12A5" w:rsidRDefault="009A12A5" w:rsidP="009A12A5">
      <w:r>
        <w:t xml:space="preserve">This exercise test was conducted in all patients at Baseline, Week 12, 24, 36 and 48 (LS </w:t>
      </w:r>
      <w:r w:rsidR="002631A6">
        <w:t xml:space="preserve">mean </w:t>
      </w:r>
      <w:r>
        <w:t xml:space="preserve">difference in change from baseline, </w:t>
      </w:r>
      <w:proofErr w:type="spellStart"/>
      <w:r>
        <w:t>burosumab</w:t>
      </w:r>
      <w:proofErr w:type="spellEnd"/>
      <w:r>
        <w:t xml:space="preserve"> → placebo; Table </w:t>
      </w:r>
      <w:r w:rsidR="002F4072">
        <w:t>7</w:t>
      </w:r>
      <w:r>
        <w:t>). Improvements continued through to Week 48</w:t>
      </w:r>
      <w:r w:rsidR="008657DA">
        <w:t xml:space="preserve"> </w:t>
      </w:r>
      <w:r w:rsidR="007D65AF">
        <w:t>where distance walked increased from 357</w:t>
      </w:r>
      <w:r w:rsidR="002631A6">
        <w:t xml:space="preserve"> </w:t>
      </w:r>
      <w:r w:rsidR="007D65AF">
        <w:t>m at baseline to 393</w:t>
      </w:r>
      <w:r w:rsidR="002631A6">
        <w:t xml:space="preserve"> </w:t>
      </w:r>
      <w:proofErr w:type="spellStart"/>
      <w:r w:rsidR="007D65AF">
        <w:t>m at</w:t>
      </w:r>
      <w:proofErr w:type="spellEnd"/>
      <w:r w:rsidR="007D65AF">
        <w:t xml:space="preserve"> Week 48.</w:t>
      </w:r>
      <w:r w:rsidR="008657DA">
        <w:t xml:space="preserve"> </w:t>
      </w:r>
      <w:r>
        <w:t xml:space="preserve">Patients who crossed over from placebo to </w:t>
      </w:r>
      <w:proofErr w:type="spellStart"/>
      <w:r>
        <w:t>burosumab</w:t>
      </w:r>
      <w:proofErr w:type="spellEnd"/>
      <w:r>
        <w:t xml:space="preserve"> achieved similar improvements after 24 weeks of treatment.</w:t>
      </w:r>
      <w:r w:rsidR="000849F4" w:rsidDel="000849F4">
        <w:t xml:space="preserve"> </w:t>
      </w:r>
    </w:p>
    <w:p w14:paraId="3612C2AE" w14:textId="77777777" w:rsidR="009A12A5" w:rsidRDefault="009A12A5" w:rsidP="009A12A5"/>
    <w:p w14:paraId="08C35931" w14:textId="77777777" w:rsidR="009A12A5" w:rsidRDefault="009A12A5" w:rsidP="009A12A5">
      <w:pPr>
        <w:rPr>
          <w:rFonts w:eastAsia="SimSun"/>
          <w:b/>
          <w:bCs/>
          <w:szCs w:val="22"/>
          <w:lang w:eastAsia="ja-JP"/>
        </w:rPr>
      </w:pPr>
    </w:p>
    <w:p w14:paraId="49416752" w14:textId="4333A2B3" w:rsidR="009A12A5" w:rsidRPr="00CA670E" w:rsidRDefault="009A12A5" w:rsidP="002F4072">
      <w:pPr>
        <w:keepNext/>
        <w:keepLines/>
        <w:ind w:left="851" w:hanging="851"/>
        <w:rPr>
          <w:rFonts w:eastAsia="SimSun"/>
          <w:b/>
          <w:bCs/>
          <w:szCs w:val="22"/>
          <w:lang w:eastAsia="ja-JP"/>
        </w:rPr>
      </w:pPr>
      <w:r w:rsidRPr="00CA670E">
        <w:rPr>
          <w:rFonts w:eastAsia="SimSun"/>
          <w:b/>
          <w:bCs/>
          <w:szCs w:val="22"/>
          <w:lang w:eastAsia="ja-JP"/>
        </w:rPr>
        <w:t xml:space="preserve">Table </w:t>
      </w:r>
      <w:r w:rsidR="008657DA">
        <w:rPr>
          <w:rFonts w:eastAsia="SimSun"/>
          <w:b/>
          <w:bCs/>
          <w:szCs w:val="22"/>
          <w:lang w:eastAsia="ja-JP"/>
        </w:rPr>
        <w:t>7</w:t>
      </w:r>
      <w:r w:rsidRPr="00CA670E">
        <w:rPr>
          <w:rFonts w:eastAsia="SimSun"/>
          <w:b/>
          <w:bCs/>
          <w:szCs w:val="22"/>
          <w:lang w:eastAsia="ja-JP"/>
        </w:rPr>
        <w:t>: 6 Minute Walk distance (SD) Baseline and Week 24; Least Squares Mean Difference</w:t>
      </w:r>
      <w:r w:rsidR="0045101C">
        <w:rPr>
          <w:rFonts w:eastAsia="SimSun"/>
          <w:b/>
          <w:bCs/>
          <w:szCs w:val="22"/>
          <w:lang w:eastAsia="ja-JP"/>
        </w:rPr>
        <w:t> </w:t>
      </w:r>
      <w:r w:rsidRPr="00CA670E">
        <w:rPr>
          <w:rFonts w:eastAsia="SimSun"/>
          <w:b/>
          <w:bCs/>
          <w:szCs w:val="22"/>
          <w:lang w:eastAsia="ja-JP"/>
        </w:rPr>
        <w:t>(SE)</w:t>
      </w:r>
    </w:p>
    <w:p w14:paraId="6D25894E" w14:textId="77777777" w:rsidR="009A12A5" w:rsidRDefault="009A12A5" w:rsidP="002F4072">
      <w:pPr>
        <w:keepNext/>
        <w:keepLines/>
      </w:pPr>
    </w:p>
    <w:tbl>
      <w:tblPr>
        <w:tblStyle w:val="TableGrid"/>
        <w:tblW w:w="0" w:type="auto"/>
        <w:tblLook w:val="04A0" w:firstRow="1" w:lastRow="0" w:firstColumn="1" w:lastColumn="0" w:noHBand="0" w:noVBand="1"/>
      </w:tblPr>
      <w:tblGrid>
        <w:gridCol w:w="4248"/>
        <w:gridCol w:w="2410"/>
        <w:gridCol w:w="2403"/>
      </w:tblGrid>
      <w:tr w:rsidR="00143788" w:rsidRPr="002F4072" w14:paraId="1CB120B8" w14:textId="77777777" w:rsidTr="000849F4">
        <w:tc>
          <w:tcPr>
            <w:tcW w:w="4248" w:type="dxa"/>
          </w:tcPr>
          <w:p w14:paraId="5136E3EB" w14:textId="77777777" w:rsidR="00143788" w:rsidRPr="002F4072" w:rsidRDefault="00143788" w:rsidP="00143788">
            <w:pPr>
              <w:keepNext/>
              <w:keepLines/>
              <w:rPr>
                <w:b/>
                <w:bCs/>
              </w:rPr>
            </w:pPr>
            <w:r w:rsidRPr="002F4072">
              <w:rPr>
                <w:b/>
                <w:bCs/>
              </w:rPr>
              <w:t>6 MWT, m(SD)</w:t>
            </w:r>
          </w:p>
        </w:tc>
        <w:tc>
          <w:tcPr>
            <w:tcW w:w="2410" w:type="dxa"/>
          </w:tcPr>
          <w:p w14:paraId="41D2964C" w14:textId="4532CACE" w:rsidR="00143788" w:rsidRPr="002F4072" w:rsidRDefault="00143788" w:rsidP="00143788">
            <w:pPr>
              <w:keepNext/>
              <w:keepLines/>
              <w:jc w:val="center"/>
              <w:rPr>
                <w:b/>
                <w:bCs/>
              </w:rPr>
            </w:pPr>
            <w:r w:rsidRPr="002F4072">
              <w:rPr>
                <w:b/>
                <w:bCs/>
              </w:rPr>
              <w:t>Placebo</w:t>
            </w:r>
          </w:p>
        </w:tc>
        <w:tc>
          <w:tcPr>
            <w:tcW w:w="2403" w:type="dxa"/>
          </w:tcPr>
          <w:p w14:paraId="46DCB8FA" w14:textId="6A3EE7FD" w:rsidR="00143788" w:rsidRPr="002F4072" w:rsidRDefault="00143788" w:rsidP="00143788">
            <w:pPr>
              <w:keepNext/>
              <w:keepLines/>
              <w:jc w:val="center"/>
              <w:rPr>
                <w:b/>
                <w:bCs/>
              </w:rPr>
            </w:pPr>
            <w:proofErr w:type="spellStart"/>
            <w:r w:rsidRPr="002F4072">
              <w:rPr>
                <w:b/>
                <w:bCs/>
              </w:rPr>
              <w:t>Burosumab</w:t>
            </w:r>
            <w:proofErr w:type="spellEnd"/>
          </w:p>
        </w:tc>
      </w:tr>
      <w:tr w:rsidR="00143788" w14:paraId="5759528E" w14:textId="77777777" w:rsidTr="000849F4">
        <w:tc>
          <w:tcPr>
            <w:tcW w:w="4248" w:type="dxa"/>
          </w:tcPr>
          <w:p w14:paraId="5240FAC6" w14:textId="77777777" w:rsidR="00143788" w:rsidRDefault="00143788" w:rsidP="00143788">
            <w:pPr>
              <w:keepNext/>
              <w:keepLines/>
            </w:pPr>
            <w:r>
              <w:t xml:space="preserve">Baseline </w:t>
            </w:r>
          </w:p>
        </w:tc>
        <w:tc>
          <w:tcPr>
            <w:tcW w:w="2410" w:type="dxa"/>
          </w:tcPr>
          <w:p w14:paraId="21E16628" w14:textId="489B0D1D" w:rsidR="00143788" w:rsidRDefault="00143788" w:rsidP="00143788">
            <w:pPr>
              <w:keepNext/>
              <w:keepLines/>
              <w:jc w:val="center"/>
            </w:pPr>
            <w:r>
              <w:t>367 (103)</w:t>
            </w:r>
          </w:p>
        </w:tc>
        <w:tc>
          <w:tcPr>
            <w:tcW w:w="2403" w:type="dxa"/>
          </w:tcPr>
          <w:p w14:paraId="5F18D968" w14:textId="0A56CBFA" w:rsidR="00143788" w:rsidRDefault="00143788" w:rsidP="00143788">
            <w:pPr>
              <w:keepNext/>
              <w:keepLines/>
              <w:jc w:val="center"/>
            </w:pPr>
            <w:r>
              <w:t>357 (109)</w:t>
            </w:r>
          </w:p>
        </w:tc>
      </w:tr>
      <w:tr w:rsidR="00143788" w14:paraId="770DC823" w14:textId="77777777" w:rsidTr="000849F4">
        <w:tc>
          <w:tcPr>
            <w:tcW w:w="4248" w:type="dxa"/>
          </w:tcPr>
          <w:p w14:paraId="18C10162" w14:textId="77777777" w:rsidR="00143788" w:rsidRDefault="00143788" w:rsidP="00143788">
            <w:pPr>
              <w:keepNext/>
              <w:keepLines/>
            </w:pPr>
            <w:r>
              <w:t xml:space="preserve">Week 24 </w:t>
            </w:r>
          </w:p>
        </w:tc>
        <w:tc>
          <w:tcPr>
            <w:tcW w:w="2410" w:type="dxa"/>
          </w:tcPr>
          <w:p w14:paraId="3F5EC061" w14:textId="7F52E7ED" w:rsidR="00143788" w:rsidRDefault="00143788" w:rsidP="00143788">
            <w:pPr>
              <w:keepNext/>
              <w:keepLines/>
              <w:jc w:val="center"/>
            </w:pPr>
            <w:r>
              <w:t>369 (103)</w:t>
            </w:r>
          </w:p>
        </w:tc>
        <w:tc>
          <w:tcPr>
            <w:tcW w:w="2403" w:type="dxa"/>
          </w:tcPr>
          <w:p w14:paraId="3107106C" w14:textId="3EDBDAFC" w:rsidR="00143788" w:rsidRDefault="00143788" w:rsidP="00143788">
            <w:pPr>
              <w:keepNext/>
              <w:keepLines/>
              <w:jc w:val="center"/>
            </w:pPr>
            <w:r>
              <w:t>382 (108)</w:t>
            </w:r>
          </w:p>
        </w:tc>
      </w:tr>
      <w:tr w:rsidR="00143788" w14:paraId="60538325" w14:textId="77777777" w:rsidTr="000849F4">
        <w:tc>
          <w:tcPr>
            <w:tcW w:w="4248" w:type="dxa"/>
          </w:tcPr>
          <w:p w14:paraId="66C3DCCD" w14:textId="77777777" w:rsidR="00143788" w:rsidRDefault="00143788" w:rsidP="000849F4">
            <w:pPr>
              <w:keepNext/>
              <w:keepLines/>
            </w:pPr>
            <w:r>
              <w:t xml:space="preserve">LS Mean difference </w:t>
            </w:r>
            <w:proofErr w:type="spellStart"/>
            <w:r>
              <w:t>burosumab</w:t>
            </w:r>
            <w:proofErr w:type="spellEnd"/>
            <w:r>
              <w:t>-placebo (SE)</w:t>
            </w:r>
          </w:p>
        </w:tc>
        <w:tc>
          <w:tcPr>
            <w:tcW w:w="4813" w:type="dxa"/>
            <w:gridSpan w:val="2"/>
          </w:tcPr>
          <w:p w14:paraId="02FA8882" w14:textId="77777777" w:rsidR="00143788" w:rsidRDefault="00143788" w:rsidP="000849F4">
            <w:pPr>
              <w:keepNext/>
              <w:keepLines/>
              <w:jc w:val="center"/>
            </w:pPr>
            <w:r>
              <w:t>20 (7.7)</w:t>
            </w:r>
          </w:p>
        </w:tc>
      </w:tr>
    </w:tbl>
    <w:p w14:paraId="0F3056C9" w14:textId="77777777" w:rsidR="009A12A5" w:rsidRPr="00CA670E" w:rsidRDefault="009A12A5" w:rsidP="009A12A5">
      <w:pPr>
        <w:rPr>
          <w:szCs w:val="22"/>
        </w:rPr>
      </w:pPr>
    </w:p>
    <w:bookmarkEnd w:id="12"/>
    <w:bookmarkEnd w:id="13"/>
    <w:p w14:paraId="1D23149A" w14:textId="02650AE1" w:rsidR="009A12A5" w:rsidRDefault="009A12A5" w:rsidP="0045101C">
      <w:pPr>
        <w:keepNext/>
        <w:tabs>
          <w:tab w:val="clear" w:pos="567"/>
        </w:tabs>
        <w:autoSpaceDE w:val="0"/>
        <w:autoSpaceDN w:val="0"/>
        <w:adjustRightInd w:val="0"/>
        <w:spacing w:line="240" w:lineRule="auto"/>
        <w:ind w:left="851" w:hanging="851"/>
      </w:pPr>
    </w:p>
    <w:p w14:paraId="65DA19A8" w14:textId="77777777" w:rsidR="009A12A5" w:rsidRDefault="009A12A5" w:rsidP="009A12A5">
      <w:pPr>
        <w:keepNext/>
      </w:pPr>
    </w:p>
    <w:p w14:paraId="7B172755" w14:textId="77777777" w:rsidR="009A12A5" w:rsidRPr="00143788" w:rsidRDefault="009A12A5" w:rsidP="009A12A5">
      <w:pPr>
        <w:keepNext/>
        <w:tabs>
          <w:tab w:val="clear" w:pos="567"/>
          <w:tab w:val="left" w:pos="900"/>
        </w:tabs>
        <w:spacing w:line="240" w:lineRule="auto"/>
        <w:rPr>
          <w:i/>
          <w:color w:val="000000"/>
          <w:lang w:val="en-US"/>
        </w:rPr>
      </w:pPr>
      <w:r w:rsidRPr="00143788">
        <w:rPr>
          <w:i/>
          <w:color w:val="000000"/>
          <w:lang w:val="en-US"/>
        </w:rPr>
        <w:t xml:space="preserve">Radiographic Evaluation of Fractures and </w:t>
      </w:r>
      <w:proofErr w:type="spellStart"/>
      <w:r w:rsidRPr="00143788">
        <w:rPr>
          <w:i/>
          <w:color w:val="000000"/>
          <w:lang w:val="en-US"/>
        </w:rPr>
        <w:t>Pseudofractures</w:t>
      </w:r>
      <w:proofErr w:type="spellEnd"/>
    </w:p>
    <w:p w14:paraId="4C676519" w14:textId="172E33EE" w:rsidR="002F4072" w:rsidRDefault="009A12A5" w:rsidP="002F4072">
      <w:pPr>
        <w:keepNext/>
        <w:shd w:val="clear" w:color="auto" w:fill="FFFFFF" w:themeFill="background1"/>
        <w:spacing w:line="240" w:lineRule="auto"/>
        <w:rPr>
          <w:rFonts w:eastAsia="TimesNewRoman"/>
          <w:lang w:val="en-US"/>
        </w:rPr>
      </w:pPr>
      <w:r>
        <w:rPr>
          <w:rFonts w:eastAsia="Calibri"/>
          <w:lang w:val="en-US"/>
        </w:rPr>
        <w:t xml:space="preserve">In Study UX023-CL303, a skeletal survey was conducted at baseline to identify </w:t>
      </w:r>
      <w:proofErr w:type="spellStart"/>
      <w:r>
        <w:rPr>
          <w:rFonts w:eastAsia="Calibri"/>
          <w:lang w:val="en-US"/>
        </w:rPr>
        <w:t>osteomalacia</w:t>
      </w:r>
      <w:proofErr w:type="spellEnd"/>
      <w:r>
        <w:rPr>
          <w:rFonts w:eastAsia="Calibri"/>
          <w:lang w:val="en-US"/>
        </w:rPr>
        <w:t xml:space="preserve">-related fractures and </w:t>
      </w:r>
      <w:proofErr w:type="spellStart"/>
      <w:r>
        <w:rPr>
          <w:rFonts w:eastAsia="Calibri"/>
          <w:lang w:val="en-US"/>
        </w:rPr>
        <w:t>pseudofractures</w:t>
      </w:r>
      <w:proofErr w:type="spellEnd"/>
      <w:r>
        <w:rPr>
          <w:rFonts w:eastAsia="Calibri"/>
          <w:lang w:val="en-US"/>
        </w:rPr>
        <w:t xml:space="preserve">. There were 52% </w:t>
      </w:r>
      <w:r w:rsidR="00AD728F">
        <w:rPr>
          <w:rFonts w:eastAsia="Calibri"/>
          <w:lang w:val="en-US"/>
        </w:rPr>
        <w:t xml:space="preserve">(70/134) </w:t>
      </w:r>
      <w:r>
        <w:rPr>
          <w:rFonts w:eastAsia="Calibri"/>
          <w:lang w:val="en-US"/>
        </w:rPr>
        <w:t>of patients who had either active fractures (12%</w:t>
      </w:r>
      <w:r w:rsidR="00B66C1F">
        <w:rPr>
          <w:rFonts w:eastAsia="Calibri"/>
          <w:lang w:val="en-US"/>
        </w:rPr>
        <w:t>, 16/134</w:t>
      </w:r>
      <w:r w:rsidR="00AD728F">
        <w:rPr>
          <w:rFonts w:eastAsia="Calibri"/>
          <w:lang w:val="en-US"/>
        </w:rPr>
        <w:t>)</w:t>
      </w:r>
      <w:r w:rsidR="00B66C1F">
        <w:rPr>
          <w:rFonts w:eastAsia="Calibri"/>
          <w:lang w:val="en-US"/>
        </w:rPr>
        <w:t xml:space="preserve"> </w:t>
      </w:r>
      <w:r>
        <w:rPr>
          <w:rFonts w:eastAsia="Calibri"/>
          <w:lang w:val="en-US"/>
        </w:rPr>
        <w:t xml:space="preserve">or active </w:t>
      </w:r>
      <w:proofErr w:type="spellStart"/>
      <w:r>
        <w:rPr>
          <w:rFonts w:eastAsia="Calibri"/>
          <w:lang w:val="en-US"/>
        </w:rPr>
        <w:t>pseudofractures</w:t>
      </w:r>
      <w:proofErr w:type="spellEnd"/>
      <w:r>
        <w:rPr>
          <w:rFonts w:eastAsia="Calibri"/>
          <w:lang w:val="en-US"/>
        </w:rPr>
        <w:t xml:space="preserve"> (47%</w:t>
      </w:r>
      <w:r w:rsidR="00B66C1F">
        <w:rPr>
          <w:rFonts w:eastAsia="Calibri"/>
          <w:lang w:val="en-US"/>
        </w:rPr>
        <w:t xml:space="preserve">, </w:t>
      </w:r>
      <w:r w:rsidR="00AD728F">
        <w:rPr>
          <w:rFonts w:eastAsia="Calibri"/>
          <w:lang w:val="en-US"/>
        </w:rPr>
        <w:t>63/134</w:t>
      </w:r>
      <w:r>
        <w:rPr>
          <w:rFonts w:eastAsia="Calibri"/>
          <w:lang w:val="en-US"/>
        </w:rPr>
        <w:t xml:space="preserve">) at baseline.  </w:t>
      </w:r>
      <w:r w:rsidR="00B66C1F" w:rsidRPr="00B66C1F">
        <w:rPr>
          <w:rFonts w:eastAsia="Calibri"/>
          <w:lang w:val="en-US"/>
        </w:rPr>
        <w:t xml:space="preserve"> </w:t>
      </w:r>
      <w:r w:rsidR="00B66C1F">
        <w:rPr>
          <w:rFonts w:eastAsia="Calibri"/>
          <w:lang w:val="en-US"/>
        </w:rPr>
        <w:t xml:space="preserve">Following </w:t>
      </w:r>
      <w:proofErr w:type="spellStart"/>
      <w:r w:rsidR="00B66C1F">
        <w:rPr>
          <w:rFonts w:eastAsia="Calibri"/>
          <w:lang w:val="en-US"/>
        </w:rPr>
        <w:t>burosumab</w:t>
      </w:r>
      <w:proofErr w:type="spellEnd"/>
      <w:r w:rsidR="00B66C1F">
        <w:rPr>
          <w:rFonts w:eastAsia="Calibri"/>
          <w:lang w:val="en-US"/>
        </w:rPr>
        <w:t xml:space="preserve"> treatment more patients showed healing of fractures and </w:t>
      </w:r>
      <w:proofErr w:type="spellStart"/>
      <w:r w:rsidR="00B66C1F">
        <w:rPr>
          <w:rFonts w:eastAsia="Calibri"/>
          <w:lang w:val="en-US"/>
        </w:rPr>
        <w:t>pseudofractures</w:t>
      </w:r>
      <w:proofErr w:type="spellEnd"/>
      <w:r w:rsidR="00B66C1F">
        <w:rPr>
          <w:rFonts w:eastAsia="Calibri"/>
          <w:lang w:val="en-US"/>
        </w:rPr>
        <w:t xml:space="preserve"> compared to the placebo </w:t>
      </w:r>
      <w:r w:rsidR="00B66C1F" w:rsidRPr="0045101C">
        <w:rPr>
          <w:rFonts w:eastAsia="Calibri"/>
          <w:lang w:val="en-US"/>
        </w:rPr>
        <w:t>group (Figure</w:t>
      </w:r>
      <w:r w:rsidR="00722C30" w:rsidRPr="0045101C">
        <w:rPr>
          <w:rFonts w:eastAsia="Calibri"/>
          <w:lang w:val="en-US"/>
        </w:rPr>
        <w:t> </w:t>
      </w:r>
      <w:r w:rsidR="00441733" w:rsidRPr="0045101C">
        <w:rPr>
          <w:rFonts w:eastAsia="Calibri"/>
          <w:lang w:val="en-US"/>
        </w:rPr>
        <w:t>4</w:t>
      </w:r>
      <w:r w:rsidR="00B66C1F" w:rsidRPr="0045101C">
        <w:rPr>
          <w:rFonts w:eastAsia="Calibri"/>
          <w:lang w:val="en-US"/>
        </w:rPr>
        <w:t>).</w:t>
      </w:r>
      <w:r w:rsidR="008657DA">
        <w:rPr>
          <w:rFonts w:eastAsia="Calibri"/>
          <w:lang w:val="en-US"/>
        </w:rPr>
        <w:t xml:space="preserve"> </w:t>
      </w:r>
      <w:r w:rsidR="00682325" w:rsidRPr="002F4072">
        <w:rPr>
          <w:rFonts w:eastAsia="Calibri"/>
          <w:lang w:val="en-US"/>
        </w:rPr>
        <w:t xml:space="preserve">During the placebo-controlled treatment period up to week 24, a total of 6 new fractures or </w:t>
      </w:r>
      <w:proofErr w:type="spellStart"/>
      <w:r w:rsidR="00682325" w:rsidRPr="002F4072">
        <w:rPr>
          <w:rFonts w:eastAsia="Calibri"/>
          <w:lang w:val="en-US"/>
        </w:rPr>
        <w:t>pseudofractures</w:t>
      </w:r>
      <w:proofErr w:type="spellEnd"/>
      <w:r w:rsidR="00682325" w:rsidRPr="002F4072">
        <w:rPr>
          <w:rFonts w:eastAsia="Calibri"/>
          <w:lang w:val="en-US"/>
        </w:rPr>
        <w:t xml:space="preserve"> appeared in 68 patients receiving </w:t>
      </w:r>
      <w:proofErr w:type="spellStart"/>
      <w:r w:rsidR="00682325" w:rsidRPr="002F4072">
        <w:rPr>
          <w:rFonts w:eastAsia="Calibri"/>
          <w:lang w:val="en-US"/>
        </w:rPr>
        <w:t>burosumab</w:t>
      </w:r>
      <w:proofErr w:type="spellEnd"/>
      <w:r w:rsidR="00682325" w:rsidRPr="002F4072">
        <w:rPr>
          <w:rFonts w:eastAsia="Calibri"/>
          <w:lang w:val="en-US"/>
        </w:rPr>
        <w:t xml:space="preserve"> compared to 8 new abnormalities in 66 </w:t>
      </w:r>
      <w:r w:rsidR="00682325" w:rsidRPr="002F4072">
        <w:rPr>
          <w:rFonts w:eastAsia="Calibri"/>
          <w:lang w:val="en-US"/>
        </w:rPr>
        <w:lastRenderedPageBreak/>
        <w:t xml:space="preserve">patients receiving placebo. </w:t>
      </w:r>
      <w:r w:rsidR="006C4B64" w:rsidRPr="002F4072">
        <w:rPr>
          <w:rFonts w:eastAsia="Calibri"/>
          <w:lang w:val="en-US"/>
        </w:rPr>
        <w:t xml:space="preserve">Of the number of new fractures developed prior to week 48 </w:t>
      </w:r>
      <w:r w:rsidR="00F309AC" w:rsidRPr="002F4072">
        <w:rPr>
          <w:rFonts w:eastAsia="Calibri"/>
          <w:lang w:val="en-US"/>
        </w:rPr>
        <w:t xml:space="preserve">most (10/18) </w:t>
      </w:r>
      <w:r w:rsidR="002F4072">
        <w:rPr>
          <w:rFonts w:eastAsia="TimesNewRoman"/>
          <w:lang w:val="en-US"/>
        </w:rPr>
        <w:t xml:space="preserve">were </w:t>
      </w:r>
      <w:r w:rsidR="002F4072" w:rsidRPr="002F4072">
        <w:rPr>
          <w:rFonts w:eastAsia="TimesNewRoman"/>
          <w:lang w:val="en-US"/>
        </w:rPr>
        <w:t>healed or partially healed at the end of the study.</w:t>
      </w:r>
    </w:p>
    <w:p w14:paraId="0EE7E688" w14:textId="77777777" w:rsidR="00686214" w:rsidRDefault="00686214" w:rsidP="00686214">
      <w:pPr>
        <w:keepNext/>
        <w:keepLines/>
        <w:tabs>
          <w:tab w:val="clear" w:pos="567"/>
          <w:tab w:val="left" w:pos="720"/>
        </w:tabs>
        <w:spacing w:line="240" w:lineRule="auto"/>
      </w:pPr>
    </w:p>
    <w:p w14:paraId="6565233B" w14:textId="77777777" w:rsidR="00686214" w:rsidRDefault="00686214" w:rsidP="00686214">
      <w:pPr>
        <w:keepNext/>
        <w:keepLines/>
        <w:tabs>
          <w:tab w:val="clear" w:pos="567"/>
          <w:tab w:val="left" w:pos="720"/>
        </w:tabs>
        <w:spacing w:line="240" w:lineRule="auto"/>
      </w:pPr>
    </w:p>
    <w:p w14:paraId="705F3877" w14:textId="7183B935" w:rsidR="00796CF6" w:rsidRPr="006456FA" w:rsidRDefault="00796CF6" w:rsidP="00686214">
      <w:pPr>
        <w:keepNext/>
        <w:keepLines/>
        <w:tabs>
          <w:tab w:val="clear" w:pos="567"/>
          <w:tab w:val="left" w:pos="720"/>
        </w:tabs>
        <w:spacing w:line="240" w:lineRule="auto"/>
        <w:rPr>
          <w:b/>
          <w:bCs/>
        </w:rPr>
      </w:pPr>
      <w:r w:rsidRPr="006456FA">
        <w:rPr>
          <w:b/>
          <w:bCs/>
        </w:rPr>
        <w:t xml:space="preserve">Figure </w:t>
      </w:r>
      <w:r>
        <w:rPr>
          <w:b/>
          <w:bCs/>
        </w:rPr>
        <w:t>4</w:t>
      </w:r>
      <w:r w:rsidRPr="006456FA">
        <w:rPr>
          <w:b/>
          <w:bCs/>
        </w:rPr>
        <w:t xml:space="preserve">:  </w:t>
      </w:r>
      <w:r w:rsidR="003952A3">
        <w:rPr>
          <w:b/>
          <w:bCs/>
        </w:rPr>
        <w:t xml:space="preserve">Percentage </w:t>
      </w:r>
      <w:r w:rsidRPr="006456FA">
        <w:rPr>
          <w:b/>
          <w:bCs/>
        </w:rPr>
        <w:t xml:space="preserve">of Healed Active Fractures and </w:t>
      </w:r>
      <w:proofErr w:type="spellStart"/>
      <w:r w:rsidRPr="006456FA">
        <w:rPr>
          <w:b/>
          <w:bCs/>
        </w:rPr>
        <w:t>Pseudofractures</w:t>
      </w:r>
      <w:proofErr w:type="spellEnd"/>
      <w:r w:rsidRPr="006456FA">
        <w:rPr>
          <w:b/>
          <w:bCs/>
        </w:rPr>
        <w:t xml:space="preserve"> in Study UX023-CL303</w:t>
      </w:r>
    </w:p>
    <w:p w14:paraId="0539C44A" w14:textId="71E223B1" w:rsidR="008E01FC" w:rsidRDefault="008E01FC" w:rsidP="00686214">
      <w:pPr>
        <w:keepNext/>
        <w:keepLines/>
        <w:shd w:val="clear" w:color="auto" w:fill="FFFFFF" w:themeFill="background1"/>
        <w:spacing w:line="240" w:lineRule="auto"/>
        <w:rPr>
          <w:i/>
          <w:color w:val="000000"/>
          <w:u w:val="single"/>
        </w:rPr>
      </w:pPr>
    </w:p>
    <w:p w14:paraId="07BEE74B" w14:textId="789766ED" w:rsidR="008E01FC" w:rsidRDefault="008E01FC" w:rsidP="00686214">
      <w:pPr>
        <w:keepNext/>
        <w:keepLines/>
        <w:shd w:val="clear" w:color="auto" w:fill="FFFFFF" w:themeFill="background1"/>
        <w:spacing w:line="240" w:lineRule="auto"/>
        <w:rPr>
          <w:i/>
          <w:color w:val="000000"/>
          <w:u w:val="single"/>
        </w:rPr>
      </w:pPr>
      <w:r>
        <w:rPr>
          <w:noProof/>
        </w:rPr>
        <w:drawing>
          <wp:inline distT="0" distB="0" distL="0" distR="0" wp14:anchorId="63549333" wp14:editId="665F3E51">
            <wp:extent cx="5950424" cy="4967761"/>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55691" cy="4972159"/>
                    </a:xfrm>
                    <a:prstGeom prst="rect">
                      <a:avLst/>
                    </a:prstGeom>
                  </pic:spPr>
                </pic:pic>
              </a:graphicData>
            </a:graphic>
          </wp:inline>
        </w:drawing>
      </w:r>
    </w:p>
    <w:p w14:paraId="7B353A38" w14:textId="3904B8FE" w:rsidR="009A12A5" w:rsidRPr="000974D1" w:rsidRDefault="009A12A5" w:rsidP="00686214">
      <w:pPr>
        <w:keepNext/>
        <w:keepLines/>
        <w:shd w:val="clear" w:color="auto" w:fill="FFFFFF" w:themeFill="background1"/>
        <w:spacing w:line="240" w:lineRule="auto"/>
        <w:rPr>
          <w:i/>
          <w:color w:val="000000"/>
          <w:u w:val="single"/>
        </w:rPr>
      </w:pPr>
    </w:p>
    <w:p w14:paraId="6B5A72B9" w14:textId="77777777" w:rsidR="00123F7A" w:rsidRDefault="00123F7A" w:rsidP="009A12A5">
      <w:pPr>
        <w:shd w:val="clear" w:color="auto" w:fill="FFFFFF" w:themeFill="background1"/>
        <w:spacing w:line="240" w:lineRule="auto"/>
        <w:rPr>
          <w:i/>
          <w:color w:val="000000"/>
          <w:u w:val="single"/>
          <w:lang w:val="en-US"/>
        </w:rPr>
      </w:pPr>
    </w:p>
    <w:p w14:paraId="149690CF" w14:textId="77777777" w:rsidR="00441733" w:rsidRDefault="00441733" w:rsidP="009A12A5">
      <w:pPr>
        <w:shd w:val="clear" w:color="auto" w:fill="FFFFFF" w:themeFill="background1"/>
        <w:spacing w:line="240" w:lineRule="auto"/>
        <w:rPr>
          <w:i/>
          <w:color w:val="000000"/>
          <w:u w:val="single"/>
          <w:lang w:val="en-US"/>
        </w:rPr>
      </w:pPr>
    </w:p>
    <w:p w14:paraId="483D6614" w14:textId="465D74E0" w:rsidR="00441733" w:rsidRPr="00D54786" w:rsidRDefault="00441733" w:rsidP="00441733">
      <w:pPr>
        <w:tabs>
          <w:tab w:val="clear" w:pos="567"/>
        </w:tabs>
        <w:autoSpaceDE w:val="0"/>
        <w:autoSpaceDN w:val="0"/>
        <w:adjustRightInd w:val="0"/>
        <w:spacing w:line="240" w:lineRule="auto"/>
        <w:rPr>
          <w:rFonts w:eastAsia="Calibri"/>
          <w:lang w:val="en-US"/>
        </w:rPr>
      </w:pPr>
      <w:r w:rsidRPr="00D54786">
        <w:rPr>
          <w:rFonts w:eastAsia="Calibri"/>
          <w:lang w:val="en-US"/>
        </w:rPr>
        <w:t>At Baseline, the mean (SD) total calcaneal enthesopathy burden (sum of superior and inferior calcaneal spurs) was 5.64 (</w:t>
      </w:r>
      <w:r w:rsidRPr="0045101C">
        <w:rPr>
          <w:rFonts w:eastAsia="Calibri"/>
          <w:lang w:val="en-US"/>
        </w:rPr>
        <w:t>3.12</w:t>
      </w:r>
      <w:r w:rsidRPr="00D54786">
        <w:rPr>
          <w:rFonts w:eastAsia="Calibri"/>
          <w:lang w:val="en-US"/>
        </w:rPr>
        <w:t xml:space="preserve">) cm in the </w:t>
      </w:r>
      <w:proofErr w:type="spellStart"/>
      <w:r w:rsidRPr="00D54786">
        <w:rPr>
          <w:rFonts w:eastAsia="Calibri"/>
          <w:lang w:val="en-US"/>
        </w:rPr>
        <w:t>burosumab</w:t>
      </w:r>
      <w:proofErr w:type="spellEnd"/>
      <w:r w:rsidRPr="00D54786">
        <w:rPr>
          <w:rFonts w:eastAsia="Calibri"/>
          <w:lang w:val="en-US"/>
        </w:rPr>
        <w:t xml:space="preserve"> group and 5.54 </w:t>
      </w:r>
      <w:r w:rsidRPr="00B4674A">
        <w:rPr>
          <w:rFonts w:eastAsia="Calibri"/>
          <w:lang w:val="en-US"/>
        </w:rPr>
        <w:t>(</w:t>
      </w:r>
      <w:r w:rsidRPr="0045101C">
        <w:rPr>
          <w:rFonts w:eastAsia="Calibri"/>
          <w:lang w:val="en-US"/>
        </w:rPr>
        <w:t>3.1</w:t>
      </w:r>
      <w:r w:rsidRPr="00D54786">
        <w:rPr>
          <w:rFonts w:eastAsia="Calibri"/>
          <w:lang w:val="en-US"/>
        </w:rPr>
        <w:t xml:space="preserve">) cm in the placebo group. </w:t>
      </w:r>
      <w:r w:rsidRPr="008764E8">
        <w:rPr>
          <w:rFonts w:eastAsia="Calibri"/>
          <w:lang w:val="en-US"/>
        </w:rPr>
        <w:t xml:space="preserve"> </w:t>
      </w:r>
      <w:r w:rsidRPr="00D54786">
        <w:rPr>
          <w:rFonts w:eastAsia="Calibri"/>
          <w:lang w:val="en-US"/>
        </w:rPr>
        <w:t xml:space="preserve">At Week </w:t>
      </w:r>
      <w:r>
        <w:rPr>
          <w:rFonts w:eastAsia="Calibri"/>
          <w:lang w:val="en-US"/>
        </w:rPr>
        <w:t>24</w:t>
      </w:r>
      <w:r w:rsidRPr="00D54786">
        <w:rPr>
          <w:rFonts w:eastAsia="Calibri"/>
          <w:lang w:val="en-US"/>
        </w:rPr>
        <w:t xml:space="preserve">, the mean (SD) total calcaneal enthesopathy burden was </w:t>
      </w:r>
      <w:r>
        <w:rPr>
          <w:rFonts w:eastAsia="Calibri"/>
          <w:lang w:val="en-US"/>
        </w:rPr>
        <w:t>5.90 (</w:t>
      </w:r>
      <w:r w:rsidRPr="0045101C">
        <w:rPr>
          <w:rFonts w:eastAsia="Calibri"/>
          <w:lang w:val="en-US"/>
        </w:rPr>
        <w:t>3.56</w:t>
      </w:r>
      <w:r>
        <w:rPr>
          <w:rFonts w:eastAsia="Calibri"/>
          <w:lang w:val="en-US"/>
        </w:rPr>
        <w:t>)</w:t>
      </w:r>
      <w:r w:rsidRPr="00D54786">
        <w:rPr>
          <w:rFonts w:eastAsia="Calibri"/>
          <w:lang w:val="en-US"/>
        </w:rPr>
        <w:t xml:space="preserve"> cm in the </w:t>
      </w:r>
      <w:proofErr w:type="spellStart"/>
      <w:r w:rsidRPr="00D54786">
        <w:rPr>
          <w:rFonts w:eastAsia="Calibri"/>
          <w:lang w:val="en-US"/>
        </w:rPr>
        <w:t>burosumab→burosumab</w:t>
      </w:r>
      <w:proofErr w:type="spellEnd"/>
      <w:r w:rsidRPr="00D54786">
        <w:rPr>
          <w:rFonts w:eastAsia="Calibri"/>
          <w:lang w:val="en-US"/>
        </w:rPr>
        <w:t xml:space="preserve"> group and </w:t>
      </w:r>
      <w:r>
        <w:rPr>
          <w:rFonts w:eastAsia="Calibri"/>
          <w:lang w:val="en-US"/>
        </w:rPr>
        <w:t>4.07 (</w:t>
      </w:r>
      <w:r w:rsidRPr="0045101C">
        <w:rPr>
          <w:rFonts w:eastAsia="Calibri"/>
          <w:lang w:val="en-US"/>
        </w:rPr>
        <w:t>2.38</w:t>
      </w:r>
      <w:r>
        <w:rPr>
          <w:rFonts w:eastAsia="Calibri"/>
          <w:lang w:val="en-US"/>
        </w:rPr>
        <w:t>)</w:t>
      </w:r>
      <w:r w:rsidRPr="00D54786">
        <w:rPr>
          <w:rFonts w:eastAsia="Calibri"/>
          <w:lang w:val="en-US"/>
        </w:rPr>
        <w:t xml:space="preserve"> cm in the </w:t>
      </w:r>
      <w:proofErr w:type="spellStart"/>
      <w:r w:rsidRPr="00D54786">
        <w:rPr>
          <w:rFonts w:eastAsia="Calibri"/>
          <w:lang w:val="en-US"/>
        </w:rPr>
        <w:t>placebo→burosumab</w:t>
      </w:r>
      <w:proofErr w:type="spellEnd"/>
      <w:r w:rsidRPr="00D54786">
        <w:rPr>
          <w:rFonts w:eastAsia="Calibri"/>
          <w:lang w:val="en-US"/>
        </w:rPr>
        <w:t xml:space="preserve"> group. </w:t>
      </w:r>
    </w:p>
    <w:p w14:paraId="7681DA97" w14:textId="77777777" w:rsidR="00441733" w:rsidRDefault="00441733" w:rsidP="00441733">
      <w:pPr>
        <w:tabs>
          <w:tab w:val="clear" w:pos="567"/>
          <w:tab w:val="left" w:pos="720"/>
        </w:tabs>
        <w:spacing w:line="240" w:lineRule="auto"/>
      </w:pPr>
    </w:p>
    <w:p w14:paraId="6EABBE13" w14:textId="77777777" w:rsidR="00441733" w:rsidRDefault="00441733" w:rsidP="00441733">
      <w:pPr>
        <w:tabs>
          <w:tab w:val="clear" w:pos="567"/>
          <w:tab w:val="left" w:pos="720"/>
        </w:tabs>
        <w:spacing w:line="240" w:lineRule="auto"/>
      </w:pPr>
      <w:r>
        <w:t>For the exploratory endpoints of BPI Pain interference, BFI worst fatigue and BFI global fatigue score no meaningful difference were observed between treatment arms.</w:t>
      </w:r>
    </w:p>
    <w:p w14:paraId="39A3493C" w14:textId="77777777" w:rsidR="00441733" w:rsidRDefault="00441733" w:rsidP="009A12A5">
      <w:pPr>
        <w:shd w:val="clear" w:color="auto" w:fill="FFFFFF" w:themeFill="background1"/>
        <w:spacing w:line="240" w:lineRule="auto"/>
        <w:rPr>
          <w:i/>
          <w:color w:val="000000"/>
          <w:u w:val="single"/>
          <w:lang w:val="en-US"/>
        </w:rPr>
      </w:pPr>
    </w:p>
    <w:p w14:paraId="44077E0A" w14:textId="6F3E0719" w:rsidR="009A12A5" w:rsidRPr="00BF519D" w:rsidRDefault="009A12A5" w:rsidP="009A12A5">
      <w:pPr>
        <w:shd w:val="clear" w:color="auto" w:fill="FFFFFF" w:themeFill="background1"/>
        <w:spacing w:line="240" w:lineRule="auto"/>
        <w:rPr>
          <w:i/>
          <w:color w:val="000000"/>
          <w:u w:val="single"/>
          <w:lang w:val="en-US"/>
        </w:rPr>
      </w:pPr>
      <w:r w:rsidRPr="00BF519D">
        <w:rPr>
          <w:i/>
          <w:color w:val="000000"/>
          <w:u w:val="single"/>
          <w:lang w:val="en-US"/>
        </w:rPr>
        <w:t>Bone Histomorphometry in Adults</w:t>
      </w:r>
    </w:p>
    <w:p w14:paraId="6E7B1DAC" w14:textId="77777777" w:rsidR="009A12A5" w:rsidRDefault="009A12A5" w:rsidP="009A12A5">
      <w:pPr>
        <w:shd w:val="clear" w:color="auto" w:fill="FFFFFF" w:themeFill="background1"/>
        <w:spacing w:line="240" w:lineRule="auto"/>
        <w:rPr>
          <w:rFonts w:eastAsia="TimesNewRoman"/>
          <w:u w:val="single"/>
        </w:rPr>
      </w:pPr>
    </w:p>
    <w:p w14:paraId="042E39BD" w14:textId="77777777" w:rsidR="009A12A5" w:rsidRPr="00ED412E" w:rsidRDefault="009A12A5" w:rsidP="009A12A5">
      <w:pPr>
        <w:spacing w:line="240" w:lineRule="auto"/>
        <w:ind w:right="-2"/>
        <w:rPr>
          <w:i/>
          <w:szCs w:val="22"/>
          <w:u w:val="single"/>
        </w:rPr>
      </w:pPr>
      <w:r>
        <w:rPr>
          <w:i/>
          <w:u w:val="single"/>
        </w:rPr>
        <w:t>Study UX023-CL304</w:t>
      </w:r>
    </w:p>
    <w:p w14:paraId="7C69AAA6" w14:textId="77777777" w:rsidR="009A12A5" w:rsidRDefault="009A12A5" w:rsidP="009A12A5">
      <w:pPr>
        <w:autoSpaceDE w:val="0"/>
        <w:autoSpaceDN w:val="0"/>
        <w:adjustRightInd w:val="0"/>
        <w:spacing w:line="240" w:lineRule="auto"/>
      </w:pPr>
      <w:r>
        <w:t xml:space="preserve">Study UX023-CL304 is a 48-week, open-label, single-arm study in adult XLH patients to assess the effects of </w:t>
      </w:r>
      <w:proofErr w:type="spellStart"/>
      <w:r>
        <w:t>burosumab</w:t>
      </w:r>
      <w:proofErr w:type="spellEnd"/>
      <w:r>
        <w:t xml:space="preserve"> on improvement of </w:t>
      </w:r>
      <w:proofErr w:type="spellStart"/>
      <w:r>
        <w:t>osteomalacia</w:t>
      </w:r>
      <w:proofErr w:type="spellEnd"/>
      <w:r>
        <w:t xml:space="preserve"> as determined by histologic and </w:t>
      </w:r>
      <w:proofErr w:type="spellStart"/>
      <w:r>
        <w:t>histomorphometric</w:t>
      </w:r>
      <w:proofErr w:type="spellEnd"/>
      <w:r>
        <w:t xml:space="preserve"> evaluation of iliac crest bone biopsies. Patients received 1.0 mg/kg </w:t>
      </w:r>
      <w:proofErr w:type="spellStart"/>
      <w:r>
        <w:t>burosumab</w:t>
      </w:r>
      <w:proofErr w:type="spellEnd"/>
      <w:r>
        <w:t xml:space="preserve"> every 4 weeks. Oral phosphate and active vitamin D analogues were not allowed during the study.</w:t>
      </w:r>
    </w:p>
    <w:p w14:paraId="7CC49BD6" w14:textId="77777777" w:rsidR="009A12A5" w:rsidRDefault="009A12A5" w:rsidP="009A12A5">
      <w:pPr>
        <w:shd w:val="clear" w:color="auto" w:fill="FFFFFF" w:themeFill="background1"/>
        <w:spacing w:line="240" w:lineRule="auto"/>
        <w:rPr>
          <w:rFonts w:eastAsia="TimesNewRoman"/>
          <w:u w:val="single"/>
        </w:rPr>
      </w:pPr>
    </w:p>
    <w:p w14:paraId="1A3E7BE4" w14:textId="029754E7" w:rsidR="002F4072" w:rsidRDefault="009E28B5" w:rsidP="00153E15">
      <w:pPr>
        <w:numPr>
          <w:ilvl w:val="12"/>
          <w:numId w:val="0"/>
        </w:numPr>
        <w:spacing w:line="240" w:lineRule="auto"/>
        <w:ind w:right="-2"/>
        <w:rPr>
          <w:iCs/>
          <w:noProof/>
          <w:szCs w:val="22"/>
        </w:rPr>
      </w:pPr>
      <w:r>
        <w:lastRenderedPageBreak/>
        <w:t>14 patients were enrolled, and a</w:t>
      </w:r>
      <w:r w:rsidR="009A12A5">
        <w:t xml:space="preserve">t study entry, the mean age of patients was 40 years (range 25 to 52 years) and 43% were male. After 48 weeks of treatment in Study UX023-CL304 paired biopsies were available from 11 patients; healing of </w:t>
      </w:r>
      <w:proofErr w:type="spellStart"/>
      <w:r w:rsidR="009A12A5">
        <w:t>osteomalacia</w:t>
      </w:r>
      <w:proofErr w:type="spellEnd"/>
      <w:r w:rsidR="009A12A5">
        <w:t xml:space="preserve"> was observed in all ten evaluable patients as demonstrated by decreases in osteoid volume/bone volume (OV/BV) from a mean (SD) score of 26.1% (12.4) at baseline to </w:t>
      </w:r>
      <w:r w:rsidR="0059552C">
        <w:t>11.9</w:t>
      </w:r>
      <w:r w:rsidR="009A12A5" w:rsidRPr="00397106">
        <w:t>% (</w:t>
      </w:r>
      <w:r w:rsidR="0059552C">
        <w:t>6.6</w:t>
      </w:r>
      <w:r w:rsidR="009A12A5" w:rsidRPr="00397106">
        <w:t xml:space="preserve">), Osteoid thickness </w:t>
      </w:r>
      <w:r w:rsidR="00CE7E82">
        <w:t>(</w:t>
      </w:r>
      <w:proofErr w:type="spellStart"/>
      <w:r w:rsidR="009A12A5" w:rsidRPr="00397106">
        <w:t>O.Th</w:t>
      </w:r>
      <w:proofErr w:type="spellEnd"/>
      <w:r w:rsidR="009A12A5" w:rsidRPr="00397106">
        <w:t>) declined in 11 evaluable patients from a mean (SD) of 17</w:t>
      </w:r>
      <w:r w:rsidR="009A12A5" w:rsidRPr="000974D1">
        <w:t>.2 (4.1) micrometres to 11.6 (3.1) micrometres</w:t>
      </w:r>
      <w:r w:rsidR="003938D8">
        <w:t>.</w:t>
      </w:r>
      <w:r w:rsidR="009A12A5" w:rsidRPr="000974D1">
        <w:t xml:space="preserve"> </w:t>
      </w:r>
      <w:r w:rsidR="002F4072">
        <w:t xml:space="preserve"> </w:t>
      </w:r>
    </w:p>
    <w:p w14:paraId="7D0E808A" w14:textId="5F89E220" w:rsidR="00F95C50" w:rsidRDefault="002F4072" w:rsidP="002F4072">
      <w:pPr>
        <w:numPr>
          <w:ilvl w:val="12"/>
          <w:numId w:val="0"/>
        </w:numPr>
        <w:spacing w:line="240" w:lineRule="auto"/>
        <w:ind w:right="-2"/>
        <w:rPr>
          <w:iCs/>
          <w:noProof/>
          <w:szCs w:val="22"/>
        </w:rPr>
      </w:pPr>
      <w:r w:rsidDel="002F4072">
        <w:rPr>
          <w:rStyle w:val="CommentReference"/>
        </w:rPr>
        <w:t xml:space="preserve"> </w:t>
      </w:r>
    </w:p>
    <w:p w14:paraId="2DE1CFC4" w14:textId="77777777" w:rsidR="00775830" w:rsidRDefault="00775830" w:rsidP="002F4072">
      <w:pPr>
        <w:numPr>
          <w:ilvl w:val="12"/>
          <w:numId w:val="0"/>
        </w:numPr>
        <w:spacing w:line="240" w:lineRule="auto"/>
        <w:ind w:right="-2"/>
        <w:rPr>
          <w:b/>
          <w:noProof/>
          <w:szCs w:val="22"/>
        </w:rPr>
      </w:pPr>
    </w:p>
    <w:p w14:paraId="4AEC6C44" w14:textId="77777777" w:rsidR="00124AD4" w:rsidRPr="00C56B34" w:rsidRDefault="001D0951" w:rsidP="002F4072">
      <w:pPr>
        <w:numPr>
          <w:ilvl w:val="12"/>
          <w:numId w:val="0"/>
        </w:numPr>
        <w:spacing w:line="240" w:lineRule="auto"/>
        <w:ind w:right="-2"/>
        <w:rPr>
          <w:b/>
          <w:noProof/>
          <w:szCs w:val="22"/>
        </w:rPr>
      </w:pPr>
      <w:r w:rsidRPr="00C56B34">
        <w:rPr>
          <w:b/>
          <w:noProof/>
          <w:szCs w:val="22"/>
        </w:rPr>
        <w:t>5.2</w:t>
      </w:r>
      <w:r w:rsidRPr="00C56B34">
        <w:rPr>
          <w:b/>
          <w:noProof/>
          <w:szCs w:val="22"/>
        </w:rPr>
        <w:tab/>
        <w:t>Pharmacokinetic properties</w:t>
      </w:r>
    </w:p>
    <w:p w14:paraId="6B025347" w14:textId="77777777" w:rsidR="00124AD4" w:rsidRPr="00C56B34" w:rsidRDefault="00124AD4" w:rsidP="002F4072">
      <w:pPr>
        <w:keepNext/>
        <w:spacing w:line="240" w:lineRule="auto"/>
        <w:ind w:left="567" w:hanging="567"/>
        <w:outlineLvl w:val="0"/>
        <w:rPr>
          <w:b/>
          <w:noProof/>
          <w:szCs w:val="22"/>
        </w:rPr>
      </w:pPr>
    </w:p>
    <w:p w14:paraId="5341BE2F" w14:textId="77777777" w:rsidR="00124AD4" w:rsidRDefault="001D0951" w:rsidP="002F4072">
      <w:pPr>
        <w:spacing w:line="240" w:lineRule="auto"/>
        <w:ind w:right="-2"/>
        <w:rPr>
          <w:u w:val="single"/>
        </w:rPr>
      </w:pPr>
      <w:r w:rsidRPr="5F2EC82B">
        <w:rPr>
          <w:u w:val="single"/>
        </w:rPr>
        <w:t>Absorption</w:t>
      </w:r>
    </w:p>
    <w:p w14:paraId="1C29E06D" w14:textId="77777777" w:rsidR="00FF4AAE" w:rsidRPr="00BA4BF5" w:rsidRDefault="00FF4AAE" w:rsidP="002F4072">
      <w:pPr>
        <w:spacing w:line="240" w:lineRule="auto"/>
        <w:ind w:right="-2"/>
        <w:rPr>
          <w:u w:val="single"/>
        </w:rPr>
      </w:pPr>
    </w:p>
    <w:p w14:paraId="0D9376CA" w14:textId="130ECC55" w:rsidR="00124AD4" w:rsidRPr="00B96FD0" w:rsidRDefault="001D0951" w:rsidP="002F4072">
      <w:pPr>
        <w:spacing w:line="240" w:lineRule="auto"/>
        <w:ind w:right="-2"/>
        <w:rPr>
          <w:szCs w:val="22"/>
        </w:rPr>
      </w:pPr>
      <w:proofErr w:type="spellStart"/>
      <w:r w:rsidRPr="00595956">
        <w:t>Burosumab</w:t>
      </w:r>
      <w:proofErr w:type="spellEnd"/>
      <w:r w:rsidRPr="00595956">
        <w:t xml:space="preserve"> absorption from subcutaneous injection sites to blood circulation is nearly complete. Following </w:t>
      </w:r>
      <w:r>
        <w:t>subcutaneous</w:t>
      </w:r>
      <w:r w:rsidRPr="00595956">
        <w:t xml:space="preserve"> administration, the </w:t>
      </w:r>
      <w:r w:rsidR="009A12A5">
        <w:t xml:space="preserve">median </w:t>
      </w:r>
      <w:r w:rsidRPr="00595956">
        <w:t>time to reach maximum serum concentrations (</w:t>
      </w:r>
      <w:proofErr w:type="spellStart"/>
      <w:r w:rsidRPr="00595956">
        <w:t>T</w:t>
      </w:r>
      <w:r w:rsidRPr="00595956">
        <w:rPr>
          <w:vertAlign w:val="subscript"/>
        </w:rPr>
        <w:t>max</w:t>
      </w:r>
      <w:proofErr w:type="spellEnd"/>
      <w:r w:rsidRPr="00595956">
        <w:t xml:space="preserve">) of </w:t>
      </w:r>
      <w:proofErr w:type="spellStart"/>
      <w:r w:rsidRPr="00595956">
        <w:t>burosumab</w:t>
      </w:r>
      <w:proofErr w:type="spellEnd"/>
      <w:r w:rsidRPr="00595956">
        <w:t xml:space="preserve"> is approximately </w:t>
      </w:r>
      <w:r w:rsidR="009A12A5">
        <w:t xml:space="preserve">7-13 </w:t>
      </w:r>
      <w:r w:rsidRPr="00595956">
        <w:t>days. The peak serum concentration (</w:t>
      </w:r>
      <w:proofErr w:type="spellStart"/>
      <w:r w:rsidRPr="00595956">
        <w:t>C</w:t>
      </w:r>
      <w:r w:rsidRPr="00595956">
        <w:rPr>
          <w:vertAlign w:val="subscript"/>
        </w:rPr>
        <w:t>max</w:t>
      </w:r>
      <w:proofErr w:type="spellEnd"/>
      <w:r w:rsidRPr="00595956">
        <w:t xml:space="preserve">) and area under the concentration-time curve (AUC) of serum </w:t>
      </w:r>
      <w:proofErr w:type="spellStart"/>
      <w:r w:rsidRPr="00595956">
        <w:t>burosumab</w:t>
      </w:r>
      <w:proofErr w:type="spellEnd"/>
      <w:r w:rsidRPr="00595956">
        <w:t xml:space="preserve"> is dose proportional over the dose range of 0.1</w:t>
      </w:r>
      <w:r w:rsidRPr="00202777">
        <w:noBreakHyphen/>
      </w:r>
      <w:r w:rsidRPr="00595956">
        <w:t>2.0 mg/kg.</w:t>
      </w:r>
    </w:p>
    <w:p w14:paraId="6D40D7E8" w14:textId="77777777" w:rsidR="00124AD4" w:rsidRPr="00C56B34" w:rsidRDefault="00124AD4">
      <w:pPr>
        <w:numPr>
          <w:ilvl w:val="12"/>
          <w:numId w:val="0"/>
        </w:numPr>
        <w:spacing w:line="240" w:lineRule="auto"/>
        <w:ind w:right="-2"/>
        <w:rPr>
          <w:szCs w:val="22"/>
          <w:u w:val="single"/>
        </w:rPr>
      </w:pPr>
    </w:p>
    <w:p w14:paraId="6BA7C5C8" w14:textId="77777777" w:rsidR="00124AD4" w:rsidRDefault="001D0951" w:rsidP="50BD9E82">
      <w:pPr>
        <w:keepNext/>
        <w:keepLines/>
        <w:spacing w:line="240" w:lineRule="auto"/>
        <w:rPr>
          <w:u w:val="single"/>
        </w:rPr>
      </w:pPr>
      <w:r w:rsidRPr="5F2EC82B">
        <w:rPr>
          <w:u w:val="single"/>
        </w:rPr>
        <w:t>Distribution</w:t>
      </w:r>
    </w:p>
    <w:p w14:paraId="1E5B7614" w14:textId="77777777" w:rsidR="00FF4AAE" w:rsidRPr="00662578" w:rsidRDefault="00FF4AAE" w:rsidP="50BD9E82">
      <w:pPr>
        <w:keepNext/>
        <w:keepLines/>
        <w:spacing w:line="240" w:lineRule="auto"/>
        <w:rPr>
          <w:szCs w:val="22"/>
        </w:rPr>
      </w:pPr>
    </w:p>
    <w:p w14:paraId="35CDB0D0" w14:textId="77777777" w:rsidR="00124AD4" w:rsidRPr="00C56B34" w:rsidRDefault="001D0951" w:rsidP="50BD9E82">
      <w:pPr>
        <w:keepNext/>
        <w:keepLines/>
        <w:spacing w:line="240" w:lineRule="auto"/>
        <w:rPr>
          <w:szCs w:val="22"/>
        </w:rPr>
      </w:pPr>
      <w:r w:rsidRPr="07120F5B">
        <w:rPr>
          <w:rFonts w:eastAsia="TimesNewRoman"/>
          <w:lang w:val="en-US"/>
        </w:rPr>
        <w:t xml:space="preserve">In XLH patients, the </w:t>
      </w:r>
      <w:r>
        <w:t xml:space="preserve">observed volume of distribution of </w:t>
      </w:r>
      <w:proofErr w:type="spellStart"/>
      <w:r>
        <w:t>burosumab</w:t>
      </w:r>
      <w:proofErr w:type="spellEnd"/>
      <w:r>
        <w:t xml:space="preserve"> approximates the volume of plasma</w:t>
      </w:r>
      <w:r w:rsidRPr="07120F5B">
        <w:rPr>
          <w:rFonts w:eastAsia="TimesNewRoman"/>
          <w:lang w:val="en-US"/>
        </w:rPr>
        <w:t>, suggesting limited extravascular distribution.</w:t>
      </w:r>
    </w:p>
    <w:p w14:paraId="2F04E358" w14:textId="77777777" w:rsidR="00124AD4" w:rsidRPr="00C56B34" w:rsidRDefault="00124AD4">
      <w:pPr>
        <w:spacing w:line="240" w:lineRule="auto"/>
        <w:ind w:right="-2"/>
        <w:rPr>
          <w:szCs w:val="22"/>
          <w:u w:val="single"/>
        </w:rPr>
      </w:pPr>
    </w:p>
    <w:p w14:paraId="69928141" w14:textId="77777777" w:rsidR="00124AD4" w:rsidRDefault="001D0951" w:rsidP="50BD9E82">
      <w:pPr>
        <w:keepNext/>
        <w:spacing w:line="240" w:lineRule="auto"/>
        <w:rPr>
          <w:u w:val="single"/>
        </w:rPr>
      </w:pPr>
      <w:r w:rsidRPr="5F2EC82B">
        <w:rPr>
          <w:u w:val="single"/>
        </w:rPr>
        <w:t>Biotransformation</w:t>
      </w:r>
    </w:p>
    <w:p w14:paraId="34759619" w14:textId="77777777" w:rsidR="00FF4AAE" w:rsidRPr="00662578" w:rsidRDefault="00FF4AAE" w:rsidP="50BD9E82">
      <w:pPr>
        <w:keepNext/>
        <w:spacing w:line="240" w:lineRule="auto"/>
        <w:rPr>
          <w:szCs w:val="22"/>
        </w:rPr>
      </w:pPr>
    </w:p>
    <w:p w14:paraId="1E0BFDBF" w14:textId="77777777" w:rsidR="00124AD4" w:rsidRPr="00C56B34" w:rsidRDefault="001D0951" w:rsidP="50BD9E82">
      <w:pPr>
        <w:spacing w:line="240" w:lineRule="auto"/>
        <w:ind w:right="-2"/>
        <w:rPr>
          <w:szCs w:val="22"/>
        </w:rPr>
      </w:pPr>
      <w:proofErr w:type="spellStart"/>
      <w:r>
        <w:t>Burosumab</w:t>
      </w:r>
      <w:proofErr w:type="spellEnd"/>
      <w:r>
        <w:t xml:space="preserve"> is composed solely of amino acids and carbohydrates as a native immunoglobulin and is unlikely to be eliminated via hepatic metabolic mechanisms. Its metabolism and elimination are expected to follow the immunoglobulin clearance pathways, resulting in degradation to small peptides and individual amino acids. </w:t>
      </w:r>
    </w:p>
    <w:p w14:paraId="4D1258DC" w14:textId="77777777" w:rsidR="00124AD4" w:rsidRPr="00C56B34" w:rsidRDefault="00124AD4">
      <w:pPr>
        <w:numPr>
          <w:ilvl w:val="12"/>
          <w:numId w:val="0"/>
        </w:numPr>
        <w:tabs>
          <w:tab w:val="clear" w:pos="567"/>
          <w:tab w:val="left" w:pos="1352"/>
        </w:tabs>
        <w:spacing w:line="240" w:lineRule="auto"/>
        <w:ind w:right="-2"/>
        <w:rPr>
          <w:szCs w:val="22"/>
          <w:u w:val="single"/>
        </w:rPr>
      </w:pPr>
    </w:p>
    <w:p w14:paraId="53E7CCE8" w14:textId="77777777" w:rsidR="00124AD4" w:rsidRPr="00662578" w:rsidRDefault="001D0951" w:rsidP="50BD9E82">
      <w:pPr>
        <w:keepNext/>
        <w:keepLines/>
        <w:spacing w:line="240" w:lineRule="auto"/>
        <w:ind w:right="-2"/>
        <w:rPr>
          <w:szCs w:val="22"/>
        </w:rPr>
      </w:pPr>
      <w:r w:rsidRPr="5F2EC82B">
        <w:rPr>
          <w:u w:val="single"/>
        </w:rPr>
        <w:t>Elimination</w:t>
      </w:r>
    </w:p>
    <w:p w14:paraId="7EACCA14" w14:textId="77777777" w:rsidR="00FF4AAE" w:rsidRDefault="00FF4AAE" w:rsidP="50BD9E82">
      <w:pPr>
        <w:keepNext/>
        <w:keepLines/>
        <w:spacing w:line="240" w:lineRule="auto"/>
      </w:pPr>
    </w:p>
    <w:p w14:paraId="45D14D63" w14:textId="53819B91" w:rsidR="00124AD4" w:rsidRDefault="001D0951" w:rsidP="00F26A73">
      <w:pPr>
        <w:keepNext/>
        <w:keepLines/>
        <w:spacing w:line="240" w:lineRule="auto"/>
        <w:rPr>
          <w:szCs w:val="22"/>
        </w:rPr>
      </w:pPr>
      <w:r>
        <w:t xml:space="preserve">Due to its molecular size, </w:t>
      </w:r>
      <w:proofErr w:type="spellStart"/>
      <w:r>
        <w:t>burosumab</w:t>
      </w:r>
      <w:proofErr w:type="spellEnd"/>
      <w:r>
        <w:t xml:space="preserve"> is not expected to be directly excreted. The clearance of </w:t>
      </w:r>
      <w:proofErr w:type="spellStart"/>
      <w:r>
        <w:t>burosumab</w:t>
      </w:r>
      <w:proofErr w:type="spellEnd"/>
      <w:r>
        <w:t xml:space="preserve"> is dependent on body weight and estimated to be 0.290 L/day and 0.136 L/day in a typical adult (70 kg) and paediatric (30 kg) XLH patient, respectively, with corresponding disposition half-life (t</w:t>
      </w:r>
      <w:r w:rsidRPr="00C14FEF">
        <w:rPr>
          <w:vertAlign w:val="subscript"/>
        </w:rPr>
        <w:t>1/2</w:t>
      </w:r>
      <w:r>
        <w:t>) in the serum</w:t>
      </w:r>
      <w:r w:rsidR="009A12A5" w:rsidRPr="009A12A5">
        <w:t xml:space="preserve"> </w:t>
      </w:r>
      <w:r w:rsidR="009A12A5">
        <w:t>ranging from approximately 16 to 19 days. Given the t</w:t>
      </w:r>
      <w:r w:rsidR="009A12A5" w:rsidRPr="00C14FEF">
        <w:rPr>
          <w:vertAlign w:val="subscript"/>
        </w:rPr>
        <w:t xml:space="preserve">1/2 </w:t>
      </w:r>
      <w:r w:rsidR="009A12A5">
        <w:t xml:space="preserve">estimates, the estimated time to reach the plateau of steady-state exposures is approximately 67 days. </w:t>
      </w:r>
      <w:r w:rsidR="009A12A5" w:rsidRPr="00D94403">
        <w:rPr>
          <w:lang w:val="en-US"/>
        </w:rPr>
        <w:t xml:space="preserve"> </w:t>
      </w:r>
      <w:r w:rsidR="00F26A73" w:rsidRPr="00123F7A">
        <w:rPr>
          <w:lang w:val="en-US"/>
        </w:rPr>
        <w:t xml:space="preserve">Following multiple dose administration to </w:t>
      </w:r>
      <w:proofErr w:type="spellStart"/>
      <w:r w:rsidR="00F26A73" w:rsidRPr="00123F7A">
        <w:rPr>
          <w:lang w:val="en-US"/>
        </w:rPr>
        <w:t>paediatric</w:t>
      </w:r>
      <w:proofErr w:type="spellEnd"/>
      <w:r w:rsidR="00F26A73" w:rsidRPr="00123F7A">
        <w:rPr>
          <w:lang w:val="en-US"/>
        </w:rPr>
        <w:t xml:space="preserve"> subjects, observed serum trough concentrations reach a plateau by 8 weeks after initiation of treatment.</w:t>
      </w:r>
      <w:r w:rsidR="00F26A73">
        <w:rPr>
          <w:rStyle w:val="CommentReference"/>
        </w:rPr>
        <w:t xml:space="preserve"> </w:t>
      </w:r>
    </w:p>
    <w:p w14:paraId="0992AD01" w14:textId="77777777" w:rsidR="00124AD4" w:rsidRPr="00C56B34" w:rsidRDefault="00124AD4" w:rsidP="00F26A73">
      <w:pPr>
        <w:numPr>
          <w:ilvl w:val="12"/>
          <w:numId w:val="0"/>
        </w:numPr>
        <w:spacing w:line="240" w:lineRule="auto"/>
        <w:ind w:right="-2"/>
        <w:rPr>
          <w:szCs w:val="22"/>
        </w:rPr>
      </w:pPr>
    </w:p>
    <w:p w14:paraId="5B03B144" w14:textId="77777777" w:rsidR="00124AD4" w:rsidRPr="00C56B34" w:rsidRDefault="001D0951" w:rsidP="00F26A73">
      <w:pPr>
        <w:keepNext/>
        <w:spacing w:line="240" w:lineRule="auto"/>
        <w:rPr>
          <w:szCs w:val="22"/>
        </w:rPr>
      </w:pPr>
      <w:r w:rsidRPr="5F2EC82B">
        <w:rPr>
          <w:u w:val="single"/>
        </w:rPr>
        <w:t>Linearity/non-linearity</w:t>
      </w:r>
    </w:p>
    <w:p w14:paraId="37B4567E" w14:textId="77777777" w:rsidR="00FF4AAE" w:rsidRDefault="00FF4AAE" w:rsidP="00F26A73">
      <w:pPr>
        <w:spacing w:line="240" w:lineRule="auto"/>
        <w:ind w:right="-2"/>
      </w:pPr>
    </w:p>
    <w:p w14:paraId="1C6702FB" w14:textId="77777777" w:rsidR="00124AD4" w:rsidRPr="00C56B34" w:rsidRDefault="001D0951" w:rsidP="00F26A73">
      <w:pPr>
        <w:spacing w:line="240" w:lineRule="auto"/>
        <w:ind w:right="-2"/>
        <w:rPr>
          <w:szCs w:val="22"/>
        </w:rPr>
      </w:pPr>
      <w:proofErr w:type="spellStart"/>
      <w:r>
        <w:t>Burosumab</w:t>
      </w:r>
      <w:proofErr w:type="spellEnd"/>
      <w:r>
        <w:t xml:space="preserve"> displays time-invariant pharmacokinetics that is linear to dose over the subcutaneous dose range of 0.1 to 2.0 mg/kg.</w:t>
      </w:r>
    </w:p>
    <w:p w14:paraId="36EA1D8B" w14:textId="77777777" w:rsidR="00124AD4" w:rsidRPr="00C56B34" w:rsidRDefault="00124AD4" w:rsidP="00F26A73">
      <w:pPr>
        <w:numPr>
          <w:ilvl w:val="12"/>
          <w:numId w:val="0"/>
        </w:numPr>
        <w:spacing w:line="240" w:lineRule="auto"/>
        <w:ind w:right="-2"/>
        <w:rPr>
          <w:szCs w:val="22"/>
        </w:rPr>
      </w:pPr>
    </w:p>
    <w:p w14:paraId="4E7C267A" w14:textId="77777777" w:rsidR="00124AD4" w:rsidRPr="00BA4BF5" w:rsidRDefault="001D0951" w:rsidP="000D4495">
      <w:pPr>
        <w:keepNext/>
        <w:spacing w:line="240" w:lineRule="auto"/>
        <w:rPr>
          <w:u w:val="single"/>
        </w:rPr>
      </w:pPr>
      <w:r w:rsidRPr="5F2EC82B">
        <w:rPr>
          <w:u w:val="single"/>
        </w:rPr>
        <w:t>Pharmacokinetic/pharmacodynamic relationship(s)</w:t>
      </w:r>
    </w:p>
    <w:p w14:paraId="0BDCED04" w14:textId="77777777" w:rsidR="00FF4AAE" w:rsidRDefault="00FF4AAE" w:rsidP="000D4495">
      <w:pPr>
        <w:keepNext/>
        <w:spacing w:line="240" w:lineRule="auto"/>
      </w:pPr>
    </w:p>
    <w:p w14:paraId="357D6C00" w14:textId="77777777" w:rsidR="00124AD4" w:rsidRPr="00B96FD0" w:rsidRDefault="001D0951" w:rsidP="50BD9E82">
      <w:pPr>
        <w:spacing w:line="240" w:lineRule="auto"/>
        <w:rPr>
          <w:szCs w:val="22"/>
        </w:rPr>
      </w:pPr>
      <w:r>
        <w:t xml:space="preserve">With the subcutaneous route of administration, a direct PK-PD relationship between serum </w:t>
      </w:r>
      <w:proofErr w:type="spellStart"/>
      <w:r>
        <w:t>burosumab</w:t>
      </w:r>
      <w:proofErr w:type="spellEnd"/>
      <w:r>
        <w:t xml:space="preserve"> concentrations and increases in serum phosphate concentration is observed and well described by an </w:t>
      </w:r>
      <w:proofErr w:type="spellStart"/>
      <w:r>
        <w:t>E</w:t>
      </w:r>
      <w:r w:rsidRPr="07120F5B">
        <w:rPr>
          <w:vertAlign w:val="subscript"/>
        </w:rPr>
        <w:t>max</w:t>
      </w:r>
      <w:proofErr w:type="spellEnd"/>
      <w:r>
        <w:t>/EC</w:t>
      </w:r>
      <w:r w:rsidRPr="07120F5B">
        <w:rPr>
          <w:vertAlign w:val="subscript"/>
        </w:rPr>
        <w:t>50</w:t>
      </w:r>
      <w:r>
        <w:t xml:space="preserve"> model. Serum </w:t>
      </w:r>
      <w:proofErr w:type="spellStart"/>
      <w:r>
        <w:t>burosumab</w:t>
      </w:r>
      <w:proofErr w:type="spellEnd"/>
      <w:r>
        <w:t xml:space="preserve"> and phosphate concentrations, as well as </w:t>
      </w:r>
      <w:proofErr w:type="spellStart"/>
      <w:r>
        <w:t>TmP</w:t>
      </w:r>
      <w:proofErr w:type="spellEnd"/>
      <w:r>
        <w:t xml:space="preserve">/GFR, increased and decreased in parallel and reached maximum levels at approximately the same time point after each dose, supporting a direct PK-PD relationship. The AUC for the change from baseline in serum phosphate, </w:t>
      </w:r>
      <w:proofErr w:type="spellStart"/>
      <w:r>
        <w:t>TmP</w:t>
      </w:r>
      <w:proofErr w:type="spellEnd"/>
      <w:r>
        <w:t>/GFR and 1,25(OH)</w:t>
      </w:r>
      <w:r w:rsidRPr="07120F5B">
        <w:rPr>
          <w:vertAlign w:val="subscript"/>
        </w:rPr>
        <w:t>2</w:t>
      </w:r>
      <w:r>
        <w:t xml:space="preserve">D increased linearly with increasing </w:t>
      </w:r>
      <w:proofErr w:type="spellStart"/>
      <w:r>
        <w:t>burosumab</w:t>
      </w:r>
      <w:proofErr w:type="spellEnd"/>
      <w:r>
        <w:t xml:space="preserve"> AUC.</w:t>
      </w:r>
    </w:p>
    <w:p w14:paraId="27A502A9" w14:textId="77777777" w:rsidR="00124AD4" w:rsidRPr="00B96FD0" w:rsidRDefault="00124AD4">
      <w:pPr>
        <w:spacing w:line="240" w:lineRule="auto"/>
        <w:rPr>
          <w:szCs w:val="22"/>
        </w:rPr>
      </w:pPr>
    </w:p>
    <w:p w14:paraId="0063CBE4" w14:textId="77777777" w:rsidR="00124AD4" w:rsidRPr="00B96FD0" w:rsidRDefault="001D0951" w:rsidP="00BC09C2">
      <w:pPr>
        <w:keepNext/>
        <w:spacing w:line="240" w:lineRule="auto"/>
        <w:rPr>
          <w:szCs w:val="22"/>
        </w:rPr>
      </w:pPr>
      <w:r w:rsidRPr="5F2EC82B">
        <w:rPr>
          <w:u w:val="single"/>
        </w:rPr>
        <w:lastRenderedPageBreak/>
        <w:t>Paediatric PK/PD</w:t>
      </w:r>
    </w:p>
    <w:p w14:paraId="0F9189AD" w14:textId="77777777" w:rsidR="00FF4AAE" w:rsidRDefault="00FF4AAE" w:rsidP="00BC09C2">
      <w:pPr>
        <w:keepNext/>
        <w:spacing w:line="240" w:lineRule="auto"/>
      </w:pPr>
    </w:p>
    <w:p w14:paraId="5D5B6CE4" w14:textId="77777777" w:rsidR="009A12A5" w:rsidRDefault="001D0951" w:rsidP="50BD9E82">
      <w:pPr>
        <w:spacing w:line="240" w:lineRule="auto"/>
      </w:pPr>
      <w:r>
        <w:t xml:space="preserve">No significant difference has been observed in paediatric patient pharmacokinetics or pharmacodynamics as compared with PK/PD in the adult population. </w:t>
      </w:r>
      <w:proofErr w:type="spellStart"/>
      <w:r>
        <w:t>Burosumab</w:t>
      </w:r>
      <w:proofErr w:type="spellEnd"/>
      <w:r>
        <w:t xml:space="preserve"> clearance and volume of distribution are body weight dependent.</w:t>
      </w:r>
    </w:p>
    <w:p w14:paraId="176D5422" w14:textId="77777777" w:rsidR="009A12A5" w:rsidRDefault="009A12A5" w:rsidP="009A12A5">
      <w:pPr>
        <w:spacing w:line="240" w:lineRule="auto"/>
        <w:rPr>
          <w:szCs w:val="22"/>
        </w:rPr>
      </w:pPr>
    </w:p>
    <w:p w14:paraId="58415838" w14:textId="77777777" w:rsidR="009A12A5" w:rsidRDefault="009A12A5" w:rsidP="00123F7A">
      <w:pPr>
        <w:keepNext/>
        <w:keepLines/>
        <w:spacing w:line="240" w:lineRule="auto"/>
        <w:rPr>
          <w:szCs w:val="22"/>
          <w:u w:val="single"/>
        </w:rPr>
      </w:pPr>
      <w:r w:rsidRPr="00CF5938">
        <w:rPr>
          <w:szCs w:val="22"/>
          <w:u w:val="single"/>
        </w:rPr>
        <w:t>Special Populations</w:t>
      </w:r>
    </w:p>
    <w:p w14:paraId="5DE23B34" w14:textId="77777777" w:rsidR="009A12A5" w:rsidRPr="00CF5938" w:rsidRDefault="009A12A5" w:rsidP="00123F7A">
      <w:pPr>
        <w:keepNext/>
        <w:keepLines/>
        <w:spacing w:line="240" w:lineRule="auto"/>
        <w:rPr>
          <w:szCs w:val="22"/>
          <w:u w:val="single"/>
        </w:rPr>
      </w:pPr>
    </w:p>
    <w:p w14:paraId="4B061215" w14:textId="77777777" w:rsidR="009A12A5" w:rsidRDefault="009A12A5" w:rsidP="00123F7A">
      <w:pPr>
        <w:keepNext/>
        <w:keepLines/>
        <w:spacing w:line="240" w:lineRule="auto"/>
        <w:rPr>
          <w:lang w:eastAsia="ja-JP"/>
        </w:rPr>
      </w:pPr>
      <w:r>
        <w:rPr>
          <w:szCs w:val="22"/>
        </w:rPr>
        <w:t xml:space="preserve">Population PK analyses using data from paediatric and adult subjects who have XLH indicated that </w:t>
      </w:r>
      <w:r>
        <w:t xml:space="preserve">age, sex, race, ethnicity, baseline serum albumin, baseline serum alkaline phosphate, baseline serum alanine aminotransferase, </w:t>
      </w:r>
      <w:r>
        <w:rPr>
          <w:lang w:eastAsia="ja-JP"/>
        </w:rPr>
        <w:t xml:space="preserve">and baseline creatinine clearance ≥ 49.9 mL/min, were not significant predictors of </w:t>
      </w:r>
      <w:proofErr w:type="spellStart"/>
      <w:r>
        <w:rPr>
          <w:lang w:eastAsia="ja-JP"/>
        </w:rPr>
        <w:t>burosumab</w:t>
      </w:r>
      <w:proofErr w:type="spellEnd"/>
      <w:r>
        <w:rPr>
          <w:lang w:eastAsia="ja-JP"/>
        </w:rPr>
        <w:t xml:space="preserve"> PK.</w:t>
      </w:r>
    </w:p>
    <w:p w14:paraId="42F08173" w14:textId="77777777" w:rsidR="009A12A5" w:rsidRPr="00CF2B7C" w:rsidRDefault="009A12A5" w:rsidP="50BD9E82">
      <w:pPr>
        <w:spacing w:line="240" w:lineRule="auto"/>
        <w:rPr>
          <w:u w:val="single"/>
          <w:lang w:eastAsia="ja-JP"/>
        </w:rPr>
      </w:pPr>
    </w:p>
    <w:p w14:paraId="41DAB47E" w14:textId="29E6D4A6" w:rsidR="00CF2B7C" w:rsidRPr="00CF2B7C" w:rsidRDefault="00D648AD" w:rsidP="00CF2B7C">
      <w:pPr>
        <w:spacing w:line="240" w:lineRule="auto"/>
        <w:rPr>
          <w:szCs w:val="22"/>
          <w:u w:val="single"/>
        </w:rPr>
      </w:pPr>
      <w:r>
        <w:rPr>
          <w:szCs w:val="22"/>
          <w:u w:val="single"/>
        </w:rPr>
        <w:t>Post</w:t>
      </w:r>
      <w:r w:rsidR="00123F7A">
        <w:rPr>
          <w:szCs w:val="22"/>
          <w:u w:val="single"/>
        </w:rPr>
        <w:t>-</w:t>
      </w:r>
      <w:r>
        <w:rPr>
          <w:szCs w:val="22"/>
          <w:u w:val="single"/>
        </w:rPr>
        <w:t xml:space="preserve">Prandial </w:t>
      </w:r>
      <w:r w:rsidR="00CF2B7C" w:rsidRPr="00CF2B7C">
        <w:rPr>
          <w:szCs w:val="22"/>
          <w:u w:val="single"/>
        </w:rPr>
        <w:t xml:space="preserve">Effect on Serum Phosphate and Calcium </w:t>
      </w:r>
    </w:p>
    <w:p w14:paraId="10C3E444" w14:textId="77777777" w:rsidR="00CF2B7C" w:rsidRDefault="00CF2B7C" w:rsidP="00CF2B7C">
      <w:pPr>
        <w:spacing w:line="240" w:lineRule="auto"/>
        <w:rPr>
          <w:szCs w:val="22"/>
        </w:rPr>
      </w:pPr>
    </w:p>
    <w:p w14:paraId="7E4B1B0A" w14:textId="7CBDAE2E" w:rsidR="00CF2B7C" w:rsidRDefault="00CF2B7C" w:rsidP="00CF2B7C">
      <w:pPr>
        <w:spacing w:line="240" w:lineRule="auto"/>
        <w:rPr>
          <w:szCs w:val="22"/>
        </w:rPr>
      </w:pPr>
      <w:r w:rsidRPr="00CF2B7C">
        <w:rPr>
          <w:szCs w:val="22"/>
        </w:rPr>
        <w:t xml:space="preserve">The effect of </w:t>
      </w:r>
      <w:proofErr w:type="spellStart"/>
      <w:r w:rsidRPr="00CF2B7C">
        <w:rPr>
          <w:szCs w:val="22"/>
        </w:rPr>
        <w:t>burosumab</w:t>
      </w:r>
      <w:proofErr w:type="spellEnd"/>
      <w:r w:rsidRPr="00CF2B7C">
        <w:rPr>
          <w:szCs w:val="22"/>
        </w:rPr>
        <w:t xml:space="preserve"> on serum phosphate </w:t>
      </w:r>
      <w:r w:rsidR="00D32785">
        <w:rPr>
          <w:szCs w:val="22"/>
        </w:rPr>
        <w:t xml:space="preserve">and calcium </w:t>
      </w:r>
      <w:r w:rsidRPr="00CF2B7C">
        <w:rPr>
          <w:szCs w:val="22"/>
        </w:rPr>
        <w:t xml:space="preserve">levels after </w:t>
      </w:r>
      <w:r w:rsidR="00D648AD">
        <w:rPr>
          <w:szCs w:val="22"/>
        </w:rPr>
        <w:t>food</w:t>
      </w:r>
      <w:r w:rsidRPr="00CF2B7C">
        <w:rPr>
          <w:szCs w:val="22"/>
        </w:rPr>
        <w:t xml:space="preserve"> was investigated in two sub</w:t>
      </w:r>
      <w:r w:rsidR="00D648AD">
        <w:rPr>
          <w:szCs w:val="22"/>
        </w:rPr>
        <w:t>-</w:t>
      </w:r>
      <w:r w:rsidRPr="00CF2B7C">
        <w:rPr>
          <w:szCs w:val="22"/>
        </w:rPr>
        <w:t>studies (</w:t>
      </w:r>
      <w:r>
        <w:rPr>
          <w:szCs w:val="22"/>
        </w:rPr>
        <w:t>S</w:t>
      </w:r>
      <w:r w:rsidRPr="00CF2B7C">
        <w:rPr>
          <w:szCs w:val="22"/>
        </w:rPr>
        <w:t xml:space="preserve">tudy UX023-CL301 and UX023-CL303); 13 paediatric </w:t>
      </w:r>
      <w:r w:rsidR="00D428DE">
        <w:rPr>
          <w:szCs w:val="22"/>
        </w:rPr>
        <w:t xml:space="preserve">patients </w:t>
      </w:r>
      <w:r w:rsidRPr="00CF2B7C">
        <w:rPr>
          <w:szCs w:val="22"/>
        </w:rPr>
        <w:t>(aged &gt;3</w:t>
      </w:r>
      <w:r w:rsidR="00123F7A">
        <w:rPr>
          <w:szCs w:val="22"/>
        </w:rPr>
        <w:t> </w:t>
      </w:r>
      <w:r w:rsidRPr="00CF2B7C">
        <w:rPr>
          <w:szCs w:val="22"/>
        </w:rPr>
        <w:t>y</w:t>
      </w:r>
      <w:r>
        <w:rPr>
          <w:szCs w:val="22"/>
        </w:rPr>
        <w:t>ea</w:t>
      </w:r>
      <w:r w:rsidRPr="00CF2B7C">
        <w:rPr>
          <w:szCs w:val="22"/>
        </w:rPr>
        <w:t xml:space="preserve">rs) and 26 adult </w:t>
      </w:r>
      <w:r w:rsidR="00D428DE">
        <w:rPr>
          <w:szCs w:val="22"/>
        </w:rPr>
        <w:t xml:space="preserve">patients </w:t>
      </w:r>
      <w:r w:rsidRPr="00CF2B7C">
        <w:rPr>
          <w:szCs w:val="22"/>
        </w:rPr>
        <w:t>(aged 24-65</w:t>
      </w:r>
      <w:r>
        <w:rPr>
          <w:szCs w:val="22"/>
        </w:rPr>
        <w:t xml:space="preserve"> </w:t>
      </w:r>
      <w:r w:rsidRPr="00CF2B7C">
        <w:rPr>
          <w:szCs w:val="22"/>
        </w:rPr>
        <w:t>y</w:t>
      </w:r>
      <w:r>
        <w:rPr>
          <w:szCs w:val="22"/>
        </w:rPr>
        <w:t>ea</w:t>
      </w:r>
      <w:r w:rsidRPr="00CF2B7C">
        <w:rPr>
          <w:szCs w:val="22"/>
        </w:rPr>
        <w:t>rs). Serum phosphate and calcium w</w:t>
      </w:r>
      <w:r w:rsidR="00123F7A">
        <w:rPr>
          <w:szCs w:val="22"/>
        </w:rPr>
        <w:t>ere</w:t>
      </w:r>
      <w:r w:rsidRPr="00CF2B7C">
        <w:rPr>
          <w:szCs w:val="22"/>
        </w:rPr>
        <w:t xml:space="preserve"> measured at </w:t>
      </w:r>
      <w:r w:rsidR="00D648AD">
        <w:rPr>
          <w:szCs w:val="22"/>
        </w:rPr>
        <w:t>t</w:t>
      </w:r>
      <w:r w:rsidRPr="00CF2B7C">
        <w:rPr>
          <w:szCs w:val="22"/>
        </w:rPr>
        <w:t xml:space="preserve">he end of </w:t>
      </w:r>
      <w:r w:rsidR="00D428DE">
        <w:rPr>
          <w:szCs w:val="22"/>
        </w:rPr>
        <w:t xml:space="preserve">the </w:t>
      </w:r>
      <w:r w:rsidRPr="00CF2B7C">
        <w:rPr>
          <w:szCs w:val="22"/>
        </w:rPr>
        <w:t xml:space="preserve">treatment interval in </w:t>
      </w:r>
      <w:r w:rsidR="00D428DE">
        <w:rPr>
          <w:szCs w:val="22"/>
        </w:rPr>
        <w:t>paediatric patients</w:t>
      </w:r>
      <w:r w:rsidRPr="00CF2B7C">
        <w:rPr>
          <w:szCs w:val="22"/>
        </w:rPr>
        <w:t xml:space="preserve"> and mid-interval in adults.  Blood samples were taken after a period of fasting, and again 1-2 hours after a standardised meal.</w:t>
      </w:r>
    </w:p>
    <w:p w14:paraId="1EAF9A1A" w14:textId="77777777" w:rsidR="00123F7A" w:rsidRPr="00CF2B7C" w:rsidRDefault="00123F7A" w:rsidP="00CF2B7C">
      <w:pPr>
        <w:spacing w:line="240" w:lineRule="auto"/>
        <w:rPr>
          <w:szCs w:val="22"/>
        </w:rPr>
      </w:pPr>
    </w:p>
    <w:p w14:paraId="22594399" w14:textId="3DA80C17" w:rsidR="00CF2B7C" w:rsidRPr="00CF2B7C" w:rsidRDefault="00CF2B7C" w:rsidP="00D428DE">
      <w:pPr>
        <w:pStyle w:val="Paragraph"/>
        <w:spacing w:before="0" w:after="0" w:line="240" w:lineRule="auto"/>
        <w:rPr>
          <w:rFonts w:eastAsia="Times New Roman"/>
          <w:sz w:val="22"/>
          <w:szCs w:val="22"/>
          <w:lang w:val="en-GB" w:eastAsia="en-US"/>
        </w:rPr>
      </w:pPr>
      <w:proofErr w:type="spellStart"/>
      <w:r w:rsidRPr="00CF2B7C">
        <w:rPr>
          <w:rFonts w:eastAsia="Times New Roman"/>
          <w:sz w:val="22"/>
          <w:szCs w:val="22"/>
          <w:lang w:val="en-GB" w:eastAsia="en-US"/>
        </w:rPr>
        <w:t>Burosumab</w:t>
      </w:r>
      <w:proofErr w:type="spellEnd"/>
      <w:r w:rsidRPr="00CF2B7C">
        <w:rPr>
          <w:rFonts w:eastAsia="Times New Roman"/>
          <w:sz w:val="22"/>
          <w:szCs w:val="22"/>
          <w:lang w:val="en-GB" w:eastAsia="en-US"/>
        </w:rPr>
        <w:t xml:space="preserve"> treatment did not cause post</w:t>
      </w:r>
      <w:r w:rsidR="00D428DE">
        <w:rPr>
          <w:rFonts w:eastAsia="Times New Roman"/>
          <w:sz w:val="22"/>
          <w:szCs w:val="22"/>
          <w:lang w:val="en-GB" w:eastAsia="en-US"/>
        </w:rPr>
        <w:t>-</w:t>
      </w:r>
      <w:r w:rsidRPr="00CF2B7C">
        <w:rPr>
          <w:rFonts w:eastAsia="Times New Roman"/>
          <w:sz w:val="22"/>
          <w:szCs w:val="22"/>
          <w:lang w:val="en-GB" w:eastAsia="en-US"/>
        </w:rPr>
        <w:t>prandial excursions above the age-adjusted upper limits of normal in serum phosp</w:t>
      </w:r>
      <w:r w:rsidR="00D428DE">
        <w:rPr>
          <w:rFonts w:eastAsia="Times New Roman"/>
          <w:sz w:val="22"/>
          <w:szCs w:val="22"/>
          <w:lang w:val="en-GB" w:eastAsia="en-US"/>
        </w:rPr>
        <w:t>hate</w:t>
      </w:r>
      <w:r w:rsidRPr="00CF2B7C">
        <w:rPr>
          <w:rFonts w:eastAsia="Times New Roman"/>
          <w:sz w:val="22"/>
          <w:szCs w:val="22"/>
          <w:lang w:val="en-GB" w:eastAsia="en-US"/>
        </w:rPr>
        <w:t xml:space="preserve"> or serum calcium in any paediatric or adult subject in the sub</w:t>
      </w:r>
      <w:r w:rsidR="00D428DE">
        <w:rPr>
          <w:rFonts w:eastAsia="Times New Roman"/>
          <w:sz w:val="22"/>
          <w:szCs w:val="22"/>
          <w:lang w:val="en-GB" w:eastAsia="en-US"/>
        </w:rPr>
        <w:t>-</w:t>
      </w:r>
      <w:r w:rsidRPr="00CF2B7C">
        <w:rPr>
          <w:rFonts w:eastAsia="Times New Roman"/>
          <w:sz w:val="22"/>
          <w:szCs w:val="22"/>
          <w:lang w:val="en-GB" w:eastAsia="en-US"/>
        </w:rPr>
        <w:t>studies.</w:t>
      </w:r>
    </w:p>
    <w:p w14:paraId="1FA3001B" w14:textId="77777777" w:rsidR="00124AD4" w:rsidRPr="00C56B34" w:rsidRDefault="00124AD4">
      <w:pPr>
        <w:spacing w:line="240" w:lineRule="auto"/>
        <w:rPr>
          <w:iCs/>
          <w:noProof/>
          <w:szCs w:val="22"/>
          <w:u w:val="single"/>
        </w:rPr>
      </w:pPr>
    </w:p>
    <w:p w14:paraId="4B47D1CB" w14:textId="77777777" w:rsidR="00124AD4" w:rsidRPr="00C56B34" w:rsidRDefault="001D0951">
      <w:pPr>
        <w:spacing w:line="240" w:lineRule="auto"/>
        <w:ind w:left="567" w:hanging="567"/>
        <w:outlineLvl w:val="0"/>
        <w:rPr>
          <w:noProof/>
          <w:szCs w:val="22"/>
        </w:rPr>
      </w:pPr>
      <w:r w:rsidRPr="00C56B34">
        <w:rPr>
          <w:b/>
          <w:noProof/>
          <w:szCs w:val="22"/>
        </w:rPr>
        <w:t>5.3</w:t>
      </w:r>
      <w:r w:rsidRPr="00C56B34">
        <w:rPr>
          <w:b/>
          <w:noProof/>
          <w:szCs w:val="22"/>
        </w:rPr>
        <w:tab/>
        <w:t>Preclinical safety data</w:t>
      </w:r>
    </w:p>
    <w:p w14:paraId="1D482540" w14:textId="77777777" w:rsidR="00124AD4" w:rsidRPr="00C56B34" w:rsidRDefault="00124AD4">
      <w:pPr>
        <w:spacing w:line="240" w:lineRule="auto"/>
        <w:rPr>
          <w:noProof/>
          <w:szCs w:val="22"/>
        </w:rPr>
      </w:pPr>
    </w:p>
    <w:p w14:paraId="73C9CD2E" w14:textId="77777777" w:rsidR="00124AD4" w:rsidRPr="00BA4BF5" w:rsidRDefault="001D0951" w:rsidP="07120F5B">
      <w:pPr>
        <w:pStyle w:val="BodyText"/>
        <w:rPr>
          <w:color w:val="auto"/>
          <w:lang w:eastAsia="ja-JP"/>
        </w:rPr>
      </w:pPr>
      <w:r w:rsidRPr="07120F5B">
        <w:rPr>
          <w:i w:val="0"/>
          <w:color w:val="auto"/>
        </w:rPr>
        <w:t xml:space="preserve">Adverse </w:t>
      </w:r>
      <w:r w:rsidR="00FF4AAE">
        <w:rPr>
          <w:i w:val="0"/>
          <w:color w:val="auto"/>
        </w:rPr>
        <w:t>reactions</w:t>
      </w:r>
      <w:r w:rsidRPr="07120F5B">
        <w:rPr>
          <w:i w:val="0"/>
          <w:color w:val="auto"/>
        </w:rPr>
        <w:t xml:space="preserve"> in non</w:t>
      </w:r>
      <w:r w:rsidR="00FF4AAE">
        <w:rPr>
          <w:i w:val="0"/>
          <w:color w:val="auto"/>
        </w:rPr>
        <w:t>-</w:t>
      </w:r>
      <w:r w:rsidRPr="07120F5B">
        <w:rPr>
          <w:i w:val="0"/>
          <w:color w:val="auto"/>
        </w:rPr>
        <w:t>clinical studies with normal animals were observed at exposures which resulted in serum phosphate concentration greater than normal limits. These effects were consistent with an exaggerated response to the inhibition of normal FGF23 levels resulting in a supraphysiologic increase in serum phosphate beyond the upper limit of normal</w:t>
      </w:r>
      <w:r w:rsidR="00BC09C2">
        <w:rPr>
          <w:i w:val="0"/>
          <w:color w:val="auto"/>
          <w:lang w:eastAsia="ja-JP"/>
        </w:rPr>
        <w:t>.</w:t>
      </w:r>
    </w:p>
    <w:p w14:paraId="1FD1621D" w14:textId="77777777" w:rsidR="00124AD4" w:rsidRPr="00C56B34" w:rsidRDefault="00124AD4">
      <w:pPr>
        <w:spacing w:line="240" w:lineRule="auto"/>
        <w:rPr>
          <w:szCs w:val="22"/>
        </w:rPr>
      </w:pPr>
    </w:p>
    <w:p w14:paraId="3EADA483" w14:textId="77777777" w:rsidR="00124AD4" w:rsidRPr="00123F7A" w:rsidRDefault="001D0951" w:rsidP="07120F5B">
      <w:pPr>
        <w:spacing w:line="240" w:lineRule="auto"/>
        <w:rPr>
          <w:lang w:eastAsia="en-GB"/>
        </w:rPr>
      </w:pPr>
      <w:r w:rsidRPr="07120F5B">
        <w:rPr>
          <w:lang w:eastAsia="en-GB"/>
        </w:rPr>
        <w:t xml:space="preserve">Studies in rabbits and adult and juvenile cynomolgus monkeys demonstrated dose-dependent elevations of serum phosphate and </w:t>
      </w:r>
      <w:r>
        <w:t>1,25 (OH)</w:t>
      </w:r>
      <w:r w:rsidRPr="07120F5B">
        <w:rPr>
          <w:vertAlign w:val="subscript"/>
        </w:rPr>
        <w:t>2</w:t>
      </w:r>
      <w:r>
        <w:t xml:space="preserve">D </w:t>
      </w:r>
      <w:r w:rsidRPr="07120F5B">
        <w:rPr>
          <w:lang w:eastAsia="en-GB"/>
        </w:rPr>
        <w:t xml:space="preserve">confirming the pharmacologic actions of </w:t>
      </w:r>
      <w:proofErr w:type="spellStart"/>
      <w:r w:rsidRPr="07120F5B">
        <w:rPr>
          <w:lang w:eastAsia="en-GB"/>
        </w:rPr>
        <w:t>burosumab</w:t>
      </w:r>
      <w:proofErr w:type="spellEnd"/>
      <w:r w:rsidRPr="07120F5B">
        <w:rPr>
          <w:lang w:eastAsia="en-GB"/>
        </w:rPr>
        <w:t xml:space="preserve"> in these species. Ectopic mineralisation of multiple tissues and organs (e.g. kidney, heart, lung, and aorta), and associated secondary consequences (e.g. </w:t>
      </w:r>
      <w:proofErr w:type="spellStart"/>
      <w:r w:rsidRPr="07120F5B">
        <w:rPr>
          <w:lang w:eastAsia="en-GB"/>
        </w:rPr>
        <w:t>nephrocalcinosis</w:t>
      </w:r>
      <w:proofErr w:type="spellEnd"/>
      <w:r w:rsidRPr="07120F5B">
        <w:rPr>
          <w:lang w:eastAsia="en-GB"/>
        </w:rPr>
        <w:t xml:space="preserve">) in some cases, due to </w:t>
      </w:r>
      <w:proofErr w:type="spellStart"/>
      <w:r w:rsidRPr="07120F5B">
        <w:rPr>
          <w:lang w:eastAsia="en-GB"/>
        </w:rPr>
        <w:t>hyperphosphataemia</w:t>
      </w:r>
      <w:proofErr w:type="spellEnd"/>
      <w:r w:rsidRPr="07120F5B">
        <w:rPr>
          <w:lang w:eastAsia="en-GB"/>
        </w:rPr>
        <w:t xml:space="preserve">, was observed in normal animals at doses of </w:t>
      </w:r>
      <w:proofErr w:type="spellStart"/>
      <w:r w:rsidRPr="07120F5B">
        <w:rPr>
          <w:lang w:eastAsia="en-GB"/>
        </w:rPr>
        <w:t>burosumab</w:t>
      </w:r>
      <w:proofErr w:type="spellEnd"/>
      <w:r w:rsidRPr="07120F5B">
        <w:rPr>
          <w:lang w:eastAsia="en-GB"/>
        </w:rPr>
        <w:t xml:space="preserve"> that resulted in serum phosphate concentrations in animals greater than approximately</w:t>
      </w:r>
      <w:r w:rsidR="007B69AD">
        <w:rPr>
          <w:lang w:eastAsia="en-GB"/>
        </w:rPr>
        <w:t xml:space="preserve"> </w:t>
      </w:r>
      <w:r w:rsidR="00807D89" w:rsidRPr="00123F7A">
        <w:rPr>
          <w:lang w:eastAsia="en-GB"/>
        </w:rPr>
        <w:t>8</w:t>
      </w:r>
      <w:r w:rsidR="00AA3852" w:rsidRPr="00123F7A">
        <w:rPr>
          <w:lang w:eastAsia="en-GB"/>
        </w:rPr>
        <w:t xml:space="preserve"> mg/dL</w:t>
      </w:r>
      <w:r w:rsidR="007B69AD" w:rsidRPr="00123F7A">
        <w:rPr>
          <w:lang w:eastAsia="en-GB"/>
        </w:rPr>
        <w:t xml:space="preserve"> (2.6 mmol/L)</w:t>
      </w:r>
      <w:r w:rsidRPr="00123F7A">
        <w:rPr>
          <w:lang w:eastAsia="en-GB"/>
        </w:rPr>
        <w:t>. In a murine model of XLH, a significant reduction in the incidence of ectopic mineralisation was observed at equivalent levels of serum phosphate, suggesting that the risk of mineralisation is less in the presence of excess FGF23.</w:t>
      </w:r>
    </w:p>
    <w:p w14:paraId="268D155A" w14:textId="77777777" w:rsidR="00124AD4" w:rsidRPr="00123F7A" w:rsidRDefault="00124AD4" w:rsidP="00124AD4">
      <w:pPr>
        <w:spacing w:line="240" w:lineRule="auto"/>
        <w:rPr>
          <w:lang w:eastAsia="en-GB"/>
        </w:rPr>
      </w:pPr>
    </w:p>
    <w:p w14:paraId="0D78D66B" w14:textId="77777777" w:rsidR="00124AD4" w:rsidRPr="00123F7A" w:rsidRDefault="001D0951" w:rsidP="00124AD4">
      <w:pPr>
        <w:spacing w:line="240" w:lineRule="auto"/>
        <w:rPr>
          <w:shd w:val="clear" w:color="auto" w:fill="FFFFFF"/>
        </w:rPr>
      </w:pPr>
      <w:r w:rsidRPr="00123F7A">
        <w:rPr>
          <w:rStyle w:val="apple-converted-space"/>
          <w:shd w:val="clear" w:color="auto" w:fill="FFFFFF"/>
        </w:rPr>
        <w:t xml:space="preserve">Bone effects seen in adult and juvenile monkeys included changes in bone metabolism markers, increases in thickness and density of cortical bone, increased density of total bone and thickening of long bone. These changes were a consequence of higher than normal serum phosphate levels, which accelerated bone turnover </w:t>
      </w:r>
      <w:proofErr w:type="gramStart"/>
      <w:r w:rsidRPr="00123F7A">
        <w:rPr>
          <w:rStyle w:val="apple-converted-space"/>
          <w:shd w:val="clear" w:color="auto" w:fill="FFFFFF"/>
        </w:rPr>
        <w:t>and also</w:t>
      </w:r>
      <w:proofErr w:type="gramEnd"/>
      <w:r w:rsidRPr="00123F7A">
        <w:rPr>
          <w:rStyle w:val="apple-converted-space"/>
          <w:shd w:val="clear" w:color="auto" w:fill="FFFFFF"/>
        </w:rPr>
        <w:t xml:space="preserve"> led to </w:t>
      </w:r>
      <w:r w:rsidRPr="00123F7A">
        <w:t xml:space="preserve">periosteal hyperostosis and a decrease in bone strength in adult animals, but not </w:t>
      </w:r>
      <w:r w:rsidRPr="00123F7A">
        <w:rPr>
          <w:rStyle w:val="apple-converted-space"/>
          <w:shd w:val="clear" w:color="auto" w:fill="FFFFFF"/>
        </w:rPr>
        <w:t xml:space="preserve">in juvenile animals at the doses tested. </w:t>
      </w:r>
      <w:proofErr w:type="spellStart"/>
      <w:r w:rsidRPr="00123F7A">
        <w:t>Burosumab</w:t>
      </w:r>
      <w:proofErr w:type="spellEnd"/>
      <w:r w:rsidRPr="00123F7A">
        <w:t xml:space="preserve"> did not promote abnormal bone development, as no changes in femur length or bone strength were noted in juvenile animals. </w:t>
      </w:r>
      <w:r w:rsidRPr="00123F7A">
        <w:rPr>
          <w:rStyle w:val="apple-converted-space"/>
          <w:shd w:val="clear" w:color="auto" w:fill="FFFFFF"/>
        </w:rPr>
        <w:t xml:space="preserve">Bone changes were consistent with the pharmacology of </w:t>
      </w:r>
      <w:proofErr w:type="spellStart"/>
      <w:r w:rsidRPr="00123F7A">
        <w:rPr>
          <w:rStyle w:val="apple-converted-space"/>
          <w:shd w:val="clear" w:color="auto" w:fill="FFFFFF"/>
        </w:rPr>
        <w:t>burosumab</w:t>
      </w:r>
      <w:proofErr w:type="spellEnd"/>
      <w:r w:rsidRPr="00123F7A">
        <w:rPr>
          <w:rStyle w:val="apple-converted-space"/>
          <w:shd w:val="clear" w:color="auto" w:fill="FFFFFF"/>
        </w:rPr>
        <w:t xml:space="preserve"> and the role of phosphate in bone mineralization, metabolism and turnover.</w:t>
      </w:r>
      <w:r w:rsidRPr="00123F7A">
        <w:rPr>
          <w:lang w:eastAsia="en-GB"/>
        </w:rPr>
        <w:br/>
      </w:r>
    </w:p>
    <w:p w14:paraId="6FC68D9A" w14:textId="77777777" w:rsidR="00124AD4" w:rsidRPr="00123F7A" w:rsidRDefault="001D0951" w:rsidP="50BD9E82">
      <w:pPr>
        <w:spacing w:line="240" w:lineRule="auto"/>
        <w:rPr>
          <w:szCs w:val="22"/>
        </w:rPr>
      </w:pPr>
      <w:r w:rsidRPr="00123F7A">
        <w:t>In repeat-dose toxicology studies of up to 40 weeks duration in cynomolgus monkeys, mineralisation of the rete testis/seminiferous tubules was observed in male monkeys; however, no changes were observed in semen analysis. No adverse effects on female reproductive organs were observed in these studies.</w:t>
      </w:r>
    </w:p>
    <w:p w14:paraId="2F3338C5" w14:textId="77777777" w:rsidR="00124AD4" w:rsidRPr="00123F7A" w:rsidRDefault="00124AD4" w:rsidP="00124AD4">
      <w:pPr>
        <w:spacing w:line="240" w:lineRule="auto"/>
        <w:rPr>
          <w:szCs w:val="22"/>
        </w:rPr>
      </w:pPr>
    </w:p>
    <w:p w14:paraId="5B159FBA" w14:textId="77777777" w:rsidR="00124AD4" w:rsidRPr="00B96FD0" w:rsidRDefault="001D0951" w:rsidP="50BD9E82">
      <w:pPr>
        <w:keepNext/>
        <w:keepLines/>
        <w:spacing w:line="240" w:lineRule="auto"/>
        <w:rPr>
          <w:szCs w:val="22"/>
        </w:rPr>
      </w:pPr>
      <w:r w:rsidRPr="00123F7A">
        <w:lastRenderedPageBreak/>
        <w:t xml:space="preserve">In the reproductive and developmental toxicology study performed in pregnant cynomolgus monkeys, moderate mineralisation of the placenta was seen in pregnant animals given 30 mg/kg of </w:t>
      </w:r>
      <w:proofErr w:type="spellStart"/>
      <w:r w:rsidRPr="00123F7A">
        <w:t>burosumab</w:t>
      </w:r>
      <w:proofErr w:type="spellEnd"/>
      <w:r w:rsidRPr="00123F7A">
        <w:t xml:space="preserve"> and occurred in animals with peak serum phosphate concentration greater than approximately</w:t>
      </w:r>
      <w:r w:rsidR="00AA3852" w:rsidRPr="00123F7A">
        <w:t xml:space="preserve"> </w:t>
      </w:r>
      <w:r w:rsidR="00807D89" w:rsidRPr="00123F7A">
        <w:rPr>
          <w:lang w:eastAsia="en-GB"/>
        </w:rPr>
        <w:t>8</w:t>
      </w:r>
      <w:r w:rsidR="00AA3852" w:rsidRPr="00123F7A">
        <w:rPr>
          <w:lang w:eastAsia="en-GB"/>
        </w:rPr>
        <w:t xml:space="preserve"> mg/dL</w:t>
      </w:r>
      <w:r w:rsidR="00D07447" w:rsidRPr="00123F7A">
        <w:rPr>
          <w:lang w:eastAsia="en-GB"/>
        </w:rPr>
        <w:t xml:space="preserve"> (2.6 mmol/L)</w:t>
      </w:r>
      <w:r w:rsidRPr="00123F7A">
        <w:t>. Shortening of the gestation period and associated increased incidence of premature</w:t>
      </w:r>
      <w:r>
        <w:t xml:space="preserve"> births were observed in pregnant monkeys at doses of ≥ 0.3 mg/kg which corresponded to </w:t>
      </w:r>
      <w:proofErr w:type="spellStart"/>
      <w:r>
        <w:t>burosumab</w:t>
      </w:r>
      <w:proofErr w:type="spellEnd"/>
      <w:r>
        <w:t xml:space="preserve"> exposures that are ≥</w:t>
      </w:r>
      <w:r w:rsidRPr="07120F5B">
        <w:rPr>
          <w:rFonts w:eastAsiaTheme="minorEastAsia"/>
        </w:rPr>
        <w:t>0.875- to 1.39-</w:t>
      </w:r>
      <w:r>
        <w:t xml:space="preserve">fold anticipated clinical levels. </w:t>
      </w:r>
      <w:proofErr w:type="spellStart"/>
      <w:r>
        <w:t>Burosumab</w:t>
      </w:r>
      <w:proofErr w:type="spellEnd"/>
      <w:r>
        <w:t xml:space="preserve"> was detected in serum from </w:t>
      </w:r>
      <w:proofErr w:type="spellStart"/>
      <w:r>
        <w:t>fetuses</w:t>
      </w:r>
      <w:proofErr w:type="spellEnd"/>
      <w:r>
        <w:t xml:space="preserve"> indicating that </w:t>
      </w:r>
      <w:proofErr w:type="spellStart"/>
      <w:r w:rsidRPr="07120F5B">
        <w:rPr>
          <w:lang w:eastAsia="en-GB"/>
        </w:rPr>
        <w:t>burosumab</w:t>
      </w:r>
      <w:proofErr w:type="spellEnd"/>
      <w:r>
        <w:t xml:space="preserve"> was transported across the placenta to the </w:t>
      </w:r>
      <w:proofErr w:type="spellStart"/>
      <w:r>
        <w:t>fetus</w:t>
      </w:r>
      <w:proofErr w:type="spellEnd"/>
      <w:r>
        <w:t xml:space="preserve">. There was no evidence of teratogenic effects. Ectopic mineralisation was not observed in foetuses or offspring and </w:t>
      </w:r>
      <w:proofErr w:type="spellStart"/>
      <w:r>
        <w:t>burosumab</w:t>
      </w:r>
      <w:proofErr w:type="spellEnd"/>
      <w:r>
        <w:t xml:space="preserve"> did not affect pre- and postnatal growth including survivability of the offspring.</w:t>
      </w:r>
    </w:p>
    <w:p w14:paraId="679D8B51" w14:textId="77777777" w:rsidR="00124AD4" w:rsidRDefault="00124AD4">
      <w:pPr>
        <w:spacing w:line="240" w:lineRule="auto"/>
        <w:rPr>
          <w:noProof/>
          <w:szCs w:val="22"/>
        </w:rPr>
      </w:pPr>
    </w:p>
    <w:p w14:paraId="21F6A015" w14:textId="77777777" w:rsidR="00124AD4" w:rsidRDefault="001D0951">
      <w:pPr>
        <w:spacing w:line="240" w:lineRule="auto"/>
      </w:pPr>
      <w:r w:rsidRPr="00123F7A">
        <w:t xml:space="preserve">In preclinical studies, ectopic mineralisation has been observed in normal animals, most frequently in the kidney, given </w:t>
      </w:r>
      <w:proofErr w:type="spellStart"/>
      <w:r w:rsidRPr="00123F7A">
        <w:t>burosumab</w:t>
      </w:r>
      <w:proofErr w:type="spellEnd"/>
      <w:r w:rsidRPr="00123F7A">
        <w:t xml:space="preserve"> at doses that resulted in serum phosphate concentrations greater than </w:t>
      </w:r>
      <w:r w:rsidR="00807D89" w:rsidRPr="00123F7A">
        <w:rPr>
          <w:lang w:eastAsia="en-GB"/>
        </w:rPr>
        <w:t>8</w:t>
      </w:r>
      <w:r w:rsidR="00AA3852" w:rsidRPr="00123F7A">
        <w:rPr>
          <w:lang w:eastAsia="en-GB"/>
        </w:rPr>
        <w:t xml:space="preserve"> mg/dL</w:t>
      </w:r>
      <w:r w:rsidR="007433F2" w:rsidRPr="00123F7A">
        <w:rPr>
          <w:lang w:eastAsia="en-GB"/>
        </w:rPr>
        <w:t xml:space="preserve"> (2.6 mmol/L)</w:t>
      </w:r>
      <w:r w:rsidR="00C8260A" w:rsidRPr="00123F7A">
        <w:rPr>
          <w:lang w:eastAsia="en-GB"/>
        </w:rPr>
        <w:t xml:space="preserve">. </w:t>
      </w:r>
      <w:r w:rsidRPr="00123F7A">
        <w:t xml:space="preserve">Neither new or clinically meaningful worsening of </w:t>
      </w:r>
      <w:proofErr w:type="spellStart"/>
      <w:r w:rsidRPr="00123F7A">
        <w:t>nephrocalcinosis</w:t>
      </w:r>
      <w:proofErr w:type="spellEnd"/>
      <w:r w:rsidRPr="00123F7A">
        <w:t xml:space="preserve"> nor ectopic mineralisation have been observed in clinical trials of patients with XLH treated with </w:t>
      </w:r>
      <w:proofErr w:type="spellStart"/>
      <w:r w:rsidRPr="00123F7A">
        <w:t>burosumab</w:t>
      </w:r>
      <w:proofErr w:type="spellEnd"/>
      <w:r w:rsidRPr="00123F7A">
        <w:t xml:space="preserve"> to</w:t>
      </w:r>
      <w:r>
        <w:t xml:space="preserve"> achieve normal serum phosphate levels. </w:t>
      </w:r>
    </w:p>
    <w:p w14:paraId="0D681090" w14:textId="77777777" w:rsidR="001C71FE" w:rsidRDefault="001C71FE">
      <w:pPr>
        <w:spacing w:line="240" w:lineRule="auto"/>
        <w:rPr>
          <w:noProof/>
          <w:szCs w:val="22"/>
        </w:rPr>
      </w:pPr>
    </w:p>
    <w:p w14:paraId="6C500A00" w14:textId="77777777" w:rsidR="003C65AC" w:rsidRPr="00C56B34" w:rsidRDefault="003C65AC">
      <w:pPr>
        <w:spacing w:line="240" w:lineRule="auto"/>
        <w:rPr>
          <w:noProof/>
          <w:szCs w:val="22"/>
        </w:rPr>
      </w:pPr>
    </w:p>
    <w:p w14:paraId="559C89DA" w14:textId="77777777" w:rsidR="00124AD4" w:rsidRPr="00C56B34" w:rsidRDefault="001D0951">
      <w:pPr>
        <w:suppressAutoHyphens/>
        <w:spacing w:line="240" w:lineRule="auto"/>
        <w:ind w:left="567" w:hanging="567"/>
        <w:rPr>
          <w:b/>
          <w:noProof/>
          <w:szCs w:val="22"/>
        </w:rPr>
      </w:pPr>
      <w:r w:rsidRPr="00C56B34">
        <w:rPr>
          <w:b/>
          <w:noProof/>
          <w:szCs w:val="22"/>
        </w:rPr>
        <w:t>6.</w:t>
      </w:r>
      <w:r w:rsidRPr="00C56B34">
        <w:rPr>
          <w:b/>
          <w:noProof/>
          <w:szCs w:val="22"/>
        </w:rPr>
        <w:tab/>
        <w:t>PHARMACEUTICAL PARTICULARS</w:t>
      </w:r>
    </w:p>
    <w:p w14:paraId="716140BE" w14:textId="77777777" w:rsidR="00124AD4" w:rsidRPr="00C56B34" w:rsidRDefault="00124AD4">
      <w:pPr>
        <w:spacing w:line="240" w:lineRule="auto"/>
        <w:rPr>
          <w:noProof/>
          <w:szCs w:val="22"/>
        </w:rPr>
      </w:pPr>
    </w:p>
    <w:p w14:paraId="3AFD9CFA" w14:textId="77777777" w:rsidR="00124AD4" w:rsidRPr="00C56B34" w:rsidRDefault="001D0951">
      <w:pPr>
        <w:spacing w:line="240" w:lineRule="auto"/>
        <w:ind w:left="567" w:hanging="567"/>
        <w:outlineLvl w:val="0"/>
        <w:rPr>
          <w:noProof/>
          <w:szCs w:val="22"/>
        </w:rPr>
      </w:pPr>
      <w:r w:rsidRPr="00C56B34">
        <w:rPr>
          <w:b/>
          <w:noProof/>
          <w:szCs w:val="22"/>
        </w:rPr>
        <w:t>6.1</w:t>
      </w:r>
      <w:r w:rsidRPr="00C56B34">
        <w:rPr>
          <w:b/>
          <w:noProof/>
          <w:szCs w:val="22"/>
        </w:rPr>
        <w:tab/>
        <w:t>List of excipients</w:t>
      </w:r>
    </w:p>
    <w:p w14:paraId="2E7C08A6" w14:textId="77777777" w:rsidR="00124AD4" w:rsidRPr="00C56B34" w:rsidRDefault="00124AD4">
      <w:pPr>
        <w:spacing w:line="240" w:lineRule="auto"/>
        <w:rPr>
          <w:i/>
          <w:noProof/>
          <w:szCs w:val="22"/>
        </w:rPr>
      </w:pPr>
    </w:p>
    <w:p w14:paraId="67649C5F" w14:textId="77777777" w:rsidR="00124AD4" w:rsidRPr="00662578" w:rsidRDefault="001D0951" w:rsidP="50BD9E82">
      <w:pPr>
        <w:spacing w:line="240" w:lineRule="auto"/>
        <w:rPr>
          <w:szCs w:val="22"/>
        </w:rPr>
      </w:pPr>
      <w:r>
        <w:t>L-histidine</w:t>
      </w:r>
    </w:p>
    <w:p w14:paraId="19CFE113" w14:textId="77777777" w:rsidR="00124AD4" w:rsidRPr="00BA4BF5" w:rsidRDefault="001D0951" w:rsidP="07120F5B">
      <w:pPr>
        <w:spacing w:line="240" w:lineRule="auto"/>
        <w:rPr>
          <w:lang w:val="it-IT"/>
        </w:rPr>
      </w:pPr>
      <w:r w:rsidRPr="07120F5B">
        <w:rPr>
          <w:lang w:val="it-IT"/>
        </w:rPr>
        <w:t>D-sorbitol E420</w:t>
      </w:r>
    </w:p>
    <w:p w14:paraId="56FA5358" w14:textId="77777777" w:rsidR="00124AD4" w:rsidRPr="00BA4BF5" w:rsidRDefault="001D0951" w:rsidP="07120F5B">
      <w:pPr>
        <w:spacing w:line="240" w:lineRule="auto"/>
        <w:rPr>
          <w:lang w:val="it-IT"/>
        </w:rPr>
      </w:pPr>
      <w:r w:rsidRPr="07120F5B">
        <w:rPr>
          <w:lang w:val="it-IT"/>
        </w:rPr>
        <w:t>Polysorbate 80</w:t>
      </w:r>
    </w:p>
    <w:p w14:paraId="5C5C2EB5" w14:textId="77777777" w:rsidR="00124AD4" w:rsidRPr="00BA4BF5" w:rsidRDefault="001D0951" w:rsidP="07120F5B">
      <w:pPr>
        <w:spacing w:line="240" w:lineRule="auto"/>
        <w:rPr>
          <w:lang w:val="it-IT"/>
        </w:rPr>
      </w:pPr>
      <w:r w:rsidRPr="07120F5B">
        <w:rPr>
          <w:lang w:val="it-IT"/>
        </w:rPr>
        <w:t xml:space="preserve">L-methionine </w:t>
      </w:r>
    </w:p>
    <w:p w14:paraId="5778CA7E" w14:textId="77777777" w:rsidR="00124AD4" w:rsidRPr="00662578" w:rsidRDefault="001D0951" w:rsidP="50BD9E82">
      <w:pPr>
        <w:spacing w:line="240" w:lineRule="auto"/>
        <w:rPr>
          <w:szCs w:val="22"/>
        </w:rPr>
      </w:pPr>
      <w:r>
        <w:t>Hydrochloric acid, 10% (for pH adjustment)</w:t>
      </w:r>
    </w:p>
    <w:p w14:paraId="4FFD1D76" w14:textId="77777777" w:rsidR="00124AD4" w:rsidRPr="00662578" w:rsidRDefault="001D0951" w:rsidP="50BD9E82">
      <w:pPr>
        <w:spacing w:line="240" w:lineRule="auto"/>
        <w:rPr>
          <w:szCs w:val="22"/>
        </w:rPr>
      </w:pPr>
      <w:r>
        <w:t>Water for injections</w:t>
      </w:r>
    </w:p>
    <w:p w14:paraId="3C6021F7" w14:textId="77777777" w:rsidR="00124AD4" w:rsidRPr="00C56B34" w:rsidRDefault="00124AD4">
      <w:pPr>
        <w:spacing w:line="240" w:lineRule="auto"/>
        <w:rPr>
          <w:noProof/>
          <w:szCs w:val="22"/>
        </w:rPr>
      </w:pPr>
    </w:p>
    <w:p w14:paraId="4F03E25D" w14:textId="77777777" w:rsidR="00124AD4" w:rsidRPr="00C56B34" w:rsidRDefault="001D0951">
      <w:pPr>
        <w:spacing w:line="240" w:lineRule="auto"/>
        <w:ind w:left="567" w:hanging="567"/>
        <w:outlineLvl w:val="0"/>
        <w:rPr>
          <w:noProof/>
          <w:szCs w:val="22"/>
        </w:rPr>
      </w:pPr>
      <w:r w:rsidRPr="00C56B34">
        <w:rPr>
          <w:b/>
          <w:noProof/>
          <w:szCs w:val="22"/>
        </w:rPr>
        <w:t>6.2</w:t>
      </w:r>
      <w:r w:rsidRPr="00C56B34">
        <w:rPr>
          <w:b/>
          <w:noProof/>
          <w:szCs w:val="22"/>
        </w:rPr>
        <w:tab/>
        <w:t>Incompatibilities</w:t>
      </w:r>
    </w:p>
    <w:p w14:paraId="630FD742" w14:textId="77777777" w:rsidR="00124AD4" w:rsidRPr="00C56B34" w:rsidRDefault="00124AD4">
      <w:pPr>
        <w:spacing w:line="240" w:lineRule="auto"/>
        <w:rPr>
          <w:noProof/>
          <w:szCs w:val="22"/>
        </w:rPr>
      </w:pPr>
    </w:p>
    <w:p w14:paraId="71C1F822" w14:textId="77777777" w:rsidR="00124AD4" w:rsidRPr="00C56B34" w:rsidRDefault="001D0951" w:rsidP="50BD9E82">
      <w:pPr>
        <w:spacing w:line="240" w:lineRule="auto"/>
        <w:rPr>
          <w:szCs w:val="22"/>
        </w:rPr>
      </w:pPr>
      <w:r w:rsidRPr="5F2EC82B">
        <w:rPr>
          <w:rFonts w:eastAsia="SimSun"/>
        </w:rPr>
        <w:t>In the absence of compatibility studies, this medicinal product must not be mixed with other medicinal products.</w:t>
      </w:r>
    </w:p>
    <w:p w14:paraId="3959258A" w14:textId="77777777" w:rsidR="00124AD4" w:rsidRPr="00662578" w:rsidRDefault="00124AD4">
      <w:pPr>
        <w:spacing w:line="240" w:lineRule="auto"/>
        <w:rPr>
          <w:noProof/>
          <w:szCs w:val="22"/>
        </w:rPr>
      </w:pPr>
    </w:p>
    <w:p w14:paraId="2C01FC45" w14:textId="77777777" w:rsidR="00124AD4" w:rsidRPr="00C56B34" w:rsidRDefault="001D0951">
      <w:pPr>
        <w:spacing w:line="240" w:lineRule="auto"/>
        <w:ind w:left="567" w:hanging="567"/>
        <w:outlineLvl w:val="0"/>
        <w:rPr>
          <w:noProof/>
          <w:szCs w:val="22"/>
        </w:rPr>
      </w:pPr>
      <w:r w:rsidRPr="00C56B34">
        <w:rPr>
          <w:b/>
          <w:noProof/>
          <w:szCs w:val="22"/>
        </w:rPr>
        <w:t>6.3</w:t>
      </w:r>
      <w:r w:rsidRPr="00C56B34">
        <w:rPr>
          <w:b/>
          <w:noProof/>
          <w:szCs w:val="22"/>
        </w:rPr>
        <w:tab/>
        <w:t>Shelf life</w:t>
      </w:r>
    </w:p>
    <w:p w14:paraId="6337B470" w14:textId="77777777" w:rsidR="00124AD4" w:rsidRPr="00C56B34" w:rsidRDefault="00124AD4">
      <w:pPr>
        <w:spacing w:line="240" w:lineRule="auto"/>
        <w:rPr>
          <w:noProof/>
          <w:szCs w:val="22"/>
        </w:rPr>
      </w:pPr>
    </w:p>
    <w:p w14:paraId="6B121091" w14:textId="642CAA0D" w:rsidR="00124AD4" w:rsidRPr="00C56B34" w:rsidRDefault="002070FB" w:rsidP="00124AD4">
      <w:pPr>
        <w:spacing w:line="240" w:lineRule="auto"/>
        <w:rPr>
          <w:noProof/>
          <w:szCs w:val="22"/>
        </w:rPr>
      </w:pPr>
      <w:r>
        <w:rPr>
          <w:noProof/>
          <w:szCs w:val="22"/>
        </w:rPr>
        <w:t xml:space="preserve">3 </w:t>
      </w:r>
      <w:r w:rsidR="001D0951">
        <w:rPr>
          <w:noProof/>
          <w:szCs w:val="22"/>
        </w:rPr>
        <w:t>years</w:t>
      </w:r>
      <w:r w:rsidR="001D0951" w:rsidRPr="00C56B34">
        <w:rPr>
          <w:noProof/>
          <w:szCs w:val="22"/>
        </w:rPr>
        <w:t>.</w:t>
      </w:r>
    </w:p>
    <w:p w14:paraId="2F126963" w14:textId="77777777" w:rsidR="00124AD4" w:rsidRPr="00C56B34" w:rsidRDefault="00124AD4">
      <w:pPr>
        <w:spacing w:line="240" w:lineRule="auto"/>
        <w:rPr>
          <w:noProof/>
          <w:szCs w:val="22"/>
        </w:rPr>
      </w:pPr>
    </w:p>
    <w:p w14:paraId="7061C537" w14:textId="77777777" w:rsidR="00124AD4" w:rsidRPr="00C56B34" w:rsidRDefault="001D0951">
      <w:pPr>
        <w:spacing w:line="240" w:lineRule="auto"/>
        <w:ind w:left="567" w:hanging="567"/>
        <w:outlineLvl w:val="0"/>
        <w:rPr>
          <w:b/>
          <w:noProof/>
          <w:szCs w:val="22"/>
        </w:rPr>
      </w:pPr>
      <w:r w:rsidRPr="00C56B34">
        <w:rPr>
          <w:b/>
          <w:noProof/>
          <w:szCs w:val="22"/>
        </w:rPr>
        <w:t>6.4</w:t>
      </w:r>
      <w:r w:rsidRPr="00C56B34">
        <w:rPr>
          <w:b/>
          <w:noProof/>
          <w:szCs w:val="22"/>
        </w:rPr>
        <w:tab/>
        <w:t>Special precautions for storage</w:t>
      </w:r>
    </w:p>
    <w:p w14:paraId="71D7CF68" w14:textId="77777777" w:rsidR="00124AD4" w:rsidRPr="00C56B34" w:rsidRDefault="00124AD4">
      <w:pPr>
        <w:spacing w:line="240" w:lineRule="auto"/>
        <w:ind w:left="567" w:hanging="567"/>
        <w:outlineLvl w:val="0"/>
        <w:rPr>
          <w:noProof/>
          <w:szCs w:val="22"/>
        </w:rPr>
      </w:pPr>
    </w:p>
    <w:p w14:paraId="7F3CAF81" w14:textId="77777777" w:rsidR="00124AD4" w:rsidRPr="00C56B34" w:rsidRDefault="001D0951" w:rsidP="50BD9E82">
      <w:pPr>
        <w:tabs>
          <w:tab w:val="clear" w:pos="567"/>
        </w:tabs>
        <w:autoSpaceDE w:val="0"/>
        <w:autoSpaceDN w:val="0"/>
        <w:adjustRightInd w:val="0"/>
        <w:spacing w:line="240" w:lineRule="auto"/>
        <w:rPr>
          <w:szCs w:val="22"/>
        </w:rPr>
      </w:pPr>
      <w:r w:rsidRPr="5F2EC82B">
        <w:rPr>
          <w:rFonts w:eastAsia="TimesNewRoman"/>
        </w:rPr>
        <w:t>Store in a refrigerator (2°C to 8°C). Do not freeze.</w:t>
      </w:r>
    </w:p>
    <w:p w14:paraId="5625E943" w14:textId="77777777" w:rsidR="00124AD4" w:rsidRPr="00C56B34" w:rsidRDefault="00124AD4">
      <w:pPr>
        <w:tabs>
          <w:tab w:val="clear" w:pos="567"/>
        </w:tabs>
        <w:autoSpaceDE w:val="0"/>
        <w:autoSpaceDN w:val="0"/>
        <w:adjustRightInd w:val="0"/>
        <w:spacing w:line="240" w:lineRule="auto"/>
        <w:rPr>
          <w:rFonts w:eastAsia="TimesNewRoman"/>
          <w:szCs w:val="22"/>
        </w:rPr>
      </w:pPr>
    </w:p>
    <w:p w14:paraId="0772A3DB" w14:textId="77777777" w:rsidR="00124AD4" w:rsidRPr="00BA4BF5" w:rsidRDefault="001D0951" w:rsidP="5F2EC82B">
      <w:pPr>
        <w:tabs>
          <w:tab w:val="clear" w:pos="567"/>
        </w:tabs>
        <w:autoSpaceDE w:val="0"/>
        <w:autoSpaceDN w:val="0"/>
        <w:adjustRightInd w:val="0"/>
        <w:spacing w:line="240" w:lineRule="auto"/>
        <w:rPr>
          <w:rFonts w:eastAsia="TimesNewRoman"/>
        </w:rPr>
      </w:pPr>
      <w:r w:rsidRPr="5F2EC82B">
        <w:rPr>
          <w:rFonts w:eastAsia="TimesNewRoman"/>
        </w:rPr>
        <w:t xml:space="preserve">Store in the original package </w:t>
      </w:r>
      <w:r w:rsidR="00FE26E8">
        <w:rPr>
          <w:rFonts w:eastAsia="TimesNewRoman"/>
        </w:rPr>
        <w:t xml:space="preserve">in order </w:t>
      </w:r>
      <w:r w:rsidRPr="5F2EC82B">
        <w:rPr>
          <w:rFonts w:eastAsia="TimesNewRoman"/>
        </w:rPr>
        <w:t xml:space="preserve">to protect from light. </w:t>
      </w:r>
    </w:p>
    <w:p w14:paraId="5404CD58" w14:textId="77777777" w:rsidR="00124AD4" w:rsidRPr="00C56B34" w:rsidRDefault="00124AD4">
      <w:pPr>
        <w:tabs>
          <w:tab w:val="clear" w:pos="567"/>
        </w:tabs>
        <w:autoSpaceDE w:val="0"/>
        <w:autoSpaceDN w:val="0"/>
        <w:adjustRightInd w:val="0"/>
        <w:spacing w:line="240" w:lineRule="auto"/>
        <w:rPr>
          <w:rFonts w:eastAsia="TimesNewRoman"/>
          <w:szCs w:val="22"/>
        </w:rPr>
      </w:pPr>
    </w:p>
    <w:p w14:paraId="57467911" w14:textId="77777777" w:rsidR="00124AD4" w:rsidRPr="00C56B34" w:rsidRDefault="001D0951">
      <w:pPr>
        <w:spacing w:line="240" w:lineRule="auto"/>
        <w:ind w:left="567" w:hanging="567"/>
        <w:outlineLvl w:val="0"/>
        <w:rPr>
          <w:b/>
          <w:noProof/>
          <w:szCs w:val="22"/>
        </w:rPr>
      </w:pPr>
      <w:r w:rsidRPr="00C56B34">
        <w:rPr>
          <w:b/>
          <w:noProof/>
          <w:szCs w:val="22"/>
        </w:rPr>
        <w:t>6.5</w:t>
      </w:r>
      <w:r w:rsidRPr="00C56B34">
        <w:rPr>
          <w:b/>
          <w:noProof/>
          <w:szCs w:val="22"/>
        </w:rPr>
        <w:tab/>
        <w:t>Nature and contents of container</w:t>
      </w:r>
    </w:p>
    <w:p w14:paraId="459F61AF" w14:textId="77777777" w:rsidR="00124AD4" w:rsidRPr="00C56B34" w:rsidRDefault="00124AD4">
      <w:pPr>
        <w:spacing w:line="240" w:lineRule="auto"/>
        <w:outlineLvl w:val="0"/>
        <w:rPr>
          <w:b/>
          <w:noProof/>
          <w:szCs w:val="22"/>
        </w:rPr>
      </w:pPr>
    </w:p>
    <w:p w14:paraId="0E734E9E" w14:textId="77777777" w:rsidR="00124AD4" w:rsidRDefault="001D0951" w:rsidP="50BD9E82">
      <w:pPr>
        <w:spacing w:line="240" w:lineRule="auto"/>
        <w:rPr>
          <w:noProof/>
        </w:rPr>
      </w:pPr>
      <w:r>
        <w:t>C</w:t>
      </w:r>
      <w:r w:rsidR="004F0533">
        <w:t>lear glass vial with butyl rubber stopper, and aluminium seal</w:t>
      </w:r>
      <w:r w:rsidR="004F0533" w:rsidRPr="5F2EC82B">
        <w:rPr>
          <w:noProof/>
        </w:rPr>
        <w:t>.</w:t>
      </w:r>
    </w:p>
    <w:p w14:paraId="789BC748" w14:textId="77777777" w:rsidR="00FE26E8" w:rsidRDefault="00FE26E8" w:rsidP="50BD9E82">
      <w:pPr>
        <w:spacing w:line="240" w:lineRule="auto"/>
        <w:rPr>
          <w:noProof/>
        </w:rPr>
      </w:pPr>
    </w:p>
    <w:p w14:paraId="3B43A019" w14:textId="77777777" w:rsidR="00084C13" w:rsidRDefault="001D0951">
      <w:pPr>
        <w:spacing w:line="240" w:lineRule="auto"/>
        <w:rPr>
          <w:noProof/>
        </w:rPr>
      </w:pPr>
      <w:r>
        <w:rPr>
          <w:noProof/>
        </w:rPr>
        <w:t>Pack size of one vial</w:t>
      </w:r>
    </w:p>
    <w:p w14:paraId="33689534" w14:textId="5D742769" w:rsidR="00124AD4" w:rsidRPr="00B96FD0" w:rsidRDefault="00124AD4">
      <w:pPr>
        <w:spacing w:line="240" w:lineRule="auto"/>
        <w:rPr>
          <w:szCs w:val="22"/>
        </w:rPr>
      </w:pPr>
    </w:p>
    <w:p w14:paraId="3FC93456" w14:textId="77777777" w:rsidR="00BA7A3F" w:rsidRPr="00C56B34" w:rsidRDefault="00BA7A3F" w:rsidP="00BA7A3F">
      <w:pPr>
        <w:spacing w:line="240" w:lineRule="auto"/>
        <w:outlineLvl w:val="0"/>
        <w:rPr>
          <w:noProof/>
          <w:szCs w:val="22"/>
        </w:rPr>
      </w:pPr>
      <w:r>
        <w:rPr>
          <w:b/>
          <w:noProof/>
          <w:szCs w:val="22"/>
        </w:rPr>
        <w:t>6</w:t>
      </w:r>
      <w:r w:rsidRPr="00C56B34">
        <w:rPr>
          <w:b/>
          <w:noProof/>
          <w:szCs w:val="22"/>
        </w:rPr>
        <w:t>.6</w:t>
      </w:r>
      <w:r w:rsidRPr="00C56B34">
        <w:rPr>
          <w:b/>
          <w:noProof/>
          <w:szCs w:val="22"/>
        </w:rPr>
        <w:tab/>
        <w:t>Special precautions for disposal and other handling</w:t>
      </w:r>
    </w:p>
    <w:p w14:paraId="24E998FE" w14:textId="77777777" w:rsidR="00BA7A3F" w:rsidRPr="00C56B34" w:rsidRDefault="00BA7A3F" w:rsidP="00BA7A3F">
      <w:pPr>
        <w:spacing w:line="240" w:lineRule="auto"/>
        <w:rPr>
          <w:noProof/>
          <w:szCs w:val="22"/>
        </w:rPr>
      </w:pPr>
    </w:p>
    <w:p w14:paraId="309F0245" w14:textId="77777777" w:rsidR="00BA7A3F" w:rsidRPr="00662578" w:rsidRDefault="00BA7A3F" w:rsidP="00BA7A3F">
      <w:pPr>
        <w:tabs>
          <w:tab w:val="clear" w:pos="567"/>
        </w:tabs>
        <w:spacing w:line="240" w:lineRule="auto"/>
        <w:rPr>
          <w:szCs w:val="22"/>
        </w:rPr>
      </w:pPr>
      <w:r>
        <w:t xml:space="preserve">Each vial is for single use only. </w:t>
      </w:r>
    </w:p>
    <w:p w14:paraId="5F26DB2B" w14:textId="77777777" w:rsidR="00BA7A3F" w:rsidRPr="00C56B34" w:rsidRDefault="00BA7A3F" w:rsidP="00BA7A3F">
      <w:pPr>
        <w:tabs>
          <w:tab w:val="clear" w:pos="567"/>
        </w:tabs>
        <w:spacing w:line="240" w:lineRule="auto"/>
        <w:rPr>
          <w:szCs w:val="22"/>
        </w:rPr>
      </w:pPr>
    </w:p>
    <w:p w14:paraId="70B2F31C" w14:textId="77777777" w:rsidR="00BA7A3F" w:rsidRPr="00C56B34" w:rsidRDefault="00BA7A3F" w:rsidP="00BA7A3F">
      <w:pPr>
        <w:tabs>
          <w:tab w:val="clear" w:pos="567"/>
        </w:tabs>
        <w:spacing w:line="240" w:lineRule="auto"/>
        <w:rPr>
          <w:szCs w:val="22"/>
        </w:rPr>
      </w:pPr>
      <w:r>
        <w:t>Do not shake the vial before use.</w:t>
      </w:r>
    </w:p>
    <w:p w14:paraId="1C2567FE" w14:textId="77777777" w:rsidR="00BA7A3F" w:rsidRPr="00C56B34" w:rsidRDefault="00BA7A3F" w:rsidP="00BA7A3F">
      <w:pPr>
        <w:spacing w:line="240" w:lineRule="auto"/>
        <w:rPr>
          <w:szCs w:val="22"/>
        </w:rPr>
      </w:pPr>
    </w:p>
    <w:p w14:paraId="621347A0" w14:textId="77777777" w:rsidR="00BA7A3F" w:rsidRPr="00C56B34" w:rsidRDefault="00BA7A3F" w:rsidP="00BA7A3F">
      <w:pPr>
        <w:spacing w:line="240" w:lineRule="auto"/>
        <w:rPr>
          <w:szCs w:val="22"/>
        </w:rPr>
      </w:pPr>
      <w:proofErr w:type="spellStart"/>
      <w:r>
        <w:t>Burosumab</w:t>
      </w:r>
      <w:proofErr w:type="spellEnd"/>
      <w:r>
        <w:t xml:space="preserve"> should be administered using aseptic technique and sterile disposable syringes and injection needles. </w:t>
      </w:r>
    </w:p>
    <w:p w14:paraId="18AFA27D" w14:textId="77777777" w:rsidR="00BA7A3F" w:rsidRPr="00C56B34" w:rsidRDefault="00BA7A3F" w:rsidP="00BA7A3F">
      <w:pPr>
        <w:spacing w:line="240" w:lineRule="auto"/>
        <w:rPr>
          <w:szCs w:val="22"/>
        </w:rPr>
      </w:pPr>
    </w:p>
    <w:p w14:paraId="24F95553" w14:textId="77777777" w:rsidR="00BA7A3F" w:rsidRDefault="00BA7A3F" w:rsidP="00BA7A3F">
      <w:r>
        <w:t>Any unused medicinal product or waste material should be disposed of in accordance with local requirements.</w:t>
      </w:r>
    </w:p>
    <w:p w14:paraId="4E30B59F" w14:textId="2A9201B2" w:rsidR="00124AD4" w:rsidRDefault="00124AD4">
      <w:pPr>
        <w:spacing w:line="240" w:lineRule="auto"/>
        <w:rPr>
          <w:noProof/>
          <w:szCs w:val="22"/>
        </w:rPr>
      </w:pPr>
    </w:p>
    <w:p w14:paraId="3E57CC47" w14:textId="77777777" w:rsidR="00BA7A3F" w:rsidRPr="00C56B34" w:rsidRDefault="00BA7A3F">
      <w:pPr>
        <w:spacing w:line="240" w:lineRule="auto"/>
        <w:rPr>
          <w:noProof/>
          <w:szCs w:val="22"/>
        </w:rPr>
      </w:pPr>
    </w:p>
    <w:p w14:paraId="3DB46469" w14:textId="77777777" w:rsidR="00124AD4" w:rsidRPr="00C56B34" w:rsidRDefault="001D0951" w:rsidP="009A1E23">
      <w:pPr>
        <w:keepNext/>
        <w:keepLines/>
        <w:spacing w:line="240" w:lineRule="auto"/>
        <w:ind w:left="567" w:hanging="567"/>
        <w:rPr>
          <w:noProof/>
          <w:szCs w:val="22"/>
        </w:rPr>
      </w:pPr>
      <w:r w:rsidRPr="00C56B34">
        <w:rPr>
          <w:b/>
          <w:noProof/>
          <w:szCs w:val="22"/>
        </w:rPr>
        <w:t>7.</w:t>
      </w:r>
      <w:r w:rsidRPr="00C56B34">
        <w:rPr>
          <w:b/>
          <w:noProof/>
          <w:szCs w:val="22"/>
        </w:rPr>
        <w:tab/>
        <w:t>MARKETING AUTHORISATION HOLDER</w:t>
      </w:r>
    </w:p>
    <w:p w14:paraId="4C7CED34" w14:textId="77777777" w:rsidR="00124AD4" w:rsidRPr="00C56B34" w:rsidRDefault="00124AD4" w:rsidP="009A1E23">
      <w:pPr>
        <w:keepNext/>
        <w:keepLines/>
        <w:spacing w:line="240" w:lineRule="auto"/>
        <w:rPr>
          <w:noProof/>
          <w:szCs w:val="22"/>
        </w:rPr>
      </w:pPr>
    </w:p>
    <w:p w14:paraId="6FA4D4A8" w14:textId="77777777" w:rsidR="009B3D1F" w:rsidRDefault="001D0951" w:rsidP="009B3D1F">
      <w:pPr>
        <w:keepNext/>
        <w:keepLines/>
        <w:spacing w:line="240" w:lineRule="auto"/>
        <w:rPr>
          <w:lang w:eastAsia="en-GB"/>
        </w:rPr>
      </w:pPr>
      <w:r>
        <w:rPr>
          <w:lang w:eastAsia="en-GB"/>
        </w:rPr>
        <w:t>Kyowa Kirin Holdings B.V.</w:t>
      </w:r>
    </w:p>
    <w:p w14:paraId="217F1909" w14:textId="77777777" w:rsidR="009B3D1F" w:rsidRPr="000F5DEC" w:rsidRDefault="001D0951" w:rsidP="009B3D1F">
      <w:pPr>
        <w:keepNext/>
        <w:keepLines/>
        <w:spacing w:line="240" w:lineRule="auto"/>
        <w:rPr>
          <w:lang w:val="nl-NL" w:eastAsia="en-GB"/>
        </w:rPr>
      </w:pPr>
      <w:r w:rsidRPr="000F5DEC">
        <w:rPr>
          <w:lang w:val="nl-NL" w:eastAsia="en-GB"/>
        </w:rPr>
        <w:t>Bloemlaan 2</w:t>
      </w:r>
    </w:p>
    <w:p w14:paraId="23F0263E" w14:textId="77777777" w:rsidR="009B3D1F" w:rsidRPr="000F5DEC" w:rsidRDefault="001D0951" w:rsidP="009B3D1F">
      <w:pPr>
        <w:keepNext/>
        <w:keepLines/>
        <w:spacing w:line="240" w:lineRule="auto"/>
        <w:rPr>
          <w:lang w:val="nl-NL" w:eastAsia="en-GB"/>
        </w:rPr>
      </w:pPr>
      <w:r w:rsidRPr="000F5DEC">
        <w:rPr>
          <w:lang w:val="nl-NL" w:eastAsia="en-GB"/>
        </w:rPr>
        <w:t>2132NP Hoofddorp</w:t>
      </w:r>
    </w:p>
    <w:p w14:paraId="4EF7E64C" w14:textId="77777777" w:rsidR="00124AD4" w:rsidRPr="000F5DEC" w:rsidRDefault="001D0951" w:rsidP="009A1E23">
      <w:pPr>
        <w:keepNext/>
        <w:keepLines/>
        <w:spacing w:line="240" w:lineRule="auto"/>
        <w:rPr>
          <w:szCs w:val="22"/>
          <w:lang w:val="nl-NL"/>
        </w:rPr>
      </w:pPr>
      <w:r w:rsidRPr="000F5DEC">
        <w:rPr>
          <w:lang w:val="nl-NL" w:eastAsia="en-GB"/>
        </w:rPr>
        <w:t xml:space="preserve">The Netherlands </w:t>
      </w:r>
    </w:p>
    <w:p w14:paraId="174AE048" w14:textId="77777777" w:rsidR="00124AD4" w:rsidRPr="000F5DEC" w:rsidRDefault="001D0951" w:rsidP="009A1E23">
      <w:pPr>
        <w:keepNext/>
        <w:keepLines/>
        <w:spacing w:line="240" w:lineRule="auto"/>
        <w:rPr>
          <w:szCs w:val="22"/>
          <w:lang w:val="nl-NL"/>
        </w:rPr>
      </w:pPr>
      <w:r w:rsidRPr="000F5DEC">
        <w:rPr>
          <w:lang w:val="nl-NL"/>
        </w:rPr>
        <w:t xml:space="preserve">+31 (0) 237200822 </w:t>
      </w:r>
    </w:p>
    <w:p w14:paraId="2E8AE87F" w14:textId="77777777" w:rsidR="00124AD4" w:rsidRPr="00C56B34" w:rsidRDefault="00C14FEF" w:rsidP="009A1E23">
      <w:pPr>
        <w:keepNext/>
        <w:keepLines/>
        <w:spacing w:line="240" w:lineRule="auto"/>
        <w:rPr>
          <w:noProof/>
          <w:szCs w:val="22"/>
        </w:rPr>
      </w:pPr>
      <w:hyperlink r:id="rId17" w:history="1">
        <w:r w:rsidR="00F31AD6" w:rsidRPr="00662578">
          <w:rPr>
            <w:rStyle w:val="Hyperlink"/>
            <w:color w:val="auto"/>
            <w:szCs w:val="22"/>
          </w:rPr>
          <w:t>medinfo@kyowakirin.com</w:t>
        </w:r>
      </w:hyperlink>
    </w:p>
    <w:p w14:paraId="22062EC6" w14:textId="77777777" w:rsidR="00D22FE1" w:rsidRPr="00C56B34" w:rsidRDefault="00D22FE1">
      <w:pPr>
        <w:spacing w:line="240" w:lineRule="auto"/>
        <w:rPr>
          <w:noProof/>
          <w:szCs w:val="22"/>
        </w:rPr>
      </w:pPr>
    </w:p>
    <w:p w14:paraId="623D2537" w14:textId="77777777" w:rsidR="00D22FE1" w:rsidRPr="00C56B34" w:rsidRDefault="00D22FE1">
      <w:pPr>
        <w:spacing w:line="240" w:lineRule="auto"/>
        <w:rPr>
          <w:noProof/>
          <w:szCs w:val="22"/>
        </w:rPr>
      </w:pPr>
    </w:p>
    <w:p w14:paraId="5EC98D2A" w14:textId="77777777" w:rsidR="00124AD4" w:rsidRPr="00C56B34" w:rsidRDefault="001D0951">
      <w:pPr>
        <w:spacing w:line="240" w:lineRule="auto"/>
        <w:ind w:left="567" w:hanging="567"/>
        <w:rPr>
          <w:b/>
          <w:noProof/>
          <w:szCs w:val="22"/>
        </w:rPr>
      </w:pPr>
      <w:r w:rsidRPr="00C56B34">
        <w:rPr>
          <w:b/>
          <w:noProof/>
          <w:szCs w:val="22"/>
        </w:rPr>
        <w:t>8.</w:t>
      </w:r>
      <w:r w:rsidRPr="00C56B34">
        <w:rPr>
          <w:b/>
          <w:noProof/>
          <w:szCs w:val="22"/>
        </w:rPr>
        <w:tab/>
        <w:t>MA</w:t>
      </w:r>
      <w:r w:rsidR="003C65AC">
        <w:rPr>
          <w:b/>
          <w:noProof/>
          <w:szCs w:val="22"/>
        </w:rPr>
        <w:t>RKETING AUTHORISATION NUMBER(S)</w:t>
      </w:r>
    </w:p>
    <w:p w14:paraId="75396A75" w14:textId="77777777" w:rsidR="00124AD4" w:rsidRDefault="00124AD4">
      <w:pPr>
        <w:spacing w:line="240" w:lineRule="auto"/>
        <w:rPr>
          <w:noProof/>
          <w:szCs w:val="22"/>
        </w:rPr>
      </w:pPr>
    </w:p>
    <w:p w14:paraId="36B6016A" w14:textId="77777777" w:rsidR="00907967" w:rsidRDefault="001D0951" w:rsidP="00907967">
      <w:pPr>
        <w:spacing w:line="240" w:lineRule="auto"/>
        <w:rPr>
          <w:noProof/>
          <w:szCs w:val="22"/>
        </w:rPr>
      </w:pPr>
      <w:r>
        <w:rPr>
          <w:noProof/>
          <w:szCs w:val="22"/>
        </w:rPr>
        <w:t>EU/1/17/1262/001</w:t>
      </w:r>
    </w:p>
    <w:p w14:paraId="7F612389" w14:textId="77777777" w:rsidR="00907967" w:rsidRDefault="001D0951" w:rsidP="00907967">
      <w:pPr>
        <w:spacing w:line="240" w:lineRule="auto"/>
        <w:rPr>
          <w:noProof/>
          <w:szCs w:val="22"/>
        </w:rPr>
      </w:pPr>
      <w:r>
        <w:rPr>
          <w:noProof/>
          <w:szCs w:val="22"/>
        </w:rPr>
        <w:t>EU/1/17/1262/002</w:t>
      </w:r>
    </w:p>
    <w:p w14:paraId="4C9D2B6A" w14:textId="77777777" w:rsidR="00907967" w:rsidRDefault="001D0951" w:rsidP="00907967">
      <w:pPr>
        <w:spacing w:line="240" w:lineRule="auto"/>
        <w:rPr>
          <w:noProof/>
          <w:szCs w:val="22"/>
        </w:rPr>
      </w:pPr>
      <w:r>
        <w:rPr>
          <w:noProof/>
          <w:szCs w:val="22"/>
        </w:rPr>
        <w:t>EU/1/17/1262/003</w:t>
      </w:r>
    </w:p>
    <w:p w14:paraId="44976A08" w14:textId="77777777" w:rsidR="00907967" w:rsidRPr="00C56B34" w:rsidRDefault="00907967">
      <w:pPr>
        <w:spacing w:line="240" w:lineRule="auto"/>
        <w:rPr>
          <w:noProof/>
          <w:szCs w:val="22"/>
        </w:rPr>
      </w:pPr>
    </w:p>
    <w:p w14:paraId="7FCB9DA7" w14:textId="77777777" w:rsidR="00124AD4" w:rsidRPr="00C56B34" w:rsidRDefault="00124AD4">
      <w:pPr>
        <w:spacing w:line="240" w:lineRule="auto"/>
        <w:ind w:left="567" w:hanging="567"/>
        <w:rPr>
          <w:b/>
          <w:noProof/>
          <w:szCs w:val="22"/>
        </w:rPr>
      </w:pPr>
    </w:p>
    <w:p w14:paraId="416C0D53" w14:textId="77777777" w:rsidR="00124AD4" w:rsidRPr="00C56B34" w:rsidRDefault="001D0951">
      <w:pPr>
        <w:spacing w:line="240" w:lineRule="auto"/>
        <w:ind w:left="567" w:hanging="567"/>
        <w:rPr>
          <w:noProof/>
          <w:szCs w:val="22"/>
        </w:rPr>
      </w:pPr>
      <w:r w:rsidRPr="00C56B34">
        <w:rPr>
          <w:b/>
          <w:noProof/>
          <w:szCs w:val="22"/>
        </w:rPr>
        <w:t>9.</w:t>
      </w:r>
      <w:r w:rsidRPr="00C56B34">
        <w:rPr>
          <w:b/>
          <w:noProof/>
          <w:szCs w:val="22"/>
        </w:rPr>
        <w:tab/>
        <w:t>DATE OF FIRST AUTHORISATION/RENEWAL OF THE AUTHORISATION</w:t>
      </w:r>
    </w:p>
    <w:p w14:paraId="6947F427" w14:textId="77777777" w:rsidR="00124AD4" w:rsidRPr="00C56B34" w:rsidRDefault="00124AD4">
      <w:pPr>
        <w:spacing w:line="240" w:lineRule="auto"/>
        <w:rPr>
          <w:i/>
          <w:noProof/>
          <w:szCs w:val="22"/>
        </w:rPr>
      </w:pPr>
    </w:p>
    <w:p w14:paraId="086E758E" w14:textId="77777777" w:rsidR="00124AD4" w:rsidRPr="00C56B34" w:rsidRDefault="001D0951">
      <w:pPr>
        <w:spacing w:line="240" w:lineRule="auto"/>
        <w:rPr>
          <w:i/>
          <w:noProof/>
          <w:szCs w:val="22"/>
        </w:rPr>
      </w:pPr>
      <w:r w:rsidRPr="00C56B34">
        <w:rPr>
          <w:noProof/>
          <w:szCs w:val="22"/>
        </w:rPr>
        <w:t xml:space="preserve">Date of first authorisation: </w:t>
      </w:r>
      <w:r w:rsidR="004B5906">
        <w:rPr>
          <w:noProof/>
          <w:szCs w:val="22"/>
        </w:rPr>
        <w:t>1</w:t>
      </w:r>
      <w:r w:rsidR="004013A8">
        <w:rPr>
          <w:noProof/>
          <w:szCs w:val="22"/>
        </w:rPr>
        <w:t>9</w:t>
      </w:r>
      <w:r w:rsidR="004B5906">
        <w:rPr>
          <w:noProof/>
          <w:szCs w:val="22"/>
        </w:rPr>
        <w:t xml:space="preserve"> </w:t>
      </w:r>
      <w:r w:rsidR="004013A8">
        <w:rPr>
          <w:noProof/>
          <w:szCs w:val="22"/>
        </w:rPr>
        <w:t>February</w:t>
      </w:r>
      <w:r w:rsidR="004B5906">
        <w:rPr>
          <w:noProof/>
          <w:szCs w:val="22"/>
        </w:rPr>
        <w:t xml:space="preserve"> 2018</w:t>
      </w:r>
    </w:p>
    <w:p w14:paraId="10A085F5" w14:textId="77777777" w:rsidR="00124AD4" w:rsidRPr="00C56B34" w:rsidRDefault="001D0951">
      <w:pPr>
        <w:spacing w:line="240" w:lineRule="auto"/>
        <w:rPr>
          <w:noProof/>
          <w:szCs w:val="22"/>
        </w:rPr>
      </w:pPr>
      <w:r w:rsidRPr="003E38FB">
        <w:rPr>
          <w:noProof/>
          <w:szCs w:val="22"/>
        </w:rPr>
        <w:t xml:space="preserve">Date of latest renewal:  </w:t>
      </w:r>
      <w:r w:rsidR="00231221">
        <w:rPr>
          <w:noProof/>
          <w:szCs w:val="22"/>
        </w:rPr>
        <w:t xml:space="preserve">21 </w:t>
      </w:r>
      <w:r w:rsidR="00231221" w:rsidRPr="00123F7A">
        <w:rPr>
          <w:noProof/>
          <w:szCs w:val="22"/>
        </w:rPr>
        <w:t>February</w:t>
      </w:r>
      <w:r w:rsidRPr="00123F7A">
        <w:rPr>
          <w:noProof/>
          <w:szCs w:val="22"/>
        </w:rPr>
        <w:t xml:space="preserve"> 20</w:t>
      </w:r>
      <w:r w:rsidR="00860064" w:rsidRPr="00123F7A">
        <w:rPr>
          <w:noProof/>
          <w:szCs w:val="22"/>
        </w:rPr>
        <w:t>20</w:t>
      </w:r>
    </w:p>
    <w:p w14:paraId="793FB269" w14:textId="77777777" w:rsidR="00124AD4" w:rsidRDefault="00124AD4">
      <w:pPr>
        <w:spacing w:line="240" w:lineRule="auto"/>
        <w:rPr>
          <w:noProof/>
          <w:szCs w:val="22"/>
        </w:rPr>
      </w:pPr>
    </w:p>
    <w:p w14:paraId="1BAC5F02" w14:textId="77777777" w:rsidR="00D22FE1" w:rsidRPr="00C56B34" w:rsidRDefault="00D22FE1">
      <w:pPr>
        <w:spacing w:line="240" w:lineRule="auto"/>
        <w:rPr>
          <w:noProof/>
          <w:szCs w:val="22"/>
        </w:rPr>
      </w:pPr>
    </w:p>
    <w:p w14:paraId="3EC582C1" w14:textId="77777777" w:rsidR="00124AD4" w:rsidRPr="00C56B34" w:rsidRDefault="001D0951">
      <w:pPr>
        <w:spacing w:line="240" w:lineRule="auto"/>
        <w:ind w:left="567" w:hanging="567"/>
        <w:rPr>
          <w:b/>
          <w:noProof/>
          <w:szCs w:val="22"/>
        </w:rPr>
      </w:pPr>
      <w:r w:rsidRPr="00C56B34">
        <w:rPr>
          <w:b/>
          <w:noProof/>
          <w:szCs w:val="22"/>
        </w:rPr>
        <w:t>10.</w:t>
      </w:r>
      <w:r w:rsidRPr="00C56B34">
        <w:rPr>
          <w:b/>
          <w:noProof/>
          <w:szCs w:val="22"/>
        </w:rPr>
        <w:tab/>
        <w:t>DATE OF REVISION OF THE TEXT</w:t>
      </w:r>
    </w:p>
    <w:p w14:paraId="3A35F457" w14:textId="77777777" w:rsidR="00124AD4" w:rsidRDefault="00124AD4">
      <w:pPr>
        <w:spacing w:line="240" w:lineRule="auto"/>
        <w:rPr>
          <w:noProof/>
          <w:szCs w:val="22"/>
        </w:rPr>
      </w:pPr>
    </w:p>
    <w:p w14:paraId="42EB795C" w14:textId="77777777" w:rsidR="00860064" w:rsidRPr="00C56B34" w:rsidRDefault="00860064">
      <w:pPr>
        <w:spacing w:line="240" w:lineRule="auto"/>
        <w:rPr>
          <w:noProof/>
          <w:szCs w:val="22"/>
        </w:rPr>
      </w:pPr>
    </w:p>
    <w:p w14:paraId="5E9B8A66" w14:textId="77777777" w:rsidR="00124AD4" w:rsidRPr="00662578" w:rsidRDefault="001D0951" w:rsidP="50BD9E82">
      <w:pPr>
        <w:spacing w:line="240" w:lineRule="auto"/>
        <w:ind w:right="-2"/>
        <w:rPr>
          <w:szCs w:val="22"/>
        </w:rPr>
      </w:pPr>
      <w:r w:rsidRPr="00595956">
        <w:t xml:space="preserve">Detailed information on this medicinal product is available on the website of the European Medicines Agency </w:t>
      </w:r>
      <w:hyperlink r:id="rId18" w:history="1">
        <w:r w:rsidRPr="00595956">
          <w:rPr>
            <w:rStyle w:val="Hyperlink"/>
            <w:noProof/>
            <w:color w:val="auto"/>
          </w:rPr>
          <w:t>http://www.ema.europa.eu</w:t>
        </w:r>
      </w:hyperlink>
      <w:r w:rsidRPr="00595956">
        <w:rPr>
          <w:noProof/>
        </w:rPr>
        <w:t>.</w:t>
      </w:r>
    </w:p>
    <w:p w14:paraId="10194BF1" w14:textId="77777777" w:rsidR="00124AD4" w:rsidRPr="00C56B34" w:rsidRDefault="001D0951">
      <w:pPr>
        <w:spacing w:line="240" w:lineRule="auto"/>
        <w:rPr>
          <w:noProof/>
          <w:szCs w:val="22"/>
        </w:rPr>
      </w:pPr>
      <w:r w:rsidRPr="00C56B34">
        <w:rPr>
          <w:b/>
          <w:noProof/>
          <w:szCs w:val="22"/>
        </w:rPr>
        <w:br w:type="page"/>
      </w:r>
    </w:p>
    <w:p w14:paraId="35830AB5" w14:textId="77777777" w:rsidR="000533A8" w:rsidRPr="004407BE" w:rsidRDefault="000533A8" w:rsidP="000533A8">
      <w:pPr>
        <w:widowControl w:val="0"/>
        <w:autoSpaceDE w:val="0"/>
        <w:autoSpaceDN w:val="0"/>
        <w:adjustRightInd w:val="0"/>
        <w:ind w:left="127" w:right="120"/>
        <w:rPr>
          <w:rFonts w:cs="Verdana"/>
          <w:color w:val="000000"/>
        </w:rPr>
      </w:pPr>
    </w:p>
    <w:p w14:paraId="7F3E9765" w14:textId="77777777" w:rsidR="000533A8" w:rsidRPr="004407BE" w:rsidRDefault="000533A8" w:rsidP="000533A8">
      <w:pPr>
        <w:widowControl w:val="0"/>
        <w:autoSpaceDE w:val="0"/>
        <w:autoSpaceDN w:val="0"/>
        <w:adjustRightInd w:val="0"/>
        <w:ind w:left="127" w:right="120"/>
        <w:rPr>
          <w:rFonts w:cs="Verdana"/>
          <w:color w:val="000000"/>
        </w:rPr>
      </w:pPr>
    </w:p>
    <w:p w14:paraId="1F42EF23" w14:textId="77777777" w:rsidR="000533A8" w:rsidRPr="004407BE" w:rsidRDefault="000533A8" w:rsidP="000533A8">
      <w:pPr>
        <w:widowControl w:val="0"/>
        <w:autoSpaceDE w:val="0"/>
        <w:autoSpaceDN w:val="0"/>
        <w:adjustRightInd w:val="0"/>
        <w:ind w:left="127" w:right="120"/>
        <w:rPr>
          <w:rFonts w:cs="Verdana"/>
          <w:color w:val="000000"/>
        </w:rPr>
      </w:pPr>
    </w:p>
    <w:p w14:paraId="65DCC57D" w14:textId="77777777" w:rsidR="000533A8" w:rsidRPr="004407BE" w:rsidRDefault="000533A8" w:rsidP="000533A8">
      <w:pPr>
        <w:widowControl w:val="0"/>
        <w:autoSpaceDE w:val="0"/>
        <w:autoSpaceDN w:val="0"/>
        <w:adjustRightInd w:val="0"/>
        <w:ind w:left="127" w:right="120"/>
        <w:rPr>
          <w:rFonts w:cs="Verdana"/>
          <w:color w:val="000000"/>
        </w:rPr>
      </w:pPr>
    </w:p>
    <w:p w14:paraId="619139F4" w14:textId="77777777" w:rsidR="000533A8" w:rsidRPr="004407BE" w:rsidRDefault="000533A8" w:rsidP="000533A8">
      <w:pPr>
        <w:widowControl w:val="0"/>
        <w:autoSpaceDE w:val="0"/>
        <w:autoSpaceDN w:val="0"/>
        <w:adjustRightInd w:val="0"/>
        <w:ind w:left="127" w:right="120"/>
        <w:rPr>
          <w:rFonts w:cs="Verdana"/>
          <w:color w:val="000000"/>
        </w:rPr>
      </w:pPr>
    </w:p>
    <w:p w14:paraId="1B6934E9" w14:textId="77777777" w:rsidR="000533A8" w:rsidRPr="004407BE" w:rsidRDefault="000533A8" w:rsidP="000533A8">
      <w:pPr>
        <w:widowControl w:val="0"/>
        <w:autoSpaceDE w:val="0"/>
        <w:autoSpaceDN w:val="0"/>
        <w:adjustRightInd w:val="0"/>
        <w:ind w:left="127" w:right="120"/>
        <w:rPr>
          <w:rFonts w:cs="Verdana"/>
          <w:color w:val="000000"/>
        </w:rPr>
      </w:pPr>
    </w:p>
    <w:p w14:paraId="2E1F9E5F" w14:textId="77777777" w:rsidR="000533A8" w:rsidRPr="004407BE" w:rsidRDefault="001D0951" w:rsidP="000533A8">
      <w:pPr>
        <w:keepNext/>
        <w:widowControl w:val="0"/>
        <w:autoSpaceDE w:val="0"/>
        <w:autoSpaceDN w:val="0"/>
        <w:adjustRightInd w:val="0"/>
        <w:spacing w:before="280" w:after="220"/>
        <w:ind w:left="127" w:right="120"/>
        <w:jc w:val="center"/>
        <w:rPr>
          <w:rFonts w:cs="Verdana"/>
          <w:b/>
          <w:bCs/>
          <w:color w:val="000000"/>
        </w:rPr>
      </w:pPr>
      <w:r w:rsidRPr="004407BE">
        <w:rPr>
          <w:rFonts w:cs="Verdana"/>
          <w:b/>
          <w:bCs/>
          <w:color w:val="000000"/>
        </w:rPr>
        <w:t>ANNEX II</w:t>
      </w:r>
    </w:p>
    <w:p w14:paraId="0E0B602E" w14:textId="77777777" w:rsidR="000533A8" w:rsidRPr="004407BE" w:rsidRDefault="000533A8" w:rsidP="000533A8">
      <w:pPr>
        <w:widowControl w:val="0"/>
        <w:autoSpaceDE w:val="0"/>
        <w:autoSpaceDN w:val="0"/>
        <w:adjustRightInd w:val="0"/>
        <w:ind w:left="127" w:right="120"/>
        <w:rPr>
          <w:rFonts w:cs="Verdana"/>
          <w:color w:val="000000"/>
        </w:rPr>
      </w:pPr>
    </w:p>
    <w:p w14:paraId="65758AFE" w14:textId="77777777" w:rsidR="000533A8" w:rsidRPr="00AF531E" w:rsidRDefault="001D0951" w:rsidP="000533A8">
      <w:pPr>
        <w:keepNext/>
        <w:widowControl w:val="0"/>
        <w:autoSpaceDE w:val="0"/>
        <w:autoSpaceDN w:val="0"/>
        <w:adjustRightInd w:val="0"/>
        <w:spacing w:before="280" w:after="220"/>
        <w:ind w:left="847" w:right="120" w:hanging="720"/>
        <w:rPr>
          <w:rFonts w:cs="Verdana"/>
          <w:b/>
          <w:bCs/>
          <w:color w:val="000000"/>
        </w:rPr>
      </w:pPr>
      <w:r>
        <w:rPr>
          <w:rFonts w:cs="Verdana"/>
          <w:b/>
          <w:bCs/>
          <w:color w:val="000000"/>
        </w:rPr>
        <w:t>A.</w:t>
      </w:r>
      <w:r>
        <w:rPr>
          <w:rFonts w:cs="Verdana"/>
          <w:b/>
          <w:bCs/>
          <w:color w:val="000000"/>
        </w:rPr>
        <w:tab/>
      </w:r>
      <w:r w:rsidRPr="004407BE">
        <w:rPr>
          <w:rFonts w:cs="Verdana"/>
          <w:b/>
          <w:bCs/>
          <w:color w:val="000000"/>
        </w:rPr>
        <w:t xml:space="preserve">MANUFACTURER(S) OF THE BIOLOGICAL </w:t>
      </w:r>
      <w:r>
        <w:rPr>
          <w:rFonts w:cs="Verdana"/>
          <w:b/>
          <w:bCs/>
          <w:color w:val="000000"/>
        </w:rPr>
        <w:t>ACTIVE SUBSTANCE(S) AND</w:t>
      </w:r>
      <w:r w:rsidRPr="004407BE">
        <w:rPr>
          <w:rFonts w:cs="Verdana"/>
          <w:b/>
          <w:bCs/>
          <w:color w:val="000000"/>
        </w:rPr>
        <w:t xml:space="preserve"> MANUFACTURER(S)</w:t>
      </w:r>
      <w:r>
        <w:rPr>
          <w:rFonts w:cs="Verdana"/>
          <w:b/>
          <w:bCs/>
          <w:color w:val="000000"/>
        </w:rPr>
        <w:t xml:space="preserve"> RESPONSIBLE FOR BATCH RELEASE </w:t>
      </w:r>
    </w:p>
    <w:p w14:paraId="69621AA5" w14:textId="77777777" w:rsidR="000533A8" w:rsidRPr="004407BE" w:rsidRDefault="001D0951" w:rsidP="000533A8">
      <w:pPr>
        <w:keepNext/>
        <w:widowControl w:val="0"/>
        <w:autoSpaceDE w:val="0"/>
        <w:autoSpaceDN w:val="0"/>
        <w:adjustRightInd w:val="0"/>
        <w:spacing w:before="280" w:after="220"/>
        <w:ind w:left="847" w:right="120" w:hanging="720"/>
        <w:rPr>
          <w:rFonts w:cs="Verdana"/>
          <w:b/>
          <w:bCs/>
          <w:color w:val="000000"/>
        </w:rPr>
      </w:pPr>
      <w:r w:rsidRPr="004407BE">
        <w:rPr>
          <w:rFonts w:cs="Verdana"/>
          <w:b/>
          <w:bCs/>
          <w:color w:val="000000"/>
        </w:rPr>
        <w:t>B.</w:t>
      </w:r>
      <w:r w:rsidRPr="004407BE">
        <w:rPr>
          <w:rFonts w:cs="Verdana"/>
          <w:b/>
          <w:bCs/>
          <w:color w:val="000000"/>
        </w:rPr>
        <w:tab/>
        <w:t>CONDITIONS OR RESTRICTIONS REGARDING SUPPLY AND USE</w:t>
      </w:r>
    </w:p>
    <w:p w14:paraId="73A52D1D" w14:textId="77777777" w:rsidR="000533A8" w:rsidRPr="004407BE" w:rsidRDefault="000533A8" w:rsidP="000533A8">
      <w:pPr>
        <w:widowControl w:val="0"/>
        <w:autoSpaceDE w:val="0"/>
        <w:autoSpaceDN w:val="0"/>
        <w:adjustRightInd w:val="0"/>
        <w:ind w:left="127" w:right="120"/>
        <w:rPr>
          <w:rFonts w:cs="Verdana"/>
          <w:color w:val="000000"/>
        </w:rPr>
      </w:pPr>
    </w:p>
    <w:p w14:paraId="22C0B76F" w14:textId="77777777" w:rsidR="000533A8" w:rsidRPr="004407BE" w:rsidRDefault="001D0951" w:rsidP="000533A8">
      <w:pPr>
        <w:keepNext/>
        <w:widowControl w:val="0"/>
        <w:autoSpaceDE w:val="0"/>
        <w:autoSpaceDN w:val="0"/>
        <w:adjustRightInd w:val="0"/>
        <w:ind w:left="847" w:right="120" w:hanging="720"/>
        <w:rPr>
          <w:rFonts w:cs="Verdana"/>
          <w:b/>
          <w:bCs/>
          <w:color w:val="000000"/>
        </w:rPr>
      </w:pPr>
      <w:r w:rsidRPr="004407BE">
        <w:rPr>
          <w:rFonts w:cs="Verdana"/>
          <w:b/>
          <w:bCs/>
          <w:color w:val="000000"/>
        </w:rPr>
        <w:t>C.</w:t>
      </w:r>
      <w:r w:rsidRPr="004407BE">
        <w:rPr>
          <w:rFonts w:cs="Verdana"/>
          <w:b/>
          <w:bCs/>
          <w:color w:val="000000"/>
        </w:rPr>
        <w:tab/>
        <w:t>OTHER CONDITIONS AND REQUIREMENTS OF THE MARKETING AUTHORISATION</w:t>
      </w:r>
    </w:p>
    <w:p w14:paraId="5649E794" w14:textId="77777777" w:rsidR="000533A8" w:rsidRPr="004407BE" w:rsidRDefault="000533A8" w:rsidP="000533A8">
      <w:pPr>
        <w:widowControl w:val="0"/>
        <w:autoSpaceDE w:val="0"/>
        <w:autoSpaceDN w:val="0"/>
        <w:adjustRightInd w:val="0"/>
        <w:ind w:left="127" w:right="120"/>
        <w:rPr>
          <w:rFonts w:cs="Verdana"/>
          <w:color w:val="000000"/>
        </w:rPr>
      </w:pPr>
    </w:p>
    <w:p w14:paraId="6C45F2D4" w14:textId="77777777" w:rsidR="000533A8" w:rsidRPr="004407BE" w:rsidRDefault="001D0951" w:rsidP="000533A8">
      <w:pPr>
        <w:keepNext/>
        <w:widowControl w:val="0"/>
        <w:autoSpaceDE w:val="0"/>
        <w:autoSpaceDN w:val="0"/>
        <w:adjustRightInd w:val="0"/>
        <w:ind w:left="847" w:right="120" w:hanging="720"/>
        <w:rPr>
          <w:rFonts w:cs="Verdana"/>
          <w:b/>
          <w:bCs/>
          <w:color w:val="000000"/>
        </w:rPr>
      </w:pPr>
      <w:r w:rsidRPr="004407BE">
        <w:rPr>
          <w:rFonts w:cs="Verdana"/>
          <w:b/>
          <w:bCs/>
          <w:color w:val="000000"/>
        </w:rPr>
        <w:t>D.</w:t>
      </w:r>
      <w:r w:rsidRPr="004407BE">
        <w:rPr>
          <w:rFonts w:cs="Verdana"/>
          <w:b/>
          <w:bCs/>
          <w:color w:val="000000"/>
        </w:rPr>
        <w:tab/>
        <w:t>CONDITIONS OR RESTRICTIONS WITH REGARD TO THE SAFE AND EFFECTIVE USE OF THE MEDICINAL PRODUCT</w:t>
      </w:r>
    </w:p>
    <w:p w14:paraId="52819597" w14:textId="77777777" w:rsidR="000533A8" w:rsidRPr="004407BE" w:rsidRDefault="000533A8" w:rsidP="000533A8">
      <w:pPr>
        <w:widowControl w:val="0"/>
        <w:autoSpaceDE w:val="0"/>
        <w:autoSpaceDN w:val="0"/>
        <w:adjustRightInd w:val="0"/>
        <w:ind w:left="127" w:right="120"/>
        <w:rPr>
          <w:rFonts w:cs="Verdana"/>
          <w:color w:val="000000"/>
        </w:rPr>
      </w:pPr>
    </w:p>
    <w:p w14:paraId="5054B552" w14:textId="77777777" w:rsidR="000533A8" w:rsidRPr="004407BE" w:rsidRDefault="001D0951" w:rsidP="000533A8">
      <w:pPr>
        <w:keepNext/>
        <w:widowControl w:val="0"/>
        <w:autoSpaceDE w:val="0"/>
        <w:autoSpaceDN w:val="0"/>
        <w:adjustRightInd w:val="0"/>
        <w:ind w:left="847" w:right="120" w:hanging="720"/>
        <w:rPr>
          <w:rFonts w:cs="Verdana"/>
          <w:b/>
          <w:bCs/>
          <w:color w:val="000000"/>
        </w:rPr>
      </w:pPr>
      <w:r w:rsidRPr="004407BE">
        <w:rPr>
          <w:rFonts w:cs="Verdana"/>
          <w:b/>
          <w:bCs/>
          <w:color w:val="000000"/>
        </w:rPr>
        <w:t>E.</w:t>
      </w:r>
      <w:r w:rsidRPr="004407BE">
        <w:rPr>
          <w:rFonts w:cs="Verdana"/>
          <w:b/>
          <w:bCs/>
          <w:color w:val="000000"/>
        </w:rPr>
        <w:tab/>
        <w:t>SPECIFIC OBLIGATION TO COMPLETE POST-AUTHORISATION MEASURES FOR THE CONDITIONAL MARKETING AUTHORISATION</w:t>
      </w:r>
    </w:p>
    <w:p w14:paraId="5CBCE11B" w14:textId="77777777" w:rsidR="000533A8" w:rsidRPr="004407BE" w:rsidRDefault="000533A8" w:rsidP="000533A8">
      <w:pPr>
        <w:widowControl w:val="0"/>
        <w:autoSpaceDE w:val="0"/>
        <w:autoSpaceDN w:val="0"/>
        <w:adjustRightInd w:val="0"/>
        <w:ind w:left="127" w:right="120"/>
        <w:rPr>
          <w:rFonts w:cs="Verdana"/>
          <w:color w:val="000000"/>
        </w:rPr>
      </w:pPr>
    </w:p>
    <w:p w14:paraId="5514AC3D" w14:textId="77777777" w:rsidR="000533A8" w:rsidRPr="004407BE" w:rsidRDefault="000533A8" w:rsidP="000533A8">
      <w:pPr>
        <w:keepNext/>
        <w:widowControl w:val="0"/>
        <w:autoSpaceDE w:val="0"/>
        <w:autoSpaceDN w:val="0"/>
        <w:adjustRightInd w:val="0"/>
        <w:spacing w:before="280"/>
        <w:ind w:left="847" w:right="120" w:hanging="720"/>
        <w:rPr>
          <w:rFonts w:cs="Verdana"/>
          <w:color w:val="000000"/>
        </w:rPr>
      </w:pPr>
    </w:p>
    <w:p w14:paraId="15207B6D" w14:textId="77777777" w:rsidR="000533A8" w:rsidRPr="00AC5B5D" w:rsidRDefault="001D0951" w:rsidP="00AC5B5D">
      <w:pPr>
        <w:pStyle w:val="TitleB"/>
        <w:widowControl/>
      </w:pPr>
      <w:r w:rsidRPr="004407BE">
        <w:rPr>
          <w:rFonts w:cs="Verdana"/>
        </w:rPr>
        <w:br w:type="page"/>
      </w:r>
      <w:r w:rsidRPr="00AC5B5D">
        <w:lastRenderedPageBreak/>
        <w:t>A.</w:t>
      </w:r>
      <w:r w:rsidRPr="00AC5B5D">
        <w:tab/>
        <w:t>MANUFACTURER(S) OF THE BIOLOGICAL ACTIVE SUBSTANCE(S) AND MANUFACTURER(S) RESPONSIBLE FOR BATCH RELEASE</w:t>
      </w:r>
    </w:p>
    <w:p w14:paraId="1A2BC138" w14:textId="77777777" w:rsidR="00AC5B5D" w:rsidRPr="00C53442" w:rsidRDefault="00AC5B5D" w:rsidP="00AC5B5D">
      <w:pPr>
        <w:pStyle w:val="TitleB"/>
        <w:widowControl/>
        <w:rPr>
          <w:rFonts w:cs="Verdana"/>
          <w:b w:val="0"/>
          <w:bCs w:val="0"/>
        </w:rPr>
      </w:pPr>
    </w:p>
    <w:p w14:paraId="1BA032CD" w14:textId="77777777" w:rsidR="000533A8" w:rsidRPr="00C53442" w:rsidRDefault="001D0951" w:rsidP="000533A8">
      <w:pPr>
        <w:widowControl w:val="0"/>
        <w:autoSpaceDE w:val="0"/>
        <w:autoSpaceDN w:val="0"/>
        <w:adjustRightInd w:val="0"/>
        <w:spacing w:after="140" w:line="280" w:lineRule="atLeast"/>
        <w:ind w:left="127" w:right="120"/>
        <w:rPr>
          <w:rFonts w:ascii="Courier New" w:hAnsi="Courier New" w:cs="Courier New"/>
          <w:i/>
          <w:iCs/>
          <w:color w:val="339966"/>
          <w:u w:val="single"/>
        </w:rPr>
      </w:pPr>
      <w:r w:rsidRPr="00C53442">
        <w:rPr>
          <w:rFonts w:cs="Verdana"/>
          <w:color w:val="000000"/>
          <w:u w:val="single"/>
        </w:rPr>
        <w:t xml:space="preserve">Name and address of the manufacturer(s) of the biological active substance(s) </w:t>
      </w:r>
    </w:p>
    <w:p w14:paraId="6BC99173" w14:textId="77777777" w:rsidR="000533A8" w:rsidRPr="00123F7A" w:rsidRDefault="001D0951" w:rsidP="000533A8">
      <w:pPr>
        <w:widowControl w:val="0"/>
        <w:autoSpaceDE w:val="0"/>
        <w:autoSpaceDN w:val="0"/>
        <w:adjustRightInd w:val="0"/>
        <w:ind w:left="127" w:right="120"/>
        <w:rPr>
          <w:rFonts w:cs="Verdana"/>
          <w:color w:val="000000"/>
          <w:lang w:val="pl-PL"/>
        </w:rPr>
      </w:pPr>
      <w:r w:rsidRPr="00123F7A">
        <w:rPr>
          <w:rFonts w:cs="Verdana"/>
          <w:color w:val="000000"/>
          <w:lang w:val="pl-PL"/>
        </w:rPr>
        <w:t>Kyowa Kirin Co., Ltd.</w:t>
      </w:r>
      <w:r w:rsidRPr="00123F7A">
        <w:rPr>
          <w:rFonts w:cs="Verdana"/>
          <w:color w:val="000000"/>
          <w:lang w:val="pl-PL"/>
        </w:rPr>
        <w:br/>
        <w:t>Takasaki Plant</w:t>
      </w:r>
      <w:r w:rsidRPr="00123F7A">
        <w:rPr>
          <w:rFonts w:cs="Verdana"/>
          <w:color w:val="000000"/>
          <w:lang w:val="pl-PL"/>
        </w:rPr>
        <w:br/>
        <w:t>100-1 Hagiwara-machi</w:t>
      </w:r>
      <w:r w:rsidRPr="00123F7A">
        <w:rPr>
          <w:rFonts w:cs="Verdana"/>
          <w:color w:val="000000"/>
          <w:lang w:val="pl-PL"/>
        </w:rPr>
        <w:br/>
        <w:t>Takasaki</w:t>
      </w:r>
      <w:r w:rsidRPr="00123F7A">
        <w:rPr>
          <w:rFonts w:cs="Verdana"/>
          <w:color w:val="000000"/>
          <w:lang w:val="pl-PL"/>
        </w:rPr>
        <w:br/>
        <w:t>370-0013 Gunma</w:t>
      </w:r>
      <w:r w:rsidRPr="00123F7A">
        <w:rPr>
          <w:rFonts w:cs="Verdana"/>
          <w:color w:val="000000"/>
          <w:lang w:val="pl-PL"/>
        </w:rPr>
        <w:br/>
        <w:t>JAPAN</w:t>
      </w:r>
    </w:p>
    <w:p w14:paraId="2EDDE4B6" w14:textId="77777777" w:rsidR="000533A8" w:rsidRPr="00123F7A" w:rsidRDefault="000533A8" w:rsidP="000533A8">
      <w:pPr>
        <w:widowControl w:val="0"/>
        <w:autoSpaceDE w:val="0"/>
        <w:autoSpaceDN w:val="0"/>
        <w:adjustRightInd w:val="0"/>
        <w:ind w:left="127" w:right="120"/>
        <w:rPr>
          <w:rFonts w:cs="Verdana"/>
          <w:color w:val="000000"/>
          <w:lang w:val="pl-PL"/>
        </w:rPr>
      </w:pPr>
    </w:p>
    <w:p w14:paraId="119BDE61" w14:textId="77777777" w:rsidR="000533A8" w:rsidRPr="00123F7A" w:rsidRDefault="001D0951" w:rsidP="000533A8">
      <w:pPr>
        <w:widowControl w:val="0"/>
        <w:autoSpaceDE w:val="0"/>
        <w:autoSpaceDN w:val="0"/>
        <w:adjustRightInd w:val="0"/>
        <w:spacing w:after="140" w:line="280" w:lineRule="atLeast"/>
        <w:ind w:left="127" w:right="120"/>
        <w:rPr>
          <w:rFonts w:cs="Verdana"/>
          <w:color w:val="000000"/>
          <w:u w:val="single"/>
        </w:rPr>
      </w:pPr>
      <w:r w:rsidRPr="00123F7A">
        <w:rPr>
          <w:rFonts w:cs="Verdana"/>
          <w:color w:val="000000"/>
          <w:u w:val="single"/>
        </w:rPr>
        <w:t>Name and address of the manufacturer(s) responsible for batch release</w:t>
      </w:r>
    </w:p>
    <w:p w14:paraId="23AEF4EC" w14:textId="77777777" w:rsidR="000533A8" w:rsidRPr="00123F7A" w:rsidRDefault="001D0951" w:rsidP="000533A8">
      <w:pPr>
        <w:widowControl w:val="0"/>
        <w:autoSpaceDE w:val="0"/>
        <w:autoSpaceDN w:val="0"/>
        <w:adjustRightInd w:val="0"/>
        <w:ind w:left="127" w:right="120"/>
        <w:rPr>
          <w:rFonts w:cs="Verdana"/>
          <w:color w:val="000000"/>
        </w:rPr>
      </w:pPr>
      <w:r w:rsidRPr="00123F7A">
        <w:rPr>
          <w:rFonts w:cs="Verdana"/>
          <w:color w:val="000000"/>
        </w:rPr>
        <w:t>Piramal Healthcare UK Limited</w:t>
      </w:r>
      <w:r w:rsidRPr="00123F7A">
        <w:rPr>
          <w:rFonts w:cs="Verdana"/>
          <w:color w:val="000000"/>
        </w:rPr>
        <w:br/>
      </w:r>
      <w:proofErr w:type="spellStart"/>
      <w:r w:rsidRPr="00123F7A">
        <w:rPr>
          <w:rFonts w:cs="Verdana"/>
          <w:color w:val="000000"/>
        </w:rPr>
        <w:t>Whalton</w:t>
      </w:r>
      <w:proofErr w:type="spellEnd"/>
      <w:r w:rsidRPr="00123F7A">
        <w:rPr>
          <w:rFonts w:cs="Verdana"/>
          <w:color w:val="000000"/>
        </w:rPr>
        <w:t xml:space="preserve"> Road</w:t>
      </w:r>
      <w:r w:rsidRPr="00123F7A">
        <w:rPr>
          <w:rFonts w:cs="Verdana"/>
          <w:color w:val="000000"/>
        </w:rPr>
        <w:br/>
        <w:t>Northumberland</w:t>
      </w:r>
      <w:r w:rsidRPr="00123F7A">
        <w:rPr>
          <w:rFonts w:cs="Verdana"/>
          <w:color w:val="000000"/>
        </w:rPr>
        <w:br/>
        <w:t>Morpeth</w:t>
      </w:r>
      <w:r w:rsidRPr="00123F7A">
        <w:rPr>
          <w:rFonts w:cs="Verdana"/>
          <w:color w:val="000000"/>
        </w:rPr>
        <w:br/>
        <w:t>NE61 3YA</w:t>
      </w:r>
      <w:r w:rsidRPr="00123F7A">
        <w:rPr>
          <w:rFonts w:cs="Verdana"/>
          <w:color w:val="000000"/>
        </w:rPr>
        <w:br/>
        <w:t>UNITED KINGDOM</w:t>
      </w:r>
    </w:p>
    <w:p w14:paraId="09F6D8BB" w14:textId="77777777" w:rsidR="00EB4955" w:rsidRPr="00123F7A" w:rsidRDefault="00EB4955" w:rsidP="000533A8">
      <w:pPr>
        <w:widowControl w:val="0"/>
        <w:autoSpaceDE w:val="0"/>
        <w:autoSpaceDN w:val="0"/>
        <w:adjustRightInd w:val="0"/>
        <w:ind w:left="127" w:right="120"/>
        <w:rPr>
          <w:rFonts w:cs="Verdana"/>
          <w:color w:val="000000"/>
        </w:rPr>
      </w:pPr>
    </w:p>
    <w:p w14:paraId="5DE52CFD" w14:textId="77777777" w:rsidR="00EB4955" w:rsidRPr="00123F7A" w:rsidRDefault="00EB4955" w:rsidP="00EB4955">
      <w:pPr>
        <w:widowControl w:val="0"/>
        <w:autoSpaceDE w:val="0"/>
        <w:autoSpaceDN w:val="0"/>
        <w:adjustRightInd w:val="0"/>
        <w:ind w:left="127" w:right="120"/>
        <w:rPr>
          <w:rFonts w:cs="Verdana"/>
          <w:color w:val="000000"/>
          <w:lang w:val="sv-SE"/>
        </w:rPr>
      </w:pPr>
      <w:r w:rsidRPr="00123F7A">
        <w:rPr>
          <w:rFonts w:cs="Verdana"/>
          <w:color w:val="000000"/>
          <w:lang w:val="sv-SE"/>
        </w:rPr>
        <w:t>allphamed PHARBIL Arzneimittel GmbH</w:t>
      </w:r>
    </w:p>
    <w:p w14:paraId="3BFBC272" w14:textId="77777777" w:rsidR="00EB4955" w:rsidRPr="00123F7A" w:rsidRDefault="00EB4955" w:rsidP="00EB4955">
      <w:pPr>
        <w:widowControl w:val="0"/>
        <w:autoSpaceDE w:val="0"/>
        <w:autoSpaceDN w:val="0"/>
        <w:adjustRightInd w:val="0"/>
        <w:ind w:left="127" w:right="120"/>
        <w:rPr>
          <w:rFonts w:cs="Verdana"/>
          <w:color w:val="000000"/>
          <w:lang w:val="sv-SE"/>
        </w:rPr>
      </w:pPr>
      <w:r w:rsidRPr="00123F7A">
        <w:rPr>
          <w:rFonts w:cs="Verdana"/>
          <w:color w:val="000000"/>
          <w:lang w:val="sv-SE"/>
        </w:rPr>
        <w:t>Hildebrandstr. 10-12</w:t>
      </w:r>
    </w:p>
    <w:p w14:paraId="445F75C4" w14:textId="77777777" w:rsidR="00EB4955" w:rsidRPr="00123F7A" w:rsidRDefault="00EB4955" w:rsidP="00EB4955">
      <w:pPr>
        <w:widowControl w:val="0"/>
        <w:autoSpaceDE w:val="0"/>
        <w:autoSpaceDN w:val="0"/>
        <w:adjustRightInd w:val="0"/>
        <w:ind w:left="127" w:right="120"/>
        <w:rPr>
          <w:rFonts w:cs="Verdana"/>
          <w:color w:val="000000"/>
          <w:lang w:val="sv-SE"/>
        </w:rPr>
      </w:pPr>
      <w:r w:rsidRPr="00123F7A">
        <w:rPr>
          <w:rFonts w:cs="Verdana"/>
          <w:color w:val="000000"/>
          <w:lang w:val="sv-SE"/>
        </w:rPr>
        <w:t>37081 Göttingen</w:t>
      </w:r>
    </w:p>
    <w:p w14:paraId="1D35BEB1" w14:textId="77777777" w:rsidR="00EB4955" w:rsidRPr="00123F7A" w:rsidRDefault="00EB4955" w:rsidP="00EB4955">
      <w:pPr>
        <w:widowControl w:val="0"/>
        <w:autoSpaceDE w:val="0"/>
        <w:autoSpaceDN w:val="0"/>
        <w:adjustRightInd w:val="0"/>
        <w:ind w:left="127" w:right="120"/>
        <w:rPr>
          <w:rFonts w:cs="Verdana"/>
          <w:color w:val="000000"/>
        </w:rPr>
      </w:pPr>
      <w:r w:rsidRPr="00123F7A">
        <w:rPr>
          <w:rFonts w:cs="Verdana"/>
          <w:color w:val="000000"/>
        </w:rPr>
        <w:t>GERMANY</w:t>
      </w:r>
    </w:p>
    <w:p w14:paraId="31E141A7" w14:textId="77777777" w:rsidR="00EB4955" w:rsidRPr="00123F7A" w:rsidRDefault="00EB4955" w:rsidP="00EB4955">
      <w:pPr>
        <w:widowControl w:val="0"/>
        <w:autoSpaceDE w:val="0"/>
        <w:autoSpaceDN w:val="0"/>
        <w:adjustRightInd w:val="0"/>
        <w:ind w:left="127" w:right="120"/>
        <w:rPr>
          <w:rFonts w:cs="Verdana"/>
          <w:color w:val="000000"/>
        </w:rPr>
      </w:pPr>
    </w:p>
    <w:p w14:paraId="29A063BC" w14:textId="77777777" w:rsidR="00EB4955" w:rsidRPr="00123F7A" w:rsidRDefault="00EB4955" w:rsidP="00EB4955">
      <w:pPr>
        <w:widowControl w:val="0"/>
        <w:autoSpaceDE w:val="0"/>
        <w:autoSpaceDN w:val="0"/>
        <w:adjustRightInd w:val="0"/>
        <w:ind w:left="127" w:right="120"/>
        <w:rPr>
          <w:rFonts w:cs="Verdana"/>
          <w:color w:val="000000"/>
        </w:rPr>
      </w:pPr>
      <w:r w:rsidRPr="00123F7A">
        <w:rPr>
          <w:rFonts w:cs="Verdana"/>
          <w:color w:val="000000"/>
        </w:rPr>
        <w:t>The printed package leaflet of the medicinal product must state the name and address of the</w:t>
      </w:r>
    </w:p>
    <w:p w14:paraId="091EE264" w14:textId="77777777" w:rsidR="00EB4955" w:rsidRPr="004407BE" w:rsidRDefault="00EB4955" w:rsidP="00EB4955">
      <w:pPr>
        <w:widowControl w:val="0"/>
        <w:autoSpaceDE w:val="0"/>
        <w:autoSpaceDN w:val="0"/>
        <w:adjustRightInd w:val="0"/>
        <w:ind w:left="127" w:right="120"/>
        <w:rPr>
          <w:rFonts w:cs="Verdana"/>
          <w:color w:val="000000"/>
        </w:rPr>
      </w:pPr>
      <w:r w:rsidRPr="00123F7A">
        <w:rPr>
          <w:rFonts w:cs="Verdana"/>
          <w:color w:val="000000"/>
        </w:rPr>
        <w:t>manufacturer responsible for the release of the concerned batch.</w:t>
      </w:r>
    </w:p>
    <w:p w14:paraId="00DFC78F" w14:textId="77777777" w:rsidR="000533A8" w:rsidRPr="004407BE" w:rsidRDefault="000533A8" w:rsidP="000533A8">
      <w:pPr>
        <w:widowControl w:val="0"/>
        <w:autoSpaceDE w:val="0"/>
        <w:autoSpaceDN w:val="0"/>
        <w:adjustRightInd w:val="0"/>
        <w:spacing w:line="280" w:lineRule="atLeast"/>
        <w:ind w:right="120"/>
        <w:rPr>
          <w:rFonts w:cs="Verdana"/>
          <w:color w:val="000000"/>
        </w:rPr>
      </w:pPr>
    </w:p>
    <w:p w14:paraId="23F77964" w14:textId="77777777" w:rsidR="000533A8" w:rsidRDefault="001D0951" w:rsidP="00AC5B5D">
      <w:pPr>
        <w:pStyle w:val="TitleB"/>
      </w:pPr>
      <w:r w:rsidRPr="004407BE">
        <w:t>B.</w:t>
      </w:r>
      <w:r w:rsidRPr="004407BE">
        <w:tab/>
        <w:t>CONDITIONS OR RESTRICTIONS REGARDING SUPPLY AND USE</w:t>
      </w:r>
    </w:p>
    <w:p w14:paraId="67F8ACE5" w14:textId="77777777" w:rsidR="00AC5B5D" w:rsidRPr="004407BE" w:rsidRDefault="00AC5B5D" w:rsidP="00AC5B5D">
      <w:pPr>
        <w:pStyle w:val="TitleB"/>
      </w:pPr>
    </w:p>
    <w:p w14:paraId="4A0DC20B" w14:textId="77777777" w:rsidR="000533A8" w:rsidRDefault="001D0951" w:rsidP="000533A8">
      <w:pPr>
        <w:widowControl w:val="0"/>
        <w:autoSpaceDE w:val="0"/>
        <w:autoSpaceDN w:val="0"/>
        <w:adjustRightInd w:val="0"/>
        <w:spacing w:line="280" w:lineRule="exact"/>
        <w:ind w:left="127" w:right="120"/>
        <w:rPr>
          <w:rFonts w:cs="Verdana"/>
          <w:color w:val="000000"/>
        </w:rPr>
      </w:pPr>
      <w:r w:rsidRPr="0025599C">
        <w:rPr>
          <w:rFonts w:cs="Verdana"/>
          <w:color w:val="000000"/>
        </w:rPr>
        <w:t>Medicinal product subject to restricted medical prescription (see Annex I: Summary of Product Characteristics, section 4.2).</w:t>
      </w:r>
    </w:p>
    <w:p w14:paraId="0CD9F0EC" w14:textId="77777777" w:rsidR="000533A8" w:rsidRPr="004407BE" w:rsidRDefault="000533A8" w:rsidP="000533A8">
      <w:pPr>
        <w:widowControl w:val="0"/>
        <w:autoSpaceDE w:val="0"/>
        <w:autoSpaceDN w:val="0"/>
        <w:adjustRightInd w:val="0"/>
        <w:spacing w:after="140" w:line="280" w:lineRule="atLeast"/>
        <w:ind w:right="120"/>
        <w:rPr>
          <w:rFonts w:cs="Verdana"/>
          <w:color w:val="000000"/>
        </w:rPr>
      </w:pPr>
    </w:p>
    <w:p w14:paraId="1FFC47CE" w14:textId="77777777" w:rsidR="000533A8" w:rsidRPr="004407BE" w:rsidRDefault="001D0951" w:rsidP="00AC5B5D">
      <w:pPr>
        <w:pStyle w:val="TitleB"/>
      </w:pPr>
      <w:r>
        <w:t>C.</w:t>
      </w:r>
      <w:r w:rsidRPr="004407BE">
        <w:tab/>
        <w:t xml:space="preserve">OTHER CONDITIONS AND REQUIREMENTS OF THE MARKETING AUTHORISATION </w:t>
      </w:r>
    </w:p>
    <w:p w14:paraId="2C5B7AE9" w14:textId="77777777" w:rsidR="000533A8" w:rsidRPr="004407BE" w:rsidRDefault="000533A8" w:rsidP="000533A8">
      <w:pPr>
        <w:widowControl w:val="0"/>
        <w:autoSpaceDE w:val="0"/>
        <w:autoSpaceDN w:val="0"/>
        <w:adjustRightInd w:val="0"/>
        <w:spacing w:after="140" w:line="280" w:lineRule="atLeast"/>
        <w:ind w:left="127" w:right="120"/>
        <w:rPr>
          <w:rFonts w:cs="Verdana"/>
          <w:color w:val="000000"/>
        </w:rPr>
      </w:pPr>
    </w:p>
    <w:p w14:paraId="4C8704A6" w14:textId="77777777" w:rsidR="000533A8" w:rsidRPr="004407BE" w:rsidRDefault="001D0951" w:rsidP="000533A8">
      <w:pPr>
        <w:widowControl w:val="0"/>
        <w:numPr>
          <w:ilvl w:val="0"/>
          <w:numId w:val="16"/>
        </w:numPr>
        <w:tabs>
          <w:tab w:val="clear" w:pos="567"/>
          <w:tab w:val="left" w:pos="468"/>
        </w:tabs>
        <w:autoSpaceDE w:val="0"/>
        <w:autoSpaceDN w:val="0"/>
        <w:adjustRightInd w:val="0"/>
        <w:spacing w:line="240" w:lineRule="auto"/>
        <w:ind w:left="468"/>
        <w:rPr>
          <w:rFonts w:cs="Verdana"/>
          <w:color w:val="000000"/>
        </w:rPr>
      </w:pPr>
      <w:r w:rsidRPr="004407BE">
        <w:rPr>
          <w:rFonts w:cs="Verdana"/>
          <w:b/>
          <w:bCs/>
          <w:color w:val="000000"/>
        </w:rPr>
        <w:t xml:space="preserve">Periodic safety update reports </w:t>
      </w:r>
      <w:r w:rsidR="009A12A5">
        <w:rPr>
          <w:rFonts w:cs="Verdana"/>
          <w:b/>
          <w:bCs/>
          <w:color w:val="000000"/>
        </w:rPr>
        <w:t>(PSURs)</w:t>
      </w:r>
    </w:p>
    <w:p w14:paraId="72CA437F" w14:textId="77777777" w:rsidR="000533A8" w:rsidRPr="004407BE" w:rsidRDefault="000533A8" w:rsidP="000533A8">
      <w:pPr>
        <w:widowControl w:val="0"/>
        <w:autoSpaceDE w:val="0"/>
        <w:autoSpaceDN w:val="0"/>
        <w:adjustRightInd w:val="0"/>
        <w:spacing w:after="140" w:line="280" w:lineRule="atLeast"/>
        <w:ind w:left="127" w:right="120"/>
        <w:rPr>
          <w:rFonts w:cs="Verdana"/>
          <w:color w:val="000000"/>
        </w:rPr>
      </w:pPr>
    </w:p>
    <w:p w14:paraId="548C4E41" w14:textId="2E39FAAB" w:rsidR="000533A8" w:rsidRPr="004407BE" w:rsidRDefault="001D0951" w:rsidP="000533A8">
      <w:pPr>
        <w:widowControl w:val="0"/>
        <w:autoSpaceDE w:val="0"/>
        <w:autoSpaceDN w:val="0"/>
        <w:adjustRightInd w:val="0"/>
        <w:spacing w:after="140" w:line="280" w:lineRule="atLeast"/>
        <w:ind w:left="127" w:right="120"/>
        <w:rPr>
          <w:rFonts w:cs="Verdana"/>
          <w:color w:val="000000"/>
        </w:rPr>
      </w:pPr>
      <w:r w:rsidRPr="004407BE">
        <w:rPr>
          <w:rFonts w:cs="Verdana"/>
          <w:color w:val="000000"/>
        </w:rPr>
        <w:t xml:space="preserve">The requirements for submission of </w:t>
      </w:r>
      <w:r w:rsidR="009A12A5">
        <w:rPr>
          <w:rFonts w:cs="Verdana"/>
          <w:color w:val="000000"/>
        </w:rPr>
        <w:t>PSURs</w:t>
      </w:r>
      <w:r w:rsidR="009A12A5" w:rsidRPr="004407BE" w:rsidDel="009A12A5">
        <w:rPr>
          <w:rFonts w:cs="Verdana"/>
          <w:color w:val="000000"/>
        </w:rPr>
        <w:t xml:space="preserve"> </w:t>
      </w:r>
      <w:r w:rsidRPr="004407BE">
        <w:rPr>
          <w:rFonts w:cs="Verdana"/>
          <w:color w:val="000000"/>
        </w:rPr>
        <w:t>for this medicinal product are set out in the list of Union reference dates (EURD list) provided for under Article 107</w:t>
      </w:r>
      <w:proofErr w:type="gramStart"/>
      <w:r w:rsidRPr="004407BE">
        <w:rPr>
          <w:rFonts w:cs="Verdana"/>
          <w:color w:val="000000"/>
        </w:rPr>
        <w:t>c(</w:t>
      </w:r>
      <w:proofErr w:type="gramEnd"/>
      <w:r w:rsidRPr="004407BE">
        <w:rPr>
          <w:rFonts w:cs="Verdana"/>
          <w:color w:val="000000"/>
        </w:rPr>
        <w:t>7) of Directive 2001/83/EC and any subsequent updates published on the European medicines web-portal.</w:t>
      </w:r>
    </w:p>
    <w:p w14:paraId="25A2FBD7" w14:textId="4CBA73BB" w:rsidR="000533A8" w:rsidRPr="004407BE" w:rsidRDefault="001D0951" w:rsidP="000533A8">
      <w:pPr>
        <w:widowControl w:val="0"/>
        <w:autoSpaceDE w:val="0"/>
        <w:autoSpaceDN w:val="0"/>
        <w:adjustRightInd w:val="0"/>
        <w:spacing w:after="140" w:line="280" w:lineRule="atLeast"/>
        <w:ind w:left="127" w:right="120"/>
        <w:rPr>
          <w:rFonts w:cs="Verdana"/>
          <w:color w:val="000000"/>
        </w:rPr>
      </w:pPr>
      <w:r w:rsidRPr="004407BE">
        <w:rPr>
          <w:rFonts w:cs="Verdana"/>
          <w:color w:val="000000"/>
        </w:rPr>
        <w:t>The marketing authorisation holder</w:t>
      </w:r>
      <w:r w:rsidR="009A12A5">
        <w:rPr>
          <w:rFonts w:cs="Verdana"/>
          <w:color w:val="000000"/>
        </w:rPr>
        <w:t xml:space="preserve"> (MAH)</w:t>
      </w:r>
      <w:r w:rsidRPr="004407BE">
        <w:rPr>
          <w:rFonts w:cs="Verdana"/>
          <w:color w:val="000000"/>
        </w:rPr>
        <w:t xml:space="preserve"> shall submit the first </w:t>
      </w:r>
      <w:r w:rsidR="009A12A5">
        <w:rPr>
          <w:rFonts w:cs="Verdana"/>
          <w:color w:val="000000"/>
        </w:rPr>
        <w:t>PSUR</w:t>
      </w:r>
      <w:r w:rsidR="00123F7A">
        <w:rPr>
          <w:rFonts w:cs="Verdana"/>
          <w:color w:val="000000"/>
        </w:rPr>
        <w:t xml:space="preserve"> </w:t>
      </w:r>
      <w:r w:rsidRPr="004407BE">
        <w:rPr>
          <w:rFonts w:cs="Verdana"/>
          <w:color w:val="000000"/>
        </w:rPr>
        <w:t>for this product within 6 m</w:t>
      </w:r>
      <w:r>
        <w:rPr>
          <w:rFonts w:cs="Verdana"/>
          <w:color w:val="000000"/>
        </w:rPr>
        <w:t>onths following authorisation.</w:t>
      </w:r>
    </w:p>
    <w:p w14:paraId="78A433FB" w14:textId="77777777" w:rsidR="000533A8" w:rsidRPr="004407BE" w:rsidRDefault="000533A8" w:rsidP="000533A8">
      <w:pPr>
        <w:widowControl w:val="0"/>
        <w:autoSpaceDE w:val="0"/>
        <w:autoSpaceDN w:val="0"/>
        <w:adjustRightInd w:val="0"/>
        <w:spacing w:after="140" w:line="280" w:lineRule="atLeast"/>
        <w:ind w:left="127" w:right="120"/>
        <w:rPr>
          <w:rFonts w:cs="Verdana"/>
          <w:color w:val="000000"/>
        </w:rPr>
      </w:pPr>
    </w:p>
    <w:p w14:paraId="4E6B0BF5" w14:textId="77777777" w:rsidR="000533A8" w:rsidRPr="004407BE" w:rsidRDefault="001D0951" w:rsidP="00AC5B5D">
      <w:pPr>
        <w:pStyle w:val="TitleB"/>
      </w:pPr>
      <w:r w:rsidRPr="004407BE">
        <w:t>D.</w:t>
      </w:r>
      <w:r w:rsidRPr="004407BE">
        <w:tab/>
        <w:t>CONDITIONS OR RESTRICTIONS WITH REGARD TO THE SAFE AND EFFECTIVE USE OF THE MEDICINAL PRODUCT</w:t>
      </w:r>
    </w:p>
    <w:p w14:paraId="7BB6A5DE" w14:textId="77777777" w:rsidR="000533A8" w:rsidRPr="004407BE" w:rsidRDefault="000533A8" w:rsidP="000533A8">
      <w:pPr>
        <w:widowControl w:val="0"/>
        <w:autoSpaceDE w:val="0"/>
        <w:autoSpaceDN w:val="0"/>
        <w:adjustRightInd w:val="0"/>
        <w:spacing w:after="140" w:line="280" w:lineRule="atLeast"/>
        <w:ind w:left="127" w:right="120"/>
        <w:rPr>
          <w:rFonts w:cs="Verdana"/>
          <w:color w:val="000000"/>
        </w:rPr>
      </w:pPr>
    </w:p>
    <w:p w14:paraId="29063D1F" w14:textId="3AC529F3" w:rsidR="000533A8" w:rsidRPr="00C53442" w:rsidRDefault="001D0951" w:rsidP="000533A8">
      <w:pPr>
        <w:widowControl w:val="0"/>
        <w:numPr>
          <w:ilvl w:val="0"/>
          <w:numId w:val="16"/>
        </w:numPr>
        <w:tabs>
          <w:tab w:val="clear" w:pos="567"/>
          <w:tab w:val="left" w:pos="468"/>
        </w:tabs>
        <w:autoSpaceDE w:val="0"/>
        <w:autoSpaceDN w:val="0"/>
        <w:adjustRightInd w:val="0"/>
        <w:spacing w:line="240" w:lineRule="auto"/>
        <w:ind w:left="468"/>
        <w:rPr>
          <w:rFonts w:cs="Verdana"/>
          <w:color w:val="000000"/>
        </w:rPr>
      </w:pPr>
      <w:r w:rsidRPr="004407BE">
        <w:rPr>
          <w:rFonts w:cs="Verdana"/>
          <w:b/>
          <w:bCs/>
          <w:color w:val="000000"/>
        </w:rPr>
        <w:t xml:space="preserve">Risk </w:t>
      </w:r>
      <w:r w:rsidR="009A12A5">
        <w:rPr>
          <w:rFonts w:cs="Verdana"/>
          <w:b/>
          <w:bCs/>
          <w:color w:val="000000"/>
        </w:rPr>
        <w:t>m</w:t>
      </w:r>
      <w:r w:rsidRPr="004407BE">
        <w:rPr>
          <w:rFonts w:cs="Verdana"/>
          <w:b/>
          <w:bCs/>
          <w:color w:val="000000"/>
        </w:rPr>
        <w:t xml:space="preserve">anagement </w:t>
      </w:r>
      <w:r w:rsidR="009A12A5">
        <w:rPr>
          <w:rFonts w:cs="Verdana"/>
          <w:b/>
          <w:bCs/>
          <w:color w:val="000000"/>
        </w:rPr>
        <w:t>p</w:t>
      </w:r>
      <w:r w:rsidRPr="004407BE">
        <w:rPr>
          <w:rFonts w:cs="Verdana"/>
          <w:b/>
          <w:bCs/>
          <w:color w:val="000000"/>
        </w:rPr>
        <w:t>lan (RMP)</w:t>
      </w:r>
    </w:p>
    <w:p w14:paraId="6F639152" w14:textId="77777777" w:rsidR="000533A8" w:rsidRPr="004407BE" w:rsidRDefault="000533A8" w:rsidP="000533A8">
      <w:pPr>
        <w:widowControl w:val="0"/>
        <w:autoSpaceDE w:val="0"/>
        <w:autoSpaceDN w:val="0"/>
        <w:adjustRightInd w:val="0"/>
        <w:ind w:left="468"/>
        <w:rPr>
          <w:rFonts w:cs="Verdana"/>
          <w:color w:val="000000"/>
        </w:rPr>
      </w:pPr>
    </w:p>
    <w:p w14:paraId="59CAE66E" w14:textId="77777777" w:rsidR="000533A8" w:rsidRPr="004407BE" w:rsidRDefault="001D0951" w:rsidP="000533A8">
      <w:pPr>
        <w:widowControl w:val="0"/>
        <w:autoSpaceDE w:val="0"/>
        <w:autoSpaceDN w:val="0"/>
        <w:adjustRightInd w:val="0"/>
        <w:spacing w:after="140" w:line="280" w:lineRule="atLeast"/>
        <w:ind w:left="127" w:right="120"/>
        <w:rPr>
          <w:rFonts w:cs="Verdana"/>
          <w:color w:val="000000"/>
        </w:rPr>
      </w:pPr>
      <w:r w:rsidRPr="004407BE">
        <w:rPr>
          <w:rFonts w:cs="Verdana"/>
          <w:color w:val="000000"/>
        </w:rPr>
        <w:t xml:space="preserve">The </w:t>
      </w:r>
      <w:r w:rsidR="009A12A5">
        <w:rPr>
          <w:rFonts w:cs="Verdana"/>
          <w:color w:val="000000"/>
        </w:rPr>
        <w:t>marketing authorisation holder (</w:t>
      </w:r>
      <w:r>
        <w:rPr>
          <w:rFonts w:cs="Verdana"/>
          <w:color w:val="000000"/>
        </w:rPr>
        <w:t>MAH</w:t>
      </w:r>
      <w:r w:rsidR="009A12A5">
        <w:rPr>
          <w:rFonts w:cs="Verdana"/>
          <w:color w:val="000000"/>
        </w:rPr>
        <w:t>)</w:t>
      </w:r>
      <w:r>
        <w:rPr>
          <w:rFonts w:cs="Verdana"/>
          <w:color w:val="000000"/>
        </w:rPr>
        <w:t xml:space="preserve"> shall perform the required </w:t>
      </w:r>
      <w:r w:rsidRPr="004407BE">
        <w:rPr>
          <w:rFonts w:cs="Verdana"/>
          <w:color w:val="000000"/>
        </w:rPr>
        <w:t xml:space="preserve">pharmacovigilance activities </w:t>
      </w:r>
      <w:r w:rsidRPr="004407BE">
        <w:rPr>
          <w:rFonts w:cs="Verdana"/>
          <w:color w:val="000000"/>
        </w:rPr>
        <w:lastRenderedPageBreak/>
        <w:t>and int</w:t>
      </w:r>
      <w:r>
        <w:rPr>
          <w:rFonts w:cs="Verdana"/>
          <w:color w:val="000000"/>
        </w:rPr>
        <w:t xml:space="preserve">erventions detailed in the </w:t>
      </w:r>
      <w:r w:rsidRPr="004407BE">
        <w:rPr>
          <w:rFonts w:cs="Verdana"/>
          <w:color w:val="000000"/>
        </w:rPr>
        <w:t>agreed RMP presented in Module 1.8.2 of the mark</w:t>
      </w:r>
      <w:r>
        <w:rPr>
          <w:rFonts w:cs="Verdana"/>
          <w:color w:val="000000"/>
        </w:rPr>
        <w:t xml:space="preserve">eting authorisation and any agreed </w:t>
      </w:r>
      <w:r w:rsidRPr="004407BE">
        <w:rPr>
          <w:rFonts w:cs="Verdana"/>
          <w:color w:val="000000"/>
        </w:rPr>
        <w:t>subsequent updates of the RMP.</w:t>
      </w:r>
    </w:p>
    <w:p w14:paraId="57F6FCAD" w14:textId="77777777" w:rsidR="000533A8" w:rsidRPr="004407BE" w:rsidRDefault="001D0951" w:rsidP="000533A8">
      <w:pPr>
        <w:widowControl w:val="0"/>
        <w:autoSpaceDE w:val="0"/>
        <w:autoSpaceDN w:val="0"/>
        <w:adjustRightInd w:val="0"/>
        <w:spacing w:after="140" w:line="280" w:lineRule="atLeast"/>
        <w:ind w:left="127" w:right="120"/>
        <w:rPr>
          <w:rFonts w:cs="Verdana"/>
          <w:color w:val="000000"/>
        </w:rPr>
      </w:pPr>
      <w:r w:rsidRPr="004407BE">
        <w:rPr>
          <w:rFonts w:cs="Verdana"/>
          <w:color w:val="000000"/>
        </w:rPr>
        <w:t>An updated RMP should be submitted:</w:t>
      </w:r>
    </w:p>
    <w:p w14:paraId="39485636" w14:textId="77777777" w:rsidR="000533A8" w:rsidRPr="004407BE" w:rsidRDefault="001D0951" w:rsidP="000533A8">
      <w:pPr>
        <w:widowControl w:val="0"/>
        <w:numPr>
          <w:ilvl w:val="0"/>
          <w:numId w:val="16"/>
        </w:numPr>
        <w:tabs>
          <w:tab w:val="clear" w:pos="468"/>
          <w:tab w:val="clear" w:pos="567"/>
          <w:tab w:val="left" w:pos="828"/>
        </w:tabs>
        <w:autoSpaceDE w:val="0"/>
        <w:autoSpaceDN w:val="0"/>
        <w:adjustRightInd w:val="0"/>
        <w:spacing w:after="140" w:line="280" w:lineRule="atLeast"/>
        <w:rPr>
          <w:rFonts w:cs="Verdana"/>
          <w:color w:val="000000"/>
        </w:rPr>
      </w:pPr>
      <w:r w:rsidRPr="004407BE">
        <w:rPr>
          <w:rFonts w:cs="Verdana"/>
          <w:color w:val="000000"/>
        </w:rPr>
        <w:t>At the request of the European Medicines Agency;</w:t>
      </w:r>
    </w:p>
    <w:p w14:paraId="27201588" w14:textId="77777777" w:rsidR="000533A8" w:rsidRPr="004407BE" w:rsidRDefault="001D0951" w:rsidP="000533A8">
      <w:pPr>
        <w:widowControl w:val="0"/>
        <w:numPr>
          <w:ilvl w:val="0"/>
          <w:numId w:val="16"/>
        </w:numPr>
        <w:tabs>
          <w:tab w:val="clear" w:pos="468"/>
          <w:tab w:val="clear" w:pos="567"/>
          <w:tab w:val="left" w:pos="828"/>
        </w:tabs>
        <w:autoSpaceDE w:val="0"/>
        <w:autoSpaceDN w:val="0"/>
        <w:adjustRightInd w:val="0"/>
        <w:spacing w:after="140" w:line="280" w:lineRule="atLeast"/>
        <w:rPr>
          <w:rFonts w:cs="Verdana"/>
          <w:color w:val="000000"/>
        </w:rPr>
      </w:pPr>
      <w:r w:rsidRPr="004407BE">
        <w:rPr>
          <w:rFonts w:cs="Verdana"/>
          <w:color w:val="000000"/>
        </w:rPr>
        <w:t xml:space="preserve">Whenever the risk management system is modified, especially as the result of new information being received that may lead to a significant change to the benefit/risk profile or as the result of an important (pharmacovigilance or risk minimisation) milestone being reached. </w:t>
      </w:r>
    </w:p>
    <w:p w14:paraId="14E6D9ED" w14:textId="77777777" w:rsidR="000533A8" w:rsidRPr="004407BE" w:rsidRDefault="000533A8" w:rsidP="000533A8">
      <w:pPr>
        <w:widowControl w:val="0"/>
        <w:autoSpaceDE w:val="0"/>
        <w:autoSpaceDN w:val="0"/>
        <w:adjustRightInd w:val="0"/>
        <w:spacing w:after="140" w:line="280" w:lineRule="atLeast"/>
        <w:ind w:right="120"/>
        <w:rPr>
          <w:rFonts w:cs="Verdana"/>
          <w:color w:val="000000"/>
        </w:rPr>
      </w:pPr>
    </w:p>
    <w:p w14:paraId="77431291" w14:textId="77777777" w:rsidR="000533A8" w:rsidRDefault="001D0951" w:rsidP="00AC5B5D">
      <w:pPr>
        <w:pStyle w:val="TitleB"/>
      </w:pPr>
      <w:r w:rsidRPr="004407BE">
        <w:t>E.</w:t>
      </w:r>
      <w:r w:rsidRPr="004407BE">
        <w:tab/>
        <w:t>SPECIFIC OBLIGATION TO COMPLETE POST-AUTHORISATION MEASURES FOR THE CONDI</w:t>
      </w:r>
      <w:r w:rsidR="00AC5B5D">
        <w:t>TIONAL MARKETING AUTHORISATION</w:t>
      </w:r>
    </w:p>
    <w:p w14:paraId="632C2ABA" w14:textId="77777777" w:rsidR="000533A8" w:rsidRPr="00D47456" w:rsidRDefault="000533A8" w:rsidP="000533A8">
      <w:pPr>
        <w:widowControl w:val="0"/>
        <w:autoSpaceDE w:val="0"/>
        <w:autoSpaceDN w:val="0"/>
        <w:adjustRightInd w:val="0"/>
        <w:ind w:left="847" w:right="120" w:hanging="720"/>
        <w:rPr>
          <w:rFonts w:cs="Verdana"/>
          <w:b/>
          <w:bCs/>
          <w:color w:val="000000"/>
        </w:rPr>
      </w:pPr>
    </w:p>
    <w:p w14:paraId="30700AB2" w14:textId="38E71483" w:rsidR="000533A8" w:rsidRPr="001D633C" w:rsidRDefault="001D0951" w:rsidP="000533A8">
      <w:pPr>
        <w:widowControl w:val="0"/>
        <w:autoSpaceDE w:val="0"/>
        <w:autoSpaceDN w:val="0"/>
        <w:adjustRightInd w:val="0"/>
        <w:spacing w:after="140" w:line="280" w:lineRule="atLeast"/>
        <w:ind w:left="127" w:right="120"/>
        <w:rPr>
          <w:rFonts w:cs="Verdana"/>
          <w:color w:val="000000"/>
        </w:rPr>
      </w:pPr>
      <w:r w:rsidRPr="004407BE">
        <w:rPr>
          <w:rFonts w:cs="Verdana"/>
          <w:color w:val="000000"/>
        </w:rPr>
        <w:t>This being a conditional marketing authorisation and pursuant to Article 14</w:t>
      </w:r>
      <w:r w:rsidR="009A12A5">
        <w:rPr>
          <w:rFonts w:cs="Verdana"/>
          <w:color w:val="000000"/>
        </w:rPr>
        <w:t>a</w:t>
      </w:r>
      <w:r w:rsidRPr="004407BE">
        <w:rPr>
          <w:rFonts w:cs="Verdana"/>
          <w:color w:val="000000"/>
        </w:rPr>
        <w:t xml:space="preserve"> of Regulation (EC) No 726/2004, the MAH shall complete, within the stated tim</w:t>
      </w:r>
      <w:r>
        <w:rPr>
          <w:rFonts w:cs="Verdana"/>
          <w:color w:val="000000"/>
        </w:rPr>
        <w:t>eframe, the following measures:</w:t>
      </w:r>
    </w:p>
    <w:tbl>
      <w:tblPr>
        <w:tblW w:w="9479" w:type="dxa"/>
        <w:tblInd w:w="24" w:type="dxa"/>
        <w:tblLayout w:type="fixed"/>
        <w:tblCellMar>
          <w:left w:w="0" w:type="dxa"/>
          <w:right w:w="0" w:type="dxa"/>
        </w:tblCellMar>
        <w:tblLook w:val="0000" w:firstRow="0" w:lastRow="0" w:firstColumn="0" w:lastColumn="0" w:noHBand="0" w:noVBand="0"/>
      </w:tblPr>
      <w:tblGrid>
        <w:gridCol w:w="8027"/>
        <w:gridCol w:w="1452"/>
      </w:tblGrid>
      <w:tr w:rsidR="005208C7" w14:paraId="09221605" w14:textId="77777777" w:rsidTr="00A90B58">
        <w:trPr>
          <w:tblHeader/>
        </w:trPr>
        <w:tc>
          <w:tcPr>
            <w:tcW w:w="8027" w:type="dxa"/>
            <w:tcBorders>
              <w:top w:val="single" w:sz="4" w:space="0" w:color="000000"/>
              <w:left w:val="single" w:sz="4" w:space="0" w:color="000000"/>
              <w:bottom w:val="single" w:sz="4" w:space="0" w:color="000000"/>
              <w:right w:val="single" w:sz="6" w:space="0" w:color="000000"/>
            </w:tcBorders>
            <w:shd w:val="clear" w:color="auto" w:fill="FFFFFF"/>
          </w:tcPr>
          <w:p w14:paraId="5557226F" w14:textId="77777777" w:rsidR="000533A8" w:rsidRPr="00806DF8" w:rsidRDefault="001D0951" w:rsidP="003E32A4">
            <w:pPr>
              <w:keepNext/>
              <w:widowControl w:val="0"/>
              <w:autoSpaceDE w:val="0"/>
              <w:autoSpaceDN w:val="0"/>
              <w:adjustRightInd w:val="0"/>
              <w:spacing w:after="140" w:line="280" w:lineRule="atLeast"/>
              <w:ind w:left="108" w:right="108"/>
              <w:rPr>
                <w:rFonts w:cs="Verdana"/>
                <w:b/>
                <w:bCs/>
                <w:color w:val="000000"/>
              </w:rPr>
            </w:pPr>
            <w:r w:rsidRPr="00806DF8">
              <w:rPr>
                <w:rFonts w:cs="Verdana"/>
                <w:b/>
                <w:bCs/>
                <w:color w:val="000000"/>
              </w:rPr>
              <w:t>Description</w:t>
            </w:r>
          </w:p>
        </w:tc>
        <w:tc>
          <w:tcPr>
            <w:tcW w:w="1452" w:type="dxa"/>
            <w:tcBorders>
              <w:top w:val="single" w:sz="4" w:space="0" w:color="000000"/>
              <w:left w:val="single" w:sz="6" w:space="0" w:color="000000"/>
              <w:bottom w:val="single" w:sz="4" w:space="0" w:color="000000"/>
              <w:right w:val="single" w:sz="4" w:space="0" w:color="000000"/>
            </w:tcBorders>
            <w:shd w:val="clear" w:color="auto" w:fill="FFFFFF"/>
          </w:tcPr>
          <w:p w14:paraId="0AD0D904" w14:textId="77777777" w:rsidR="000533A8" w:rsidRPr="00806DF8" w:rsidRDefault="001D0951" w:rsidP="003E32A4">
            <w:pPr>
              <w:keepNext/>
              <w:widowControl w:val="0"/>
              <w:autoSpaceDE w:val="0"/>
              <w:autoSpaceDN w:val="0"/>
              <w:adjustRightInd w:val="0"/>
              <w:spacing w:after="140" w:line="280" w:lineRule="atLeast"/>
              <w:ind w:left="108" w:right="108"/>
              <w:rPr>
                <w:rFonts w:cs="Verdana"/>
                <w:b/>
                <w:bCs/>
                <w:color w:val="000000"/>
              </w:rPr>
            </w:pPr>
            <w:r w:rsidRPr="00806DF8">
              <w:rPr>
                <w:rFonts w:cs="Verdana"/>
                <w:b/>
                <w:bCs/>
                <w:color w:val="000000"/>
              </w:rPr>
              <w:t>Due date</w:t>
            </w:r>
          </w:p>
        </w:tc>
      </w:tr>
      <w:tr w:rsidR="005208C7" w14:paraId="45AD6BFF" w14:textId="77777777" w:rsidTr="00A90B58">
        <w:trPr>
          <w:trHeight w:val="250"/>
        </w:trPr>
        <w:tc>
          <w:tcPr>
            <w:tcW w:w="8027" w:type="dxa"/>
            <w:tcBorders>
              <w:top w:val="single" w:sz="6" w:space="0" w:color="000000"/>
              <w:left w:val="single" w:sz="4" w:space="0" w:color="000000"/>
              <w:bottom w:val="single" w:sz="4" w:space="0" w:color="000000"/>
              <w:right w:val="single" w:sz="6" w:space="0" w:color="000000"/>
            </w:tcBorders>
            <w:shd w:val="clear" w:color="auto" w:fill="FFFFFF"/>
          </w:tcPr>
          <w:p w14:paraId="7BB36DB1" w14:textId="77777777" w:rsidR="000533A8" w:rsidRDefault="001D0951" w:rsidP="00662D3C">
            <w:pPr>
              <w:spacing w:after="140" w:line="280" w:lineRule="atLeast"/>
              <w:ind w:left="112"/>
              <w:rPr>
                <w:b/>
                <w:bCs/>
                <w:sz w:val="20"/>
                <w:lang w:eastAsia="zh-CN"/>
              </w:rPr>
            </w:pPr>
            <w:r>
              <w:rPr>
                <w:b/>
                <w:bCs/>
                <w:sz w:val="20"/>
              </w:rPr>
              <w:t>UX023-CL205</w:t>
            </w:r>
          </w:p>
          <w:p w14:paraId="2D842221" w14:textId="77777777" w:rsidR="000533A8" w:rsidRPr="00806DF8" w:rsidRDefault="001D0951" w:rsidP="00662D3C">
            <w:pPr>
              <w:spacing w:after="140" w:line="280" w:lineRule="atLeast"/>
              <w:ind w:left="112"/>
              <w:rPr>
                <w:rFonts w:ascii="Calibri" w:hAnsi="Calibri"/>
                <w:sz w:val="20"/>
              </w:rPr>
            </w:pPr>
            <w:r w:rsidRPr="00ED13A2">
              <w:rPr>
                <w:sz w:val="20"/>
              </w:rPr>
              <w:t>In order to confirm the efficacy and safety of Crysvita in the treatment of X</w:t>
            </w:r>
            <w:r>
              <w:rPr>
                <w:sz w:val="20"/>
              </w:rPr>
              <w:t>-</w:t>
            </w:r>
            <w:r w:rsidRPr="00ED13A2">
              <w:rPr>
                <w:sz w:val="20"/>
              </w:rPr>
              <w:t xml:space="preserve">linked </w:t>
            </w:r>
            <w:proofErr w:type="spellStart"/>
            <w:r w:rsidRPr="00ED13A2">
              <w:rPr>
                <w:sz w:val="20"/>
              </w:rPr>
              <w:t>Hypophosphataemia</w:t>
            </w:r>
            <w:proofErr w:type="spellEnd"/>
            <w:r w:rsidRPr="00ED13A2">
              <w:rPr>
                <w:sz w:val="20"/>
              </w:rPr>
              <w:t xml:space="preserve"> (XLH) in children between 1 and 4 years old, the MAH should submit the updated results of study UX023-CL205, an open-label, phase 2 study to assess the safety, pharmacodynamics, and efficacy of KRN23 in paediatric patients with XLH</w:t>
            </w:r>
            <w:r>
              <w:rPr>
                <w:sz w:val="20"/>
              </w:rPr>
              <w:t>.</w:t>
            </w:r>
          </w:p>
        </w:tc>
        <w:tc>
          <w:tcPr>
            <w:tcW w:w="1452" w:type="dxa"/>
            <w:tcBorders>
              <w:top w:val="single" w:sz="6" w:space="0" w:color="000000"/>
              <w:left w:val="single" w:sz="6" w:space="0" w:color="000000"/>
              <w:bottom w:val="single" w:sz="4" w:space="0" w:color="000000"/>
              <w:right w:val="single" w:sz="4" w:space="0" w:color="000000"/>
            </w:tcBorders>
            <w:shd w:val="clear" w:color="auto" w:fill="FFFFFF"/>
          </w:tcPr>
          <w:p w14:paraId="411E0529" w14:textId="77777777" w:rsidR="000533A8" w:rsidRDefault="000533A8" w:rsidP="003E32A4">
            <w:pPr>
              <w:widowControl w:val="0"/>
              <w:autoSpaceDE w:val="0"/>
              <w:autoSpaceDN w:val="0"/>
              <w:adjustRightInd w:val="0"/>
              <w:ind w:left="108" w:right="108"/>
              <w:rPr>
                <w:rFonts w:cs="Verdana"/>
                <w:color w:val="000000"/>
                <w:highlight w:val="yellow"/>
              </w:rPr>
            </w:pPr>
          </w:p>
          <w:p w14:paraId="37B8C013" w14:textId="77777777" w:rsidR="000533A8" w:rsidRPr="001C7F81" w:rsidRDefault="001D0951" w:rsidP="003E32A4">
            <w:pPr>
              <w:widowControl w:val="0"/>
              <w:autoSpaceDE w:val="0"/>
              <w:autoSpaceDN w:val="0"/>
              <w:adjustRightInd w:val="0"/>
              <w:ind w:left="108" w:right="108"/>
              <w:rPr>
                <w:rFonts w:cs="Verdana"/>
                <w:color w:val="000000"/>
                <w:highlight w:val="yellow"/>
              </w:rPr>
            </w:pPr>
            <w:r>
              <w:rPr>
                <w:rFonts w:cs="Verdana"/>
                <w:color w:val="000000"/>
              </w:rPr>
              <w:t>May 2020</w:t>
            </w:r>
          </w:p>
        </w:tc>
      </w:tr>
    </w:tbl>
    <w:p w14:paraId="29150056" w14:textId="77777777" w:rsidR="000533A8" w:rsidRDefault="000533A8" w:rsidP="000533A8">
      <w:pPr>
        <w:widowControl w:val="0"/>
        <w:autoSpaceDE w:val="0"/>
        <w:autoSpaceDN w:val="0"/>
        <w:adjustRightInd w:val="0"/>
        <w:spacing w:after="140" w:line="280" w:lineRule="atLeast"/>
        <w:ind w:left="2" w:right="2"/>
        <w:rPr>
          <w:rFonts w:cs="Verdana"/>
          <w:color w:val="000000"/>
        </w:rPr>
      </w:pPr>
    </w:p>
    <w:p w14:paraId="25BAAFE5" w14:textId="77777777" w:rsidR="000533A8" w:rsidRDefault="000533A8" w:rsidP="000533A8">
      <w:pPr>
        <w:widowControl w:val="0"/>
        <w:autoSpaceDE w:val="0"/>
        <w:autoSpaceDN w:val="0"/>
        <w:adjustRightInd w:val="0"/>
        <w:spacing w:after="140" w:line="280" w:lineRule="atLeast"/>
        <w:ind w:left="127" w:right="120"/>
        <w:rPr>
          <w:rFonts w:ascii="Courier New" w:hAnsi="Courier New" w:cs="Courier New"/>
          <w:i/>
          <w:iCs/>
          <w:color w:val="339966"/>
        </w:rPr>
      </w:pPr>
    </w:p>
    <w:p w14:paraId="05FAB711" w14:textId="77777777" w:rsidR="00124AD4" w:rsidRPr="00C56B34" w:rsidRDefault="00124AD4">
      <w:pPr>
        <w:spacing w:line="240" w:lineRule="auto"/>
        <w:rPr>
          <w:noProof/>
          <w:szCs w:val="22"/>
        </w:rPr>
      </w:pPr>
    </w:p>
    <w:p w14:paraId="7E4DB69A" w14:textId="77777777" w:rsidR="00124AD4" w:rsidRPr="00C56B34" w:rsidRDefault="00124AD4">
      <w:pPr>
        <w:spacing w:line="240" w:lineRule="auto"/>
        <w:rPr>
          <w:noProof/>
          <w:szCs w:val="22"/>
        </w:rPr>
      </w:pPr>
    </w:p>
    <w:p w14:paraId="06633154" w14:textId="77777777" w:rsidR="00124AD4" w:rsidRPr="00C56B34" w:rsidRDefault="00124AD4">
      <w:pPr>
        <w:spacing w:line="240" w:lineRule="auto"/>
        <w:rPr>
          <w:noProof/>
          <w:szCs w:val="22"/>
        </w:rPr>
      </w:pPr>
    </w:p>
    <w:p w14:paraId="26680EE7" w14:textId="77777777" w:rsidR="000207A1" w:rsidRDefault="001D0951">
      <w:pPr>
        <w:tabs>
          <w:tab w:val="clear" w:pos="567"/>
        </w:tabs>
        <w:spacing w:line="240" w:lineRule="auto"/>
        <w:rPr>
          <w:noProof/>
          <w:szCs w:val="22"/>
        </w:rPr>
      </w:pPr>
      <w:r>
        <w:rPr>
          <w:noProof/>
          <w:szCs w:val="22"/>
        </w:rPr>
        <w:br w:type="page"/>
      </w:r>
    </w:p>
    <w:p w14:paraId="01106DEB" w14:textId="77777777" w:rsidR="000533A8" w:rsidRDefault="000533A8">
      <w:pPr>
        <w:spacing w:line="240" w:lineRule="auto"/>
        <w:outlineLvl w:val="0"/>
        <w:rPr>
          <w:b/>
          <w:noProof/>
          <w:szCs w:val="22"/>
        </w:rPr>
      </w:pPr>
    </w:p>
    <w:p w14:paraId="6E55741C" w14:textId="77777777" w:rsidR="000533A8" w:rsidRDefault="000533A8">
      <w:pPr>
        <w:spacing w:line="240" w:lineRule="auto"/>
        <w:outlineLvl w:val="0"/>
        <w:rPr>
          <w:b/>
          <w:noProof/>
          <w:szCs w:val="22"/>
        </w:rPr>
      </w:pPr>
    </w:p>
    <w:p w14:paraId="5F5448A9" w14:textId="77777777" w:rsidR="000533A8" w:rsidRDefault="000533A8">
      <w:pPr>
        <w:spacing w:line="240" w:lineRule="auto"/>
        <w:outlineLvl w:val="0"/>
        <w:rPr>
          <w:b/>
          <w:noProof/>
          <w:szCs w:val="22"/>
        </w:rPr>
      </w:pPr>
    </w:p>
    <w:p w14:paraId="3F7475C1" w14:textId="77777777" w:rsidR="000533A8" w:rsidRDefault="000533A8">
      <w:pPr>
        <w:spacing w:line="240" w:lineRule="auto"/>
        <w:outlineLvl w:val="0"/>
        <w:rPr>
          <w:b/>
          <w:noProof/>
          <w:szCs w:val="22"/>
        </w:rPr>
      </w:pPr>
    </w:p>
    <w:p w14:paraId="71D63857" w14:textId="77777777" w:rsidR="000533A8" w:rsidRDefault="000533A8">
      <w:pPr>
        <w:spacing w:line="240" w:lineRule="auto"/>
        <w:outlineLvl w:val="0"/>
        <w:rPr>
          <w:b/>
          <w:noProof/>
          <w:szCs w:val="22"/>
        </w:rPr>
      </w:pPr>
    </w:p>
    <w:p w14:paraId="423C4988" w14:textId="77777777" w:rsidR="000533A8" w:rsidRDefault="000533A8">
      <w:pPr>
        <w:spacing w:line="240" w:lineRule="auto"/>
        <w:outlineLvl w:val="0"/>
        <w:rPr>
          <w:b/>
          <w:noProof/>
          <w:szCs w:val="22"/>
        </w:rPr>
      </w:pPr>
    </w:p>
    <w:p w14:paraId="1DDDBDDA" w14:textId="77777777" w:rsidR="000533A8" w:rsidRDefault="000533A8">
      <w:pPr>
        <w:spacing w:line="240" w:lineRule="auto"/>
        <w:outlineLvl w:val="0"/>
        <w:rPr>
          <w:b/>
          <w:noProof/>
          <w:szCs w:val="22"/>
        </w:rPr>
      </w:pPr>
    </w:p>
    <w:p w14:paraId="5EC906B2" w14:textId="77777777" w:rsidR="000533A8" w:rsidRDefault="000533A8">
      <w:pPr>
        <w:spacing w:line="240" w:lineRule="auto"/>
        <w:outlineLvl w:val="0"/>
        <w:rPr>
          <w:b/>
          <w:noProof/>
          <w:szCs w:val="22"/>
        </w:rPr>
      </w:pPr>
    </w:p>
    <w:p w14:paraId="6112C4D6" w14:textId="77777777" w:rsidR="000533A8" w:rsidRDefault="000533A8">
      <w:pPr>
        <w:spacing w:line="240" w:lineRule="auto"/>
        <w:outlineLvl w:val="0"/>
        <w:rPr>
          <w:b/>
          <w:noProof/>
          <w:szCs w:val="22"/>
        </w:rPr>
      </w:pPr>
    </w:p>
    <w:p w14:paraId="28162E58" w14:textId="77777777" w:rsidR="000533A8" w:rsidRDefault="000533A8">
      <w:pPr>
        <w:spacing w:line="240" w:lineRule="auto"/>
        <w:outlineLvl w:val="0"/>
        <w:rPr>
          <w:b/>
          <w:noProof/>
          <w:szCs w:val="22"/>
        </w:rPr>
      </w:pPr>
    </w:p>
    <w:p w14:paraId="75FCAF52" w14:textId="77777777" w:rsidR="000533A8" w:rsidRDefault="000533A8">
      <w:pPr>
        <w:spacing w:line="240" w:lineRule="auto"/>
        <w:outlineLvl w:val="0"/>
        <w:rPr>
          <w:b/>
          <w:noProof/>
          <w:szCs w:val="22"/>
        </w:rPr>
      </w:pPr>
    </w:p>
    <w:p w14:paraId="79DED652" w14:textId="77777777" w:rsidR="000533A8" w:rsidRDefault="000533A8">
      <w:pPr>
        <w:spacing w:line="240" w:lineRule="auto"/>
        <w:outlineLvl w:val="0"/>
        <w:rPr>
          <w:b/>
          <w:noProof/>
          <w:szCs w:val="22"/>
        </w:rPr>
      </w:pPr>
    </w:p>
    <w:p w14:paraId="74D0F99A" w14:textId="77777777" w:rsidR="000533A8" w:rsidRDefault="000533A8">
      <w:pPr>
        <w:spacing w:line="240" w:lineRule="auto"/>
        <w:outlineLvl w:val="0"/>
        <w:rPr>
          <w:b/>
          <w:noProof/>
          <w:szCs w:val="22"/>
        </w:rPr>
      </w:pPr>
    </w:p>
    <w:p w14:paraId="100485DB" w14:textId="77777777" w:rsidR="000533A8" w:rsidRDefault="000533A8">
      <w:pPr>
        <w:spacing w:line="240" w:lineRule="auto"/>
        <w:outlineLvl w:val="0"/>
        <w:rPr>
          <w:b/>
          <w:noProof/>
          <w:szCs w:val="22"/>
        </w:rPr>
      </w:pPr>
    </w:p>
    <w:p w14:paraId="188FCE3F" w14:textId="77777777" w:rsidR="000533A8" w:rsidRDefault="000533A8">
      <w:pPr>
        <w:spacing w:line="240" w:lineRule="auto"/>
        <w:outlineLvl w:val="0"/>
        <w:rPr>
          <w:b/>
          <w:noProof/>
          <w:szCs w:val="22"/>
        </w:rPr>
      </w:pPr>
    </w:p>
    <w:p w14:paraId="5FE7F664" w14:textId="77777777" w:rsidR="000533A8" w:rsidRPr="00C56B34" w:rsidRDefault="000533A8">
      <w:pPr>
        <w:spacing w:line="240" w:lineRule="auto"/>
        <w:outlineLvl w:val="0"/>
        <w:rPr>
          <w:b/>
          <w:noProof/>
          <w:szCs w:val="22"/>
        </w:rPr>
      </w:pPr>
    </w:p>
    <w:p w14:paraId="60E43A4F" w14:textId="77777777" w:rsidR="00124AD4" w:rsidRPr="00C56B34" w:rsidRDefault="00124AD4">
      <w:pPr>
        <w:spacing w:line="240" w:lineRule="auto"/>
        <w:outlineLvl w:val="0"/>
        <w:rPr>
          <w:b/>
          <w:noProof/>
          <w:szCs w:val="22"/>
        </w:rPr>
      </w:pPr>
    </w:p>
    <w:p w14:paraId="2E9DDCB1" w14:textId="77777777" w:rsidR="00124AD4" w:rsidRPr="00C56B34" w:rsidRDefault="00124AD4">
      <w:pPr>
        <w:spacing w:line="240" w:lineRule="auto"/>
        <w:outlineLvl w:val="0"/>
        <w:rPr>
          <w:b/>
          <w:noProof/>
          <w:szCs w:val="22"/>
        </w:rPr>
      </w:pPr>
    </w:p>
    <w:p w14:paraId="79282CAB" w14:textId="77777777" w:rsidR="00124AD4" w:rsidRPr="00C56B34" w:rsidRDefault="00124AD4">
      <w:pPr>
        <w:spacing w:line="240" w:lineRule="auto"/>
        <w:jc w:val="center"/>
        <w:outlineLvl w:val="0"/>
        <w:rPr>
          <w:b/>
          <w:noProof/>
          <w:szCs w:val="22"/>
        </w:rPr>
      </w:pPr>
    </w:p>
    <w:p w14:paraId="15468912" w14:textId="77777777" w:rsidR="00124AD4" w:rsidRPr="00C56B34" w:rsidRDefault="001D0951">
      <w:pPr>
        <w:spacing w:line="240" w:lineRule="auto"/>
        <w:jc w:val="center"/>
        <w:outlineLvl w:val="0"/>
        <w:rPr>
          <w:b/>
          <w:noProof/>
          <w:szCs w:val="22"/>
        </w:rPr>
      </w:pPr>
      <w:r w:rsidRPr="00C56B34">
        <w:rPr>
          <w:b/>
          <w:noProof/>
          <w:szCs w:val="22"/>
        </w:rPr>
        <w:t>ANNEX III</w:t>
      </w:r>
    </w:p>
    <w:p w14:paraId="4E052F36" w14:textId="77777777" w:rsidR="00124AD4" w:rsidRPr="00C56B34" w:rsidRDefault="00124AD4">
      <w:pPr>
        <w:spacing w:line="240" w:lineRule="auto"/>
        <w:jc w:val="center"/>
        <w:rPr>
          <w:b/>
          <w:noProof/>
          <w:szCs w:val="22"/>
        </w:rPr>
      </w:pPr>
    </w:p>
    <w:p w14:paraId="37F102E2" w14:textId="77777777" w:rsidR="00124AD4" w:rsidRPr="00C56B34" w:rsidRDefault="001D0951">
      <w:pPr>
        <w:spacing w:line="240" w:lineRule="auto"/>
        <w:jc w:val="center"/>
        <w:outlineLvl w:val="0"/>
        <w:rPr>
          <w:b/>
          <w:noProof/>
          <w:szCs w:val="22"/>
        </w:rPr>
      </w:pPr>
      <w:r w:rsidRPr="00C56B34">
        <w:rPr>
          <w:b/>
          <w:noProof/>
          <w:szCs w:val="22"/>
        </w:rPr>
        <w:t>LABELLING AND PACKAGE LEAFLET</w:t>
      </w:r>
    </w:p>
    <w:p w14:paraId="340870E5" w14:textId="77777777" w:rsidR="00124AD4" w:rsidRPr="00C56B34" w:rsidRDefault="001D0951">
      <w:pPr>
        <w:spacing w:line="240" w:lineRule="auto"/>
        <w:rPr>
          <w:b/>
          <w:noProof/>
          <w:szCs w:val="22"/>
        </w:rPr>
      </w:pPr>
      <w:r w:rsidRPr="00C56B34">
        <w:rPr>
          <w:b/>
          <w:noProof/>
          <w:szCs w:val="22"/>
        </w:rPr>
        <w:br w:type="page"/>
      </w:r>
    </w:p>
    <w:p w14:paraId="42DFBE09" w14:textId="77777777" w:rsidR="00124AD4" w:rsidRPr="00C56B34" w:rsidRDefault="00124AD4">
      <w:pPr>
        <w:spacing w:line="240" w:lineRule="auto"/>
        <w:outlineLvl w:val="0"/>
        <w:rPr>
          <w:b/>
          <w:noProof/>
          <w:szCs w:val="22"/>
        </w:rPr>
      </w:pPr>
    </w:p>
    <w:p w14:paraId="1C8A25A1" w14:textId="77777777" w:rsidR="00124AD4" w:rsidRPr="00C56B34" w:rsidRDefault="00124AD4">
      <w:pPr>
        <w:spacing w:line="240" w:lineRule="auto"/>
        <w:outlineLvl w:val="0"/>
        <w:rPr>
          <w:b/>
          <w:noProof/>
          <w:szCs w:val="22"/>
        </w:rPr>
      </w:pPr>
    </w:p>
    <w:p w14:paraId="7AD25A77" w14:textId="77777777" w:rsidR="00124AD4" w:rsidRPr="00C56B34" w:rsidRDefault="00124AD4">
      <w:pPr>
        <w:spacing w:line="240" w:lineRule="auto"/>
        <w:outlineLvl w:val="0"/>
        <w:rPr>
          <w:b/>
          <w:noProof/>
          <w:szCs w:val="22"/>
        </w:rPr>
      </w:pPr>
    </w:p>
    <w:p w14:paraId="72E58448" w14:textId="77777777" w:rsidR="00124AD4" w:rsidRPr="00C56B34" w:rsidRDefault="00124AD4">
      <w:pPr>
        <w:spacing w:line="240" w:lineRule="auto"/>
        <w:outlineLvl w:val="0"/>
        <w:rPr>
          <w:b/>
          <w:noProof/>
          <w:szCs w:val="22"/>
        </w:rPr>
      </w:pPr>
    </w:p>
    <w:p w14:paraId="6A10C480" w14:textId="77777777" w:rsidR="00124AD4" w:rsidRPr="00C56B34" w:rsidRDefault="00124AD4">
      <w:pPr>
        <w:spacing w:line="240" w:lineRule="auto"/>
        <w:outlineLvl w:val="0"/>
        <w:rPr>
          <w:b/>
          <w:noProof/>
          <w:szCs w:val="22"/>
        </w:rPr>
      </w:pPr>
    </w:p>
    <w:p w14:paraId="204F5691" w14:textId="77777777" w:rsidR="00124AD4" w:rsidRPr="00C56B34" w:rsidRDefault="00124AD4">
      <w:pPr>
        <w:spacing w:line="240" w:lineRule="auto"/>
        <w:outlineLvl w:val="0"/>
        <w:rPr>
          <w:b/>
          <w:noProof/>
          <w:szCs w:val="22"/>
        </w:rPr>
      </w:pPr>
    </w:p>
    <w:p w14:paraId="1EB8BA04" w14:textId="77777777" w:rsidR="00124AD4" w:rsidRPr="00C56B34" w:rsidRDefault="00124AD4">
      <w:pPr>
        <w:spacing w:line="240" w:lineRule="auto"/>
        <w:outlineLvl w:val="0"/>
        <w:rPr>
          <w:b/>
          <w:noProof/>
          <w:szCs w:val="22"/>
        </w:rPr>
      </w:pPr>
    </w:p>
    <w:p w14:paraId="2FC4EDEA" w14:textId="77777777" w:rsidR="00124AD4" w:rsidRPr="00C56B34" w:rsidRDefault="00124AD4">
      <w:pPr>
        <w:spacing w:line="240" w:lineRule="auto"/>
        <w:outlineLvl w:val="0"/>
        <w:rPr>
          <w:b/>
          <w:noProof/>
          <w:szCs w:val="22"/>
        </w:rPr>
      </w:pPr>
    </w:p>
    <w:p w14:paraId="30E80845" w14:textId="77777777" w:rsidR="00124AD4" w:rsidRPr="00C56B34" w:rsidRDefault="00124AD4">
      <w:pPr>
        <w:spacing w:line="240" w:lineRule="auto"/>
        <w:outlineLvl w:val="0"/>
        <w:rPr>
          <w:b/>
          <w:noProof/>
          <w:szCs w:val="22"/>
        </w:rPr>
      </w:pPr>
    </w:p>
    <w:p w14:paraId="509205DF" w14:textId="77777777" w:rsidR="00124AD4" w:rsidRPr="00C56B34" w:rsidRDefault="00124AD4">
      <w:pPr>
        <w:spacing w:line="240" w:lineRule="auto"/>
        <w:outlineLvl w:val="0"/>
        <w:rPr>
          <w:b/>
          <w:noProof/>
          <w:szCs w:val="22"/>
        </w:rPr>
      </w:pPr>
    </w:p>
    <w:p w14:paraId="0CF82ECE" w14:textId="77777777" w:rsidR="00124AD4" w:rsidRPr="00C56B34" w:rsidRDefault="00124AD4">
      <w:pPr>
        <w:spacing w:line="240" w:lineRule="auto"/>
        <w:outlineLvl w:val="0"/>
        <w:rPr>
          <w:b/>
          <w:noProof/>
          <w:szCs w:val="22"/>
        </w:rPr>
      </w:pPr>
    </w:p>
    <w:p w14:paraId="282852CE" w14:textId="77777777" w:rsidR="00124AD4" w:rsidRPr="00C56B34" w:rsidRDefault="00124AD4">
      <w:pPr>
        <w:spacing w:line="240" w:lineRule="auto"/>
        <w:outlineLvl w:val="0"/>
        <w:rPr>
          <w:b/>
          <w:noProof/>
          <w:szCs w:val="22"/>
        </w:rPr>
      </w:pPr>
    </w:p>
    <w:p w14:paraId="2DFD64A1" w14:textId="77777777" w:rsidR="00124AD4" w:rsidRPr="00C56B34" w:rsidRDefault="00124AD4">
      <w:pPr>
        <w:spacing w:line="240" w:lineRule="auto"/>
        <w:outlineLvl w:val="0"/>
        <w:rPr>
          <w:b/>
          <w:noProof/>
          <w:szCs w:val="22"/>
        </w:rPr>
      </w:pPr>
    </w:p>
    <w:p w14:paraId="6D0A4C60" w14:textId="77777777" w:rsidR="00124AD4" w:rsidRPr="00C56B34" w:rsidRDefault="00124AD4">
      <w:pPr>
        <w:spacing w:line="240" w:lineRule="auto"/>
        <w:outlineLvl w:val="0"/>
        <w:rPr>
          <w:b/>
          <w:noProof/>
          <w:szCs w:val="22"/>
        </w:rPr>
      </w:pPr>
    </w:p>
    <w:p w14:paraId="3F21018D" w14:textId="77777777" w:rsidR="00124AD4" w:rsidRPr="00C56B34" w:rsidRDefault="00124AD4">
      <w:pPr>
        <w:spacing w:line="240" w:lineRule="auto"/>
        <w:outlineLvl w:val="0"/>
        <w:rPr>
          <w:b/>
          <w:noProof/>
          <w:szCs w:val="22"/>
        </w:rPr>
      </w:pPr>
    </w:p>
    <w:p w14:paraId="70454FAB" w14:textId="77777777" w:rsidR="00124AD4" w:rsidRPr="00C56B34" w:rsidRDefault="00124AD4">
      <w:pPr>
        <w:spacing w:line="240" w:lineRule="auto"/>
        <w:outlineLvl w:val="0"/>
        <w:rPr>
          <w:b/>
          <w:noProof/>
          <w:szCs w:val="22"/>
        </w:rPr>
      </w:pPr>
    </w:p>
    <w:p w14:paraId="2E0E3DF8" w14:textId="77777777" w:rsidR="00124AD4" w:rsidRPr="00C56B34" w:rsidRDefault="00124AD4">
      <w:pPr>
        <w:spacing w:line="240" w:lineRule="auto"/>
        <w:outlineLvl w:val="0"/>
        <w:rPr>
          <w:b/>
          <w:noProof/>
          <w:szCs w:val="22"/>
        </w:rPr>
      </w:pPr>
    </w:p>
    <w:p w14:paraId="736C2DD4" w14:textId="77777777" w:rsidR="00124AD4" w:rsidRPr="00C56B34" w:rsidRDefault="00124AD4">
      <w:pPr>
        <w:spacing w:line="240" w:lineRule="auto"/>
        <w:outlineLvl w:val="0"/>
        <w:rPr>
          <w:b/>
          <w:noProof/>
          <w:szCs w:val="22"/>
        </w:rPr>
      </w:pPr>
    </w:p>
    <w:p w14:paraId="18271CF2" w14:textId="77777777" w:rsidR="00124AD4" w:rsidRPr="00C56B34" w:rsidRDefault="00124AD4">
      <w:pPr>
        <w:spacing w:line="240" w:lineRule="auto"/>
        <w:outlineLvl w:val="0"/>
        <w:rPr>
          <w:b/>
          <w:noProof/>
          <w:szCs w:val="22"/>
        </w:rPr>
      </w:pPr>
    </w:p>
    <w:p w14:paraId="2F8E3E5E" w14:textId="77777777" w:rsidR="00124AD4" w:rsidRPr="00C56B34" w:rsidRDefault="00124AD4">
      <w:pPr>
        <w:spacing w:line="240" w:lineRule="auto"/>
        <w:outlineLvl w:val="0"/>
        <w:rPr>
          <w:b/>
          <w:noProof/>
          <w:szCs w:val="22"/>
        </w:rPr>
      </w:pPr>
    </w:p>
    <w:p w14:paraId="7EFB5670" w14:textId="77777777" w:rsidR="00124AD4" w:rsidRPr="00C56B34" w:rsidRDefault="00124AD4">
      <w:pPr>
        <w:spacing w:line="240" w:lineRule="auto"/>
        <w:outlineLvl w:val="0"/>
        <w:rPr>
          <w:b/>
          <w:noProof/>
          <w:szCs w:val="22"/>
        </w:rPr>
      </w:pPr>
    </w:p>
    <w:p w14:paraId="0B301308" w14:textId="77777777" w:rsidR="00124AD4" w:rsidRPr="00C56B34" w:rsidRDefault="00124AD4">
      <w:pPr>
        <w:spacing w:line="240" w:lineRule="auto"/>
        <w:outlineLvl w:val="0"/>
        <w:rPr>
          <w:b/>
          <w:noProof/>
          <w:szCs w:val="22"/>
        </w:rPr>
      </w:pPr>
    </w:p>
    <w:p w14:paraId="4E56D5A0" w14:textId="77777777" w:rsidR="00124AD4" w:rsidRPr="00C56B34" w:rsidRDefault="00124AD4">
      <w:pPr>
        <w:spacing w:line="240" w:lineRule="auto"/>
        <w:jc w:val="center"/>
        <w:outlineLvl w:val="0"/>
        <w:rPr>
          <w:b/>
          <w:noProof/>
          <w:szCs w:val="22"/>
        </w:rPr>
      </w:pPr>
    </w:p>
    <w:p w14:paraId="744E2C0B" w14:textId="77777777" w:rsidR="00124AD4" w:rsidRPr="00C56B34" w:rsidRDefault="001D0951" w:rsidP="00AC5B5D">
      <w:pPr>
        <w:pStyle w:val="TitleA"/>
        <w:rPr>
          <w:noProof/>
        </w:rPr>
      </w:pPr>
      <w:r w:rsidRPr="00C56B34">
        <w:rPr>
          <w:noProof/>
        </w:rPr>
        <w:t>A. LABELLING</w:t>
      </w:r>
    </w:p>
    <w:p w14:paraId="75FCA8CA" w14:textId="77777777" w:rsidR="00124AD4" w:rsidRPr="00C56B34" w:rsidRDefault="001D0951">
      <w:pPr>
        <w:shd w:val="clear" w:color="auto" w:fill="FFFFFF"/>
        <w:spacing w:line="240" w:lineRule="auto"/>
        <w:rPr>
          <w:noProof/>
          <w:szCs w:val="22"/>
        </w:rPr>
      </w:pPr>
      <w:r w:rsidRPr="00C56B34">
        <w:rPr>
          <w:noProof/>
          <w:szCs w:val="22"/>
        </w:rPr>
        <w:br w:type="page"/>
      </w:r>
    </w:p>
    <w:p w14:paraId="78E444E4" w14:textId="77777777" w:rsidR="001118F7" w:rsidRPr="00C56B34" w:rsidRDefault="001D0951" w:rsidP="001118F7">
      <w:pPr>
        <w:pBdr>
          <w:top w:val="single" w:sz="4" w:space="1" w:color="auto"/>
          <w:left w:val="single" w:sz="4" w:space="4" w:color="auto"/>
          <w:bottom w:val="single" w:sz="4" w:space="1" w:color="auto"/>
          <w:right w:val="single" w:sz="4" w:space="4" w:color="auto"/>
        </w:pBdr>
        <w:spacing w:line="240" w:lineRule="auto"/>
        <w:rPr>
          <w:b/>
          <w:noProof/>
          <w:szCs w:val="22"/>
        </w:rPr>
      </w:pPr>
      <w:r w:rsidRPr="00C56B34">
        <w:rPr>
          <w:b/>
          <w:noProof/>
          <w:szCs w:val="22"/>
        </w:rPr>
        <w:lastRenderedPageBreak/>
        <w:t>PARTICULARS TO APPEAR ON THE OUTER PACKAGING</w:t>
      </w:r>
    </w:p>
    <w:p w14:paraId="6833D43D" w14:textId="77777777" w:rsidR="001118F7" w:rsidRPr="00C56B34" w:rsidRDefault="001118F7" w:rsidP="001118F7">
      <w:pPr>
        <w:pBdr>
          <w:top w:val="single" w:sz="4" w:space="1" w:color="auto"/>
          <w:left w:val="single" w:sz="4" w:space="4" w:color="auto"/>
          <w:bottom w:val="single" w:sz="4" w:space="1" w:color="auto"/>
          <w:right w:val="single" w:sz="4" w:space="4" w:color="auto"/>
        </w:pBdr>
        <w:spacing w:line="240" w:lineRule="auto"/>
        <w:ind w:left="567" w:hanging="567"/>
        <w:rPr>
          <w:bCs/>
          <w:noProof/>
          <w:szCs w:val="22"/>
        </w:rPr>
      </w:pPr>
    </w:p>
    <w:p w14:paraId="27621A47" w14:textId="77777777" w:rsidR="001118F7" w:rsidRPr="00C56B34" w:rsidRDefault="001D0951" w:rsidP="001118F7">
      <w:pPr>
        <w:pBdr>
          <w:top w:val="single" w:sz="4" w:space="1" w:color="auto"/>
          <w:left w:val="single" w:sz="4" w:space="4" w:color="auto"/>
          <w:bottom w:val="single" w:sz="4" w:space="1" w:color="auto"/>
          <w:right w:val="single" w:sz="4" w:space="4" w:color="auto"/>
        </w:pBdr>
        <w:spacing w:line="240" w:lineRule="auto"/>
        <w:rPr>
          <w:bCs/>
          <w:noProof/>
          <w:szCs w:val="22"/>
        </w:rPr>
      </w:pPr>
      <w:r w:rsidRPr="00BC5939">
        <w:rPr>
          <w:b/>
          <w:noProof/>
          <w:szCs w:val="22"/>
        </w:rPr>
        <w:t>10</w:t>
      </w:r>
      <w:r w:rsidRPr="00C56B34">
        <w:rPr>
          <w:b/>
          <w:noProof/>
          <w:szCs w:val="22"/>
        </w:rPr>
        <w:t> mg CARTON</w:t>
      </w:r>
    </w:p>
    <w:p w14:paraId="7996E1C4" w14:textId="77777777" w:rsidR="001118F7" w:rsidRPr="00662578" w:rsidRDefault="001118F7" w:rsidP="001118F7">
      <w:pPr>
        <w:spacing w:line="240" w:lineRule="auto"/>
        <w:rPr>
          <w:szCs w:val="22"/>
        </w:rPr>
      </w:pPr>
    </w:p>
    <w:p w14:paraId="2C602373" w14:textId="77777777" w:rsidR="001118F7" w:rsidRPr="00C56B34" w:rsidRDefault="001118F7" w:rsidP="001118F7">
      <w:pPr>
        <w:spacing w:line="240" w:lineRule="auto"/>
        <w:rPr>
          <w:noProof/>
          <w:szCs w:val="22"/>
        </w:rPr>
      </w:pPr>
    </w:p>
    <w:p w14:paraId="7F3CC75E" w14:textId="77777777" w:rsidR="001118F7" w:rsidRPr="00662578" w:rsidRDefault="001D0951" w:rsidP="50BD9E82">
      <w:pPr>
        <w:pBdr>
          <w:top w:val="single" w:sz="4" w:space="1" w:color="auto"/>
          <w:left w:val="single" w:sz="4" w:space="4" w:color="auto"/>
          <w:bottom w:val="single" w:sz="4" w:space="1" w:color="auto"/>
          <w:right w:val="single" w:sz="4" w:space="4" w:color="auto"/>
        </w:pBdr>
        <w:spacing w:line="240" w:lineRule="auto"/>
        <w:ind w:left="567" w:hanging="567"/>
        <w:outlineLvl w:val="0"/>
        <w:rPr>
          <w:szCs w:val="22"/>
        </w:rPr>
      </w:pPr>
      <w:r w:rsidRPr="00595956">
        <w:rPr>
          <w:b/>
          <w:bCs/>
        </w:rPr>
        <w:t>1.</w:t>
      </w:r>
      <w:r w:rsidRPr="00662578">
        <w:rPr>
          <w:b/>
          <w:szCs w:val="22"/>
        </w:rPr>
        <w:tab/>
      </w:r>
      <w:r w:rsidRPr="00595956">
        <w:rPr>
          <w:b/>
          <w:bCs/>
        </w:rPr>
        <w:t>NAME OF THE MEDICINAL PRODUCT</w:t>
      </w:r>
    </w:p>
    <w:p w14:paraId="59B9641F" w14:textId="77777777" w:rsidR="001118F7" w:rsidRPr="00C56B34" w:rsidRDefault="001118F7" w:rsidP="001118F7">
      <w:pPr>
        <w:spacing w:line="240" w:lineRule="auto"/>
        <w:rPr>
          <w:noProof/>
          <w:szCs w:val="22"/>
        </w:rPr>
      </w:pPr>
    </w:p>
    <w:p w14:paraId="3842E695" w14:textId="77777777" w:rsidR="001118F7" w:rsidRPr="00C56B34" w:rsidRDefault="001D0951" w:rsidP="5F2EC82B">
      <w:pPr>
        <w:pStyle w:val="Header"/>
        <w:spacing w:line="240" w:lineRule="auto"/>
        <w:rPr>
          <w:rFonts w:ascii="Times New Roman" w:hAnsi="Times New Roman"/>
          <w:noProof/>
          <w:sz w:val="22"/>
          <w:szCs w:val="22"/>
          <w:u w:val="single"/>
        </w:rPr>
      </w:pPr>
      <w:r w:rsidRPr="5F2EC82B">
        <w:rPr>
          <w:rFonts w:ascii="Times New Roman" w:hAnsi="Times New Roman"/>
          <w:sz w:val="22"/>
          <w:szCs w:val="22"/>
        </w:rPr>
        <w:t xml:space="preserve">CRYSVITA 10 </w:t>
      </w:r>
      <w:r w:rsidRPr="5F2EC82B">
        <w:rPr>
          <w:rFonts w:ascii="Times New Roman" w:hAnsi="Times New Roman"/>
          <w:noProof/>
          <w:sz w:val="22"/>
          <w:szCs w:val="22"/>
        </w:rPr>
        <w:t xml:space="preserve">mg </w:t>
      </w:r>
      <w:r w:rsidR="0022608B">
        <w:rPr>
          <w:rFonts w:ascii="Times New Roman" w:hAnsi="Times New Roman"/>
          <w:noProof/>
          <w:sz w:val="22"/>
          <w:szCs w:val="22"/>
        </w:rPr>
        <w:t xml:space="preserve">solution for </w:t>
      </w:r>
      <w:r w:rsidRPr="5F2EC82B">
        <w:rPr>
          <w:rFonts w:ascii="Times New Roman" w:hAnsi="Times New Roman"/>
          <w:noProof/>
          <w:sz w:val="22"/>
          <w:szCs w:val="22"/>
        </w:rPr>
        <w:t>injection</w:t>
      </w:r>
    </w:p>
    <w:p w14:paraId="7994BC7D" w14:textId="77777777" w:rsidR="001118F7" w:rsidRPr="00C56B34" w:rsidRDefault="001D0951" w:rsidP="001118F7">
      <w:pPr>
        <w:spacing w:line="240" w:lineRule="auto"/>
        <w:rPr>
          <w:b/>
          <w:szCs w:val="22"/>
        </w:rPr>
      </w:pPr>
      <w:r>
        <w:rPr>
          <w:noProof/>
          <w:szCs w:val="22"/>
        </w:rPr>
        <w:t>b</w:t>
      </w:r>
      <w:r w:rsidRPr="00C56B34">
        <w:rPr>
          <w:noProof/>
          <w:szCs w:val="22"/>
        </w:rPr>
        <w:t>urosumab</w:t>
      </w:r>
    </w:p>
    <w:p w14:paraId="5A1009DC" w14:textId="77777777" w:rsidR="001118F7" w:rsidRPr="00C56B34" w:rsidRDefault="001118F7" w:rsidP="001118F7">
      <w:pPr>
        <w:spacing w:line="240" w:lineRule="auto"/>
        <w:rPr>
          <w:noProof/>
          <w:szCs w:val="22"/>
        </w:rPr>
      </w:pPr>
    </w:p>
    <w:p w14:paraId="34571FE7" w14:textId="77777777" w:rsidR="001118F7" w:rsidRPr="00C56B34" w:rsidRDefault="001118F7" w:rsidP="001118F7">
      <w:pPr>
        <w:spacing w:line="240" w:lineRule="auto"/>
        <w:rPr>
          <w:noProof/>
          <w:szCs w:val="22"/>
        </w:rPr>
      </w:pPr>
    </w:p>
    <w:p w14:paraId="0D6FB8BD" w14:textId="77777777" w:rsidR="001118F7" w:rsidRPr="00C56B34" w:rsidRDefault="001D0951" w:rsidP="001118F7">
      <w:pPr>
        <w:pBdr>
          <w:top w:val="single" w:sz="4" w:space="1" w:color="auto"/>
          <w:left w:val="single" w:sz="4" w:space="4" w:color="auto"/>
          <w:bottom w:val="single" w:sz="4" w:space="1" w:color="auto"/>
          <w:right w:val="single" w:sz="4" w:space="4" w:color="auto"/>
        </w:pBdr>
        <w:spacing w:line="240" w:lineRule="auto"/>
        <w:ind w:left="567" w:hanging="567"/>
        <w:outlineLvl w:val="0"/>
        <w:rPr>
          <w:b/>
          <w:noProof/>
          <w:szCs w:val="22"/>
        </w:rPr>
      </w:pPr>
      <w:r w:rsidRPr="00C56B34">
        <w:rPr>
          <w:b/>
          <w:noProof/>
          <w:szCs w:val="22"/>
        </w:rPr>
        <w:t>2.</w:t>
      </w:r>
      <w:r w:rsidRPr="00C56B34">
        <w:rPr>
          <w:b/>
          <w:noProof/>
          <w:szCs w:val="22"/>
        </w:rPr>
        <w:tab/>
        <w:t>STATEMENT OF ACTIVE SUBSTANCE(S)</w:t>
      </w:r>
    </w:p>
    <w:p w14:paraId="120ED9A5" w14:textId="77777777" w:rsidR="001118F7" w:rsidRPr="00C56B34" w:rsidRDefault="001118F7" w:rsidP="001118F7">
      <w:pPr>
        <w:spacing w:line="240" w:lineRule="auto"/>
        <w:rPr>
          <w:noProof/>
          <w:szCs w:val="22"/>
        </w:rPr>
      </w:pPr>
    </w:p>
    <w:p w14:paraId="5EC03E25" w14:textId="77777777" w:rsidR="001118F7" w:rsidRPr="00BA4BF5" w:rsidRDefault="001D0951" w:rsidP="07120F5B">
      <w:pPr>
        <w:spacing w:line="240" w:lineRule="auto"/>
        <w:rPr>
          <w:rFonts w:eastAsia="SimSun"/>
        </w:rPr>
      </w:pPr>
      <w:r w:rsidRPr="07120F5B">
        <w:rPr>
          <w:rFonts w:eastAsia="SimSun"/>
        </w:rPr>
        <w:t xml:space="preserve">Each vial contains 10 mg </w:t>
      </w:r>
      <w:proofErr w:type="spellStart"/>
      <w:r w:rsidRPr="07120F5B">
        <w:rPr>
          <w:rFonts w:eastAsia="SimSun"/>
        </w:rPr>
        <w:t>burosumab</w:t>
      </w:r>
      <w:proofErr w:type="spellEnd"/>
      <w:r w:rsidRPr="07120F5B">
        <w:rPr>
          <w:rFonts w:eastAsia="SimSun"/>
        </w:rPr>
        <w:t xml:space="preserve"> in 1 ml of solution.</w:t>
      </w:r>
    </w:p>
    <w:p w14:paraId="101CFBEB" w14:textId="77777777" w:rsidR="001118F7" w:rsidRPr="00C56B34" w:rsidRDefault="001118F7" w:rsidP="001118F7">
      <w:pPr>
        <w:spacing w:line="240" w:lineRule="auto"/>
        <w:rPr>
          <w:noProof/>
          <w:szCs w:val="22"/>
        </w:rPr>
      </w:pPr>
    </w:p>
    <w:p w14:paraId="42F91E1E" w14:textId="77777777" w:rsidR="001118F7" w:rsidRPr="00C56B34" w:rsidRDefault="001118F7" w:rsidP="001118F7">
      <w:pPr>
        <w:spacing w:line="240" w:lineRule="auto"/>
        <w:rPr>
          <w:noProof/>
          <w:szCs w:val="22"/>
        </w:rPr>
      </w:pPr>
    </w:p>
    <w:p w14:paraId="6A054421" w14:textId="77777777" w:rsidR="001118F7" w:rsidRPr="00C56B34" w:rsidRDefault="001D0951" w:rsidP="001118F7">
      <w:pPr>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rPr>
      </w:pPr>
      <w:r w:rsidRPr="00C56B34">
        <w:rPr>
          <w:b/>
          <w:noProof/>
          <w:szCs w:val="22"/>
        </w:rPr>
        <w:t>3.</w:t>
      </w:r>
      <w:r w:rsidRPr="00C56B34">
        <w:rPr>
          <w:b/>
          <w:noProof/>
          <w:szCs w:val="22"/>
        </w:rPr>
        <w:tab/>
        <w:t>LIST OF EXCIPIENTS</w:t>
      </w:r>
    </w:p>
    <w:p w14:paraId="6713A105" w14:textId="77777777" w:rsidR="001118F7" w:rsidRPr="00C56B34" w:rsidRDefault="001118F7" w:rsidP="001118F7">
      <w:pPr>
        <w:spacing w:line="240" w:lineRule="auto"/>
        <w:rPr>
          <w:noProof/>
          <w:szCs w:val="22"/>
        </w:rPr>
      </w:pPr>
    </w:p>
    <w:p w14:paraId="77152065" w14:textId="77777777" w:rsidR="001118F7" w:rsidRPr="00B96FD0" w:rsidRDefault="001D0951" w:rsidP="50BD9E82">
      <w:pPr>
        <w:spacing w:line="240" w:lineRule="auto"/>
        <w:rPr>
          <w:szCs w:val="22"/>
        </w:rPr>
      </w:pPr>
      <w:r>
        <w:t>Excipients</w:t>
      </w:r>
      <w:r w:rsidR="07120F5B">
        <w:t>: L-histidine, D- sorbitol E420, polysorbate 80, L-methionine, hydrochloric acid, 10%, and water for injections.</w:t>
      </w:r>
    </w:p>
    <w:p w14:paraId="0088ABE5" w14:textId="77777777" w:rsidR="001118F7" w:rsidRPr="00C56B34" w:rsidRDefault="001D0951" w:rsidP="001118F7">
      <w:pPr>
        <w:spacing w:line="240" w:lineRule="auto"/>
        <w:rPr>
          <w:noProof/>
          <w:szCs w:val="22"/>
        </w:rPr>
      </w:pPr>
      <w:r w:rsidRPr="003C65AC">
        <w:rPr>
          <w:noProof/>
          <w:szCs w:val="22"/>
          <w:highlight w:val="lightGray"/>
        </w:rPr>
        <w:t>See leaflet for further information.</w:t>
      </w:r>
    </w:p>
    <w:p w14:paraId="16372492" w14:textId="77777777" w:rsidR="001118F7" w:rsidRPr="00C56B34" w:rsidRDefault="001118F7" w:rsidP="001118F7">
      <w:pPr>
        <w:spacing w:line="240" w:lineRule="auto"/>
        <w:rPr>
          <w:noProof/>
          <w:szCs w:val="22"/>
        </w:rPr>
      </w:pPr>
    </w:p>
    <w:p w14:paraId="5C82A73E" w14:textId="77777777" w:rsidR="001118F7" w:rsidRPr="00C56B34" w:rsidRDefault="001118F7" w:rsidP="001118F7">
      <w:pPr>
        <w:spacing w:line="240" w:lineRule="auto"/>
        <w:rPr>
          <w:noProof/>
          <w:szCs w:val="22"/>
        </w:rPr>
      </w:pPr>
    </w:p>
    <w:p w14:paraId="1B56CF54" w14:textId="77777777" w:rsidR="001118F7" w:rsidRPr="00C56B34" w:rsidRDefault="001D0951" w:rsidP="001118F7">
      <w:pPr>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rPr>
      </w:pPr>
      <w:r w:rsidRPr="00C56B34">
        <w:rPr>
          <w:b/>
          <w:noProof/>
          <w:szCs w:val="22"/>
        </w:rPr>
        <w:t>4.</w:t>
      </w:r>
      <w:r w:rsidRPr="00C56B34">
        <w:rPr>
          <w:b/>
          <w:noProof/>
          <w:szCs w:val="22"/>
        </w:rPr>
        <w:tab/>
        <w:t>PHARMACEUTICAL FORM AND CONTENTS</w:t>
      </w:r>
    </w:p>
    <w:p w14:paraId="6C5C848F" w14:textId="77777777" w:rsidR="001118F7" w:rsidRPr="00C56B34" w:rsidRDefault="001118F7" w:rsidP="001118F7">
      <w:pPr>
        <w:spacing w:line="240" w:lineRule="auto"/>
        <w:rPr>
          <w:noProof/>
          <w:szCs w:val="22"/>
        </w:rPr>
      </w:pPr>
    </w:p>
    <w:p w14:paraId="345640E2" w14:textId="77777777" w:rsidR="001118F7" w:rsidRPr="00C56B34" w:rsidRDefault="001D0951" w:rsidP="001118F7">
      <w:pPr>
        <w:spacing w:line="240" w:lineRule="auto"/>
        <w:rPr>
          <w:noProof/>
          <w:szCs w:val="22"/>
        </w:rPr>
      </w:pPr>
      <w:r w:rsidRPr="00C56B34">
        <w:rPr>
          <w:noProof/>
          <w:szCs w:val="22"/>
          <w:highlight w:val="lightGray"/>
        </w:rPr>
        <w:t>Solution for injection</w:t>
      </w:r>
    </w:p>
    <w:p w14:paraId="6C03FD55" w14:textId="77777777" w:rsidR="001118F7" w:rsidRPr="00C56B34" w:rsidRDefault="001D0951" w:rsidP="001118F7">
      <w:pPr>
        <w:spacing w:line="240" w:lineRule="auto"/>
        <w:rPr>
          <w:noProof/>
          <w:szCs w:val="22"/>
        </w:rPr>
      </w:pPr>
      <w:r w:rsidRPr="00C56B34">
        <w:rPr>
          <w:noProof/>
          <w:szCs w:val="22"/>
        </w:rPr>
        <w:t>1 vial</w:t>
      </w:r>
    </w:p>
    <w:p w14:paraId="701AA0E9" w14:textId="77777777" w:rsidR="001118F7" w:rsidRPr="00C56B34" w:rsidRDefault="001118F7" w:rsidP="001118F7">
      <w:pPr>
        <w:spacing w:line="240" w:lineRule="auto"/>
        <w:rPr>
          <w:noProof/>
          <w:szCs w:val="22"/>
        </w:rPr>
      </w:pPr>
    </w:p>
    <w:p w14:paraId="489BEE60" w14:textId="77777777" w:rsidR="001118F7" w:rsidRPr="00C56B34" w:rsidRDefault="001118F7" w:rsidP="001118F7">
      <w:pPr>
        <w:spacing w:line="240" w:lineRule="auto"/>
        <w:rPr>
          <w:noProof/>
          <w:szCs w:val="22"/>
        </w:rPr>
      </w:pPr>
    </w:p>
    <w:p w14:paraId="2114A9BA" w14:textId="77777777" w:rsidR="001118F7" w:rsidRPr="00C56B34" w:rsidRDefault="001D0951" w:rsidP="001118F7">
      <w:pPr>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rPr>
      </w:pPr>
      <w:r w:rsidRPr="00C56B34">
        <w:rPr>
          <w:b/>
          <w:noProof/>
          <w:szCs w:val="22"/>
        </w:rPr>
        <w:t>5.</w:t>
      </w:r>
      <w:r w:rsidRPr="00C56B34">
        <w:rPr>
          <w:b/>
          <w:noProof/>
          <w:szCs w:val="22"/>
        </w:rPr>
        <w:tab/>
        <w:t>METHOD AND ROUTE(S) OF ADMINISTRATION</w:t>
      </w:r>
    </w:p>
    <w:p w14:paraId="30BFF7AC" w14:textId="77777777" w:rsidR="001118F7" w:rsidRPr="00C56B34" w:rsidRDefault="001118F7" w:rsidP="001118F7">
      <w:pPr>
        <w:spacing w:line="240" w:lineRule="auto"/>
        <w:rPr>
          <w:noProof/>
          <w:szCs w:val="22"/>
        </w:rPr>
      </w:pPr>
    </w:p>
    <w:p w14:paraId="4F8D56AD" w14:textId="77777777" w:rsidR="001118F7" w:rsidRPr="00C56B34" w:rsidRDefault="001D0951" w:rsidP="001118F7">
      <w:pPr>
        <w:spacing w:line="240" w:lineRule="auto"/>
        <w:rPr>
          <w:noProof/>
          <w:szCs w:val="22"/>
        </w:rPr>
      </w:pPr>
      <w:r w:rsidRPr="00C56B34">
        <w:rPr>
          <w:noProof/>
          <w:szCs w:val="22"/>
        </w:rPr>
        <w:t>Read the package leaflet before use.</w:t>
      </w:r>
    </w:p>
    <w:p w14:paraId="7C4318D7" w14:textId="77777777" w:rsidR="001118F7" w:rsidRPr="00BA4BF5" w:rsidRDefault="001D0951" w:rsidP="5F2EC82B">
      <w:pPr>
        <w:spacing w:line="240" w:lineRule="auto"/>
        <w:rPr>
          <w:noProof/>
        </w:rPr>
      </w:pPr>
      <w:r>
        <w:t>Subcutaneous use.</w:t>
      </w:r>
    </w:p>
    <w:p w14:paraId="351CE2D2" w14:textId="77777777" w:rsidR="001118F7" w:rsidRPr="00C56B34" w:rsidRDefault="001D0951" w:rsidP="001118F7">
      <w:pPr>
        <w:spacing w:line="240" w:lineRule="auto"/>
        <w:rPr>
          <w:noProof/>
          <w:szCs w:val="22"/>
        </w:rPr>
      </w:pPr>
      <w:r w:rsidRPr="00C56B34">
        <w:rPr>
          <w:noProof/>
          <w:szCs w:val="22"/>
        </w:rPr>
        <w:t>For single use only.</w:t>
      </w:r>
    </w:p>
    <w:p w14:paraId="30366FBA" w14:textId="77777777" w:rsidR="001118F7" w:rsidRPr="005E67A9" w:rsidRDefault="001D0951" w:rsidP="001118F7">
      <w:pPr>
        <w:spacing w:line="240" w:lineRule="auto"/>
        <w:ind w:left="567" w:hanging="567"/>
        <w:rPr>
          <w:noProof/>
          <w:szCs w:val="22"/>
        </w:rPr>
      </w:pPr>
      <w:r w:rsidRPr="005E67A9">
        <w:rPr>
          <w:noProof/>
          <w:szCs w:val="22"/>
        </w:rPr>
        <w:t>Do not shake before use.</w:t>
      </w:r>
    </w:p>
    <w:p w14:paraId="3368F974" w14:textId="77777777" w:rsidR="001118F7" w:rsidRPr="00C56B34" w:rsidRDefault="001118F7" w:rsidP="001118F7">
      <w:pPr>
        <w:spacing w:line="240" w:lineRule="auto"/>
        <w:rPr>
          <w:noProof/>
          <w:szCs w:val="22"/>
        </w:rPr>
      </w:pPr>
    </w:p>
    <w:p w14:paraId="5D36AA89" w14:textId="77777777" w:rsidR="001118F7" w:rsidRPr="00C56B34" w:rsidRDefault="001118F7" w:rsidP="001118F7">
      <w:pPr>
        <w:spacing w:line="240" w:lineRule="auto"/>
        <w:rPr>
          <w:noProof/>
          <w:szCs w:val="22"/>
        </w:rPr>
      </w:pPr>
    </w:p>
    <w:p w14:paraId="153929FB" w14:textId="77777777" w:rsidR="001118F7" w:rsidRPr="00C56B34" w:rsidRDefault="001D0951" w:rsidP="001118F7">
      <w:pPr>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rPr>
      </w:pPr>
      <w:r w:rsidRPr="00C56B34">
        <w:rPr>
          <w:b/>
          <w:noProof/>
          <w:szCs w:val="22"/>
        </w:rPr>
        <w:t>6.</w:t>
      </w:r>
      <w:r w:rsidRPr="00C56B34">
        <w:rPr>
          <w:b/>
          <w:noProof/>
          <w:szCs w:val="22"/>
        </w:rPr>
        <w:tab/>
        <w:t>SPECIAL WARNING THAT THE MEDICINAL PRODUCT MUST BE STORED OUT OF THE SIGHT AND REACH OF CHILDREN</w:t>
      </w:r>
    </w:p>
    <w:p w14:paraId="4D0C3E5A" w14:textId="77777777" w:rsidR="001118F7" w:rsidRPr="00C56B34" w:rsidRDefault="001118F7" w:rsidP="001118F7">
      <w:pPr>
        <w:spacing w:line="240" w:lineRule="auto"/>
        <w:rPr>
          <w:noProof/>
          <w:szCs w:val="22"/>
        </w:rPr>
      </w:pPr>
    </w:p>
    <w:p w14:paraId="69C0D710" w14:textId="77777777" w:rsidR="001118F7" w:rsidRPr="00C56B34" w:rsidRDefault="001D0951" w:rsidP="001118F7">
      <w:pPr>
        <w:spacing w:line="240" w:lineRule="auto"/>
        <w:outlineLvl w:val="0"/>
        <w:rPr>
          <w:noProof/>
          <w:szCs w:val="22"/>
        </w:rPr>
      </w:pPr>
      <w:r w:rsidRPr="00C56B34">
        <w:rPr>
          <w:noProof/>
          <w:szCs w:val="22"/>
        </w:rPr>
        <w:t>Keep out of the sight and reach of children.</w:t>
      </w:r>
    </w:p>
    <w:p w14:paraId="26076EE2" w14:textId="77777777" w:rsidR="001118F7" w:rsidRPr="00C56B34" w:rsidRDefault="001118F7" w:rsidP="001118F7">
      <w:pPr>
        <w:spacing w:line="240" w:lineRule="auto"/>
        <w:rPr>
          <w:noProof/>
          <w:szCs w:val="22"/>
        </w:rPr>
      </w:pPr>
    </w:p>
    <w:p w14:paraId="0635A76D" w14:textId="77777777" w:rsidR="001118F7" w:rsidRPr="00C56B34" w:rsidRDefault="001118F7" w:rsidP="001118F7">
      <w:pPr>
        <w:spacing w:line="240" w:lineRule="auto"/>
        <w:rPr>
          <w:noProof/>
          <w:szCs w:val="22"/>
        </w:rPr>
      </w:pPr>
    </w:p>
    <w:p w14:paraId="5364B379" w14:textId="77777777" w:rsidR="001118F7" w:rsidRPr="00C56B34" w:rsidRDefault="001D0951" w:rsidP="001118F7">
      <w:pPr>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rPr>
      </w:pPr>
      <w:r w:rsidRPr="00C56B34">
        <w:rPr>
          <w:b/>
          <w:noProof/>
          <w:szCs w:val="22"/>
        </w:rPr>
        <w:t>7.</w:t>
      </w:r>
      <w:r w:rsidRPr="00C56B34">
        <w:rPr>
          <w:b/>
          <w:noProof/>
          <w:szCs w:val="22"/>
        </w:rPr>
        <w:tab/>
        <w:t>OTHER SPECIAL WARNING(S), IF NECESSARY</w:t>
      </w:r>
    </w:p>
    <w:p w14:paraId="59460F9C" w14:textId="77777777" w:rsidR="001118F7" w:rsidRPr="00662578" w:rsidRDefault="001118F7" w:rsidP="001118F7">
      <w:pPr>
        <w:tabs>
          <w:tab w:val="left" w:pos="749"/>
        </w:tabs>
        <w:spacing w:line="240" w:lineRule="auto"/>
        <w:rPr>
          <w:szCs w:val="22"/>
        </w:rPr>
      </w:pPr>
    </w:p>
    <w:p w14:paraId="6FD1A7AA" w14:textId="77777777" w:rsidR="001118F7" w:rsidRPr="00B96FD0" w:rsidRDefault="001118F7" w:rsidP="001118F7">
      <w:pPr>
        <w:tabs>
          <w:tab w:val="left" w:pos="749"/>
        </w:tabs>
        <w:spacing w:line="240" w:lineRule="auto"/>
        <w:rPr>
          <w:szCs w:val="22"/>
        </w:rPr>
      </w:pPr>
    </w:p>
    <w:p w14:paraId="591A1659" w14:textId="77777777" w:rsidR="001118F7" w:rsidRPr="00B96FD0" w:rsidRDefault="001D0951" w:rsidP="50BD9E82">
      <w:pPr>
        <w:pBdr>
          <w:top w:val="single" w:sz="4" w:space="1" w:color="auto"/>
          <w:left w:val="single" w:sz="4" w:space="4" w:color="auto"/>
          <w:bottom w:val="single" w:sz="4" w:space="1" w:color="auto"/>
          <w:right w:val="single" w:sz="4" w:space="4" w:color="auto"/>
        </w:pBdr>
        <w:spacing w:line="240" w:lineRule="auto"/>
        <w:ind w:left="567" w:hanging="567"/>
        <w:outlineLvl w:val="0"/>
        <w:rPr>
          <w:szCs w:val="22"/>
        </w:rPr>
      </w:pPr>
      <w:r w:rsidRPr="00595956">
        <w:rPr>
          <w:b/>
          <w:bCs/>
        </w:rPr>
        <w:t>8.</w:t>
      </w:r>
      <w:r w:rsidRPr="00B96FD0">
        <w:rPr>
          <w:b/>
          <w:szCs w:val="22"/>
        </w:rPr>
        <w:tab/>
      </w:r>
      <w:r w:rsidRPr="00595956">
        <w:rPr>
          <w:b/>
          <w:bCs/>
        </w:rPr>
        <w:t>EXPIRY DATE</w:t>
      </w:r>
    </w:p>
    <w:p w14:paraId="58D83C42" w14:textId="77777777" w:rsidR="001118F7" w:rsidRPr="00B96FD0" w:rsidRDefault="001118F7" w:rsidP="001118F7">
      <w:pPr>
        <w:spacing w:line="240" w:lineRule="auto"/>
        <w:rPr>
          <w:szCs w:val="22"/>
        </w:rPr>
      </w:pPr>
    </w:p>
    <w:p w14:paraId="7A8C8757" w14:textId="77777777" w:rsidR="001118F7" w:rsidRPr="00B96FD0" w:rsidRDefault="001D0951" w:rsidP="50BD9E82">
      <w:pPr>
        <w:spacing w:line="240" w:lineRule="auto"/>
        <w:rPr>
          <w:szCs w:val="22"/>
        </w:rPr>
      </w:pPr>
      <w:r>
        <w:t>EXP</w:t>
      </w:r>
    </w:p>
    <w:p w14:paraId="7C310CDD" w14:textId="77777777" w:rsidR="001118F7" w:rsidRDefault="001118F7" w:rsidP="001118F7">
      <w:pPr>
        <w:spacing w:line="240" w:lineRule="auto"/>
        <w:rPr>
          <w:noProof/>
          <w:szCs w:val="22"/>
        </w:rPr>
      </w:pPr>
    </w:p>
    <w:p w14:paraId="00C768A9" w14:textId="77777777" w:rsidR="001118F7" w:rsidRPr="00C56B34" w:rsidRDefault="001118F7" w:rsidP="001118F7">
      <w:pPr>
        <w:spacing w:line="240" w:lineRule="auto"/>
        <w:rPr>
          <w:noProof/>
          <w:szCs w:val="22"/>
        </w:rPr>
      </w:pPr>
    </w:p>
    <w:p w14:paraId="7D06BDEF" w14:textId="77777777" w:rsidR="001118F7" w:rsidRPr="00C56B34" w:rsidRDefault="001D0951" w:rsidP="001118F7">
      <w:pPr>
        <w:keepNext/>
        <w:keepLines/>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rPr>
      </w:pPr>
      <w:r w:rsidRPr="00C56B34">
        <w:rPr>
          <w:b/>
          <w:noProof/>
          <w:szCs w:val="22"/>
        </w:rPr>
        <w:lastRenderedPageBreak/>
        <w:t>9.</w:t>
      </w:r>
      <w:r w:rsidRPr="00C56B34">
        <w:rPr>
          <w:b/>
          <w:noProof/>
          <w:szCs w:val="22"/>
        </w:rPr>
        <w:tab/>
        <w:t>SPECIAL STORAGE CONDITIONS</w:t>
      </w:r>
    </w:p>
    <w:p w14:paraId="06B16FEB" w14:textId="77777777" w:rsidR="001118F7" w:rsidRPr="00C56B34" w:rsidRDefault="001118F7" w:rsidP="001118F7">
      <w:pPr>
        <w:keepNext/>
        <w:keepLines/>
        <w:spacing w:line="240" w:lineRule="auto"/>
        <w:rPr>
          <w:noProof/>
          <w:szCs w:val="22"/>
        </w:rPr>
      </w:pPr>
    </w:p>
    <w:p w14:paraId="601F2D36" w14:textId="77777777" w:rsidR="001118F7" w:rsidRPr="00BA4BF5" w:rsidRDefault="001D0951" w:rsidP="5F2EC82B">
      <w:pPr>
        <w:keepNext/>
        <w:keepLines/>
        <w:tabs>
          <w:tab w:val="clear" w:pos="567"/>
        </w:tabs>
        <w:autoSpaceDE w:val="0"/>
        <w:autoSpaceDN w:val="0"/>
        <w:adjustRightInd w:val="0"/>
        <w:spacing w:line="240" w:lineRule="auto"/>
        <w:rPr>
          <w:rFonts w:eastAsia="TimesNewRoman"/>
        </w:rPr>
      </w:pPr>
      <w:r w:rsidRPr="5F2EC82B">
        <w:rPr>
          <w:rFonts w:eastAsia="TimesNewRoman"/>
        </w:rPr>
        <w:t>Store in a refrigerator.</w:t>
      </w:r>
    </w:p>
    <w:p w14:paraId="27165C37" w14:textId="77777777" w:rsidR="001118F7" w:rsidRPr="00BA4BF5" w:rsidRDefault="001D0951" w:rsidP="5F2EC82B">
      <w:pPr>
        <w:keepNext/>
        <w:keepLines/>
        <w:tabs>
          <w:tab w:val="clear" w:pos="567"/>
        </w:tabs>
        <w:autoSpaceDE w:val="0"/>
        <w:autoSpaceDN w:val="0"/>
        <w:adjustRightInd w:val="0"/>
        <w:spacing w:line="240" w:lineRule="auto"/>
        <w:rPr>
          <w:rFonts w:eastAsia="TimesNewRoman"/>
        </w:rPr>
      </w:pPr>
      <w:r w:rsidRPr="5F2EC82B">
        <w:rPr>
          <w:rFonts w:eastAsia="TimesNewRoman"/>
        </w:rPr>
        <w:t>Do not freeze.</w:t>
      </w:r>
    </w:p>
    <w:p w14:paraId="1FDC7D87" w14:textId="77777777" w:rsidR="001118F7" w:rsidRPr="00BA4BF5" w:rsidRDefault="001D0951" w:rsidP="5F2EC82B">
      <w:pPr>
        <w:keepNext/>
        <w:keepLines/>
        <w:tabs>
          <w:tab w:val="clear" w:pos="567"/>
        </w:tabs>
        <w:autoSpaceDE w:val="0"/>
        <w:autoSpaceDN w:val="0"/>
        <w:adjustRightInd w:val="0"/>
        <w:spacing w:line="240" w:lineRule="auto"/>
        <w:rPr>
          <w:rFonts w:eastAsia="TimesNewRoman"/>
        </w:rPr>
      </w:pPr>
      <w:r w:rsidRPr="5F2EC82B">
        <w:rPr>
          <w:rFonts w:eastAsia="TimesNewRoman"/>
        </w:rPr>
        <w:t>Store in the original package in order to protect from light.</w:t>
      </w:r>
    </w:p>
    <w:p w14:paraId="68C86BD2" w14:textId="77777777" w:rsidR="001118F7" w:rsidRPr="00C56B34" w:rsidRDefault="001118F7" w:rsidP="001118F7">
      <w:pPr>
        <w:spacing w:line="240" w:lineRule="auto"/>
        <w:ind w:left="567" w:hanging="567"/>
        <w:rPr>
          <w:noProof/>
          <w:szCs w:val="22"/>
        </w:rPr>
      </w:pPr>
    </w:p>
    <w:p w14:paraId="6BDD57F0" w14:textId="77777777" w:rsidR="001118F7" w:rsidRPr="00C56B34" w:rsidRDefault="001118F7" w:rsidP="001118F7">
      <w:pPr>
        <w:spacing w:line="240" w:lineRule="auto"/>
        <w:ind w:left="567" w:hanging="567"/>
        <w:rPr>
          <w:noProof/>
          <w:szCs w:val="22"/>
        </w:rPr>
      </w:pPr>
    </w:p>
    <w:p w14:paraId="25838DAC" w14:textId="77777777" w:rsidR="001118F7" w:rsidRPr="00C56B34" w:rsidRDefault="001D0951" w:rsidP="001118F7">
      <w:pPr>
        <w:pBdr>
          <w:top w:val="single" w:sz="4" w:space="1" w:color="auto"/>
          <w:left w:val="single" w:sz="4" w:space="4" w:color="auto"/>
          <w:bottom w:val="single" w:sz="4" w:space="1" w:color="auto"/>
          <w:right w:val="single" w:sz="4" w:space="4" w:color="auto"/>
        </w:pBdr>
        <w:spacing w:line="240" w:lineRule="auto"/>
        <w:ind w:left="567" w:hanging="567"/>
        <w:outlineLvl w:val="0"/>
        <w:rPr>
          <w:b/>
          <w:noProof/>
          <w:szCs w:val="22"/>
        </w:rPr>
      </w:pPr>
      <w:r w:rsidRPr="00C56B34">
        <w:rPr>
          <w:b/>
          <w:noProof/>
          <w:szCs w:val="22"/>
        </w:rPr>
        <w:t>10.</w:t>
      </w:r>
      <w:r w:rsidRPr="00C56B34">
        <w:rPr>
          <w:b/>
          <w:noProof/>
          <w:szCs w:val="22"/>
        </w:rPr>
        <w:tab/>
        <w:t>SPECIAL PRECAUTIONS FOR DISPOSAL OF UNUSED MEDICINAL PRODUCTS OR WASTE MATERIALS DERIVED FROM SUCH MEDICINAL PRODUCTS, IF APPROPRIATE</w:t>
      </w:r>
    </w:p>
    <w:p w14:paraId="42DEC026" w14:textId="77777777" w:rsidR="001118F7" w:rsidRPr="00C56B34" w:rsidRDefault="001118F7" w:rsidP="001118F7">
      <w:pPr>
        <w:spacing w:line="240" w:lineRule="auto"/>
        <w:rPr>
          <w:noProof/>
          <w:szCs w:val="22"/>
        </w:rPr>
      </w:pPr>
    </w:p>
    <w:p w14:paraId="767E4246" w14:textId="77777777" w:rsidR="001118F7" w:rsidRPr="00C56B34" w:rsidRDefault="001118F7" w:rsidP="001118F7">
      <w:pPr>
        <w:spacing w:line="240" w:lineRule="auto"/>
        <w:rPr>
          <w:noProof/>
          <w:szCs w:val="22"/>
        </w:rPr>
      </w:pPr>
    </w:p>
    <w:p w14:paraId="64C17AC7" w14:textId="77777777" w:rsidR="001118F7" w:rsidRPr="00C56B34" w:rsidRDefault="001D0951" w:rsidP="001118F7">
      <w:pPr>
        <w:pBdr>
          <w:top w:val="single" w:sz="4" w:space="1" w:color="auto"/>
          <w:left w:val="single" w:sz="4" w:space="4" w:color="auto"/>
          <w:bottom w:val="single" w:sz="4" w:space="1" w:color="auto"/>
          <w:right w:val="single" w:sz="4" w:space="4" w:color="auto"/>
        </w:pBdr>
        <w:spacing w:line="240" w:lineRule="auto"/>
        <w:outlineLvl w:val="0"/>
        <w:rPr>
          <w:b/>
          <w:noProof/>
          <w:szCs w:val="22"/>
        </w:rPr>
      </w:pPr>
      <w:r w:rsidRPr="00C56B34">
        <w:rPr>
          <w:b/>
          <w:noProof/>
          <w:szCs w:val="22"/>
        </w:rPr>
        <w:t>11.</w:t>
      </w:r>
      <w:r w:rsidRPr="00C56B34">
        <w:rPr>
          <w:b/>
          <w:noProof/>
          <w:szCs w:val="22"/>
        </w:rPr>
        <w:tab/>
        <w:t>NAME AND ADDRESS OF THE MARKETING AUTHORISATION HOLDER</w:t>
      </w:r>
    </w:p>
    <w:p w14:paraId="6D900E2A" w14:textId="77777777" w:rsidR="001118F7" w:rsidRPr="00C56B34" w:rsidRDefault="001118F7" w:rsidP="001118F7">
      <w:pPr>
        <w:spacing w:line="240" w:lineRule="auto"/>
        <w:rPr>
          <w:noProof/>
          <w:szCs w:val="22"/>
        </w:rPr>
      </w:pPr>
    </w:p>
    <w:p w14:paraId="4A7C5459" w14:textId="77777777" w:rsidR="009B3D1F" w:rsidRDefault="001D0951" w:rsidP="009B3D1F">
      <w:pPr>
        <w:spacing w:line="240" w:lineRule="auto"/>
        <w:rPr>
          <w:lang w:eastAsia="en-GB"/>
        </w:rPr>
      </w:pPr>
      <w:r>
        <w:rPr>
          <w:lang w:eastAsia="en-GB"/>
        </w:rPr>
        <w:t>Kyowa Kirin Holdings B.V.</w:t>
      </w:r>
    </w:p>
    <w:p w14:paraId="1EBCB42C" w14:textId="77777777" w:rsidR="009B3D1F" w:rsidRDefault="001D0951" w:rsidP="009B3D1F">
      <w:pPr>
        <w:spacing w:line="240" w:lineRule="auto"/>
        <w:rPr>
          <w:lang w:eastAsia="en-GB"/>
        </w:rPr>
      </w:pPr>
      <w:proofErr w:type="spellStart"/>
      <w:r>
        <w:rPr>
          <w:lang w:eastAsia="en-GB"/>
        </w:rPr>
        <w:t>Bloemlaan</w:t>
      </w:r>
      <w:proofErr w:type="spellEnd"/>
      <w:r>
        <w:rPr>
          <w:lang w:eastAsia="en-GB"/>
        </w:rPr>
        <w:t xml:space="preserve"> 2</w:t>
      </w:r>
    </w:p>
    <w:p w14:paraId="4858CDA8" w14:textId="77777777" w:rsidR="009B3D1F" w:rsidRDefault="001D0951" w:rsidP="009B3D1F">
      <w:pPr>
        <w:spacing w:line="240" w:lineRule="auto"/>
        <w:rPr>
          <w:lang w:eastAsia="en-GB"/>
        </w:rPr>
      </w:pPr>
      <w:r>
        <w:rPr>
          <w:lang w:eastAsia="en-GB"/>
        </w:rPr>
        <w:t xml:space="preserve">2132NP </w:t>
      </w:r>
      <w:proofErr w:type="spellStart"/>
      <w:r>
        <w:rPr>
          <w:lang w:eastAsia="en-GB"/>
        </w:rPr>
        <w:t>Hoofddorp</w:t>
      </w:r>
      <w:proofErr w:type="spellEnd"/>
    </w:p>
    <w:p w14:paraId="11D67F6D" w14:textId="77777777" w:rsidR="001118F7" w:rsidRPr="00BA4BF5" w:rsidRDefault="001D0951" w:rsidP="5F2EC82B">
      <w:pPr>
        <w:spacing w:line="240" w:lineRule="auto"/>
        <w:rPr>
          <w:noProof/>
        </w:rPr>
      </w:pPr>
      <w:r>
        <w:rPr>
          <w:lang w:eastAsia="en-GB"/>
        </w:rPr>
        <w:t>The Netherlands</w:t>
      </w:r>
      <w:r w:rsidRPr="5F2EC82B">
        <w:rPr>
          <w:lang w:eastAsia="en-GB"/>
        </w:rPr>
        <w:t xml:space="preserve"> </w:t>
      </w:r>
    </w:p>
    <w:p w14:paraId="6CE32075" w14:textId="77777777" w:rsidR="001118F7" w:rsidRPr="00C56B34" w:rsidRDefault="001118F7" w:rsidP="001118F7">
      <w:pPr>
        <w:spacing w:line="240" w:lineRule="auto"/>
        <w:rPr>
          <w:noProof/>
          <w:szCs w:val="22"/>
        </w:rPr>
      </w:pPr>
    </w:p>
    <w:p w14:paraId="60611A9E" w14:textId="77777777" w:rsidR="001118F7" w:rsidRPr="00C56B34" w:rsidRDefault="001118F7" w:rsidP="001118F7">
      <w:pPr>
        <w:spacing w:line="240" w:lineRule="auto"/>
        <w:rPr>
          <w:noProof/>
          <w:szCs w:val="22"/>
        </w:rPr>
      </w:pPr>
    </w:p>
    <w:p w14:paraId="084711D1" w14:textId="77777777" w:rsidR="001118F7" w:rsidRPr="00C56B34" w:rsidRDefault="001D0951" w:rsidP="001118F7">
      <w:pPr>
        <w:pBdr>
          <w:top w:val="single" w:sz="4" w:space="1" w:color="auto"/>
          <w:left w:val="single" w:sz="4" w:space="4" w:color="auto"/>
          <w:bottom w:val="single" w:sz="4" w:space="1" w:color="auto"/>
          <w:right w:val="single" w:sz="4" w:space="4" w:color="auto"/>
        </w:pBdr>
        <w:spacing w:line="240" w:lineRule="auto"/>
        <w:outlineLvl w:val="0"/>
        <w:rPr>
          <w:noProof/>
          <w:szCs w:val="22"/>
        </w:rPr>
      </w:pPr>
      <w:r w:rsidRPr="00C56B34">
        <w:rPr>
          <w:b/>
          <w:noProof/>
          <w:szCs w:val="22"/>
        </w:rPr>
        <w:t>12.</w:t>
      </w:r>
      <w:r w:rsidRPr="00C56B34">
        <w:rPr>
          <w:b/>
          <w:noProof/>
          <w:szCs w:val="22"/>
        </w:rPr>
        <w:tab/>
        <w:t xml:space="preserve">MARKETING AUTHORISATION NUMBER(S) </w:t>
      </w:r>
    </w:p>
    <w:p w14:paraId="2983406A" w14:textId="77777777" w:rsidR="001118F7" w:rsidRPr="00C56B34" w:rsidRDefault="001118F7" w:rsidP="001118F7">
      <w:pPr>
        <w:spacing w:line="240" w:lineRule="auto"/>
        <w:rPr>
          <w:noProof/>
          <w:szCs w:val="22"/>
        </w:rPr>
      </w:pPr>
    </w:p>
    <w:p w14:paraId="2B4AF2E8" w14:textId="77777777" w:rsidR="001118F7" w:rsidRPr="00FF49A3" w:rsidRDefault="001D0951" w:rsidP="001118F7">
      <w:pPr>
        <w:spacing w:line="240" w:lineRule="auto"/>
        <w:outlineLvl w:val="0"/>
        <w:rPr>
          <w:noProof/>
          <w:szCs w:val="22"/>
          <w:lang w:val="en-US"/>
        </w:rPr>
      </w:pPr>
      <w:r>
        <w:rPr>
          <w:noProof/>
          <w:szCs w:val="22"/>
        </w:rPr>
        <w:t>EU/1/17/1262/001</w:t>
      </w:r>
    </w:p>
    <w:p w14:paraId="7555844C" w14:textId="77777777" w:rsidR="001118F7" w:rsidRPr="00FF49A3" w:rsidRDefault="001118F7" w:rsidP="001118F7">
      <w:pPr>
        <w:spacing w:line="240" w:lineRule="auto"/>
        <w:rPr>
          <w:noProof/>
          <w:szCs w:val="22"/>
          <w:lang w:val="en-US"/>
        </w:rPr>
      </w:pPr>
    </w:p>
    <w:p w14:paraId="6CC14587" w14:textId="77777777" w:rsidR="001118F7" w:rsidRPr="00FF49A3" w:rsidRDefault="001118F7" w:rsidP="001118F7">
      <w:pPr>
        <w:spacing w:line="240" w:lineRule="auto"/>
        <w:rPr>
          <w:noProof/>
          <w:szCs w:val="22"/>
          <w:lang w:val="en-US"/>
        </w:rPr>
      </w:pPr>
    </w:p>
    <w:p w14:paraId="4D9537DD" w14:textId="77777777" w:rsidR="001118F7" w:rsidRPr="00FF49A3" w:rsidRDefault="001D0951" w:rsidP="001118F7">
      <w:pPr>
        <w:pBdr>
          <w:top w:val="single" w:sz="4" w:space="1" w:color="auto"/>
          <w:left w:val="single" w:sz="4" w:space="4" w:color="auto"/>
          <w:bottom w:val="single" w:sz="4" w:space="1" w:color="auto"/>
          <w:right w:val="single" w:sz="4" w:space="4" w:color="auto"/>
        </w:pBdr>
        <w:spacing w:line="240" w:lineRule="auto"/>
        <w:outlineLvl w:val="0"/>
        <w:rPr>
          <w:noProof/>
          <w:szCs w:val="22"/>
          <w:lang w:val="en-US"/>
        </w:rPr>
      </w:pPr>
      <w:r w:rsidRPr="00FF49A3">
        <w:rPr>
          <w:b/>
          <w:noProof/>
          <w:szCs w:val="22"/>
          <w:lang w:val="en-US"/>
        </w:rPr>
        <w:t>13.</w:t>
      </w:r>
      <w:r w:rsidRPr="00FF49A3">
        <w:rPr>
          <w:b/>
          <w:noProof/>
          <w:szCs w:val="22"/>
          <w:lang w:val="en-US"/>
        </w:rPr>
        <w:tab/>
        <w:t>BATCH NUMBER</w:t>
      </w:r>
    </w:p>
    <w:p w14:paraId="708D01CF" w14:textId="77777777" w:rsidR="001118F7" w:rsidRPr="00FF49A3" w:rsidRDefault="001118F7" w:rsidP="001118F7">
      <w:pPr>
        <w:spacing w:line="240" w:lineRule="auto"/>
        <w:rPr>
          <w:noProof/>
          <w:szCs w:val="22"/>
          <w:lang w:val="en-US"/>
        </w:rPr>
      </w:pPr>
    </w:p>
    <w:p w14:paraId="6C8B4AF2" w14:textId="77777777" w:rsidR="001118F7" w:rsidRPr="00FF49A3" w:rsidRDefault="001D0951" w:rsidP="001118F7">
      <w:pPr>
        <w:spacing w:line="240" w:lineRule="auto"/>
        <w:rPr>
          <w:noProof/>
          <w:szCs w:val="22"/>
          <w:lang w:val="en-US"/>
        </w:rPr>
      </w:pPr>
      <w:r w:rsidRPr="00FF49A3">
        <w:rPr>
          <w:noProof/>
          <w:szCs w:val="22"/>
          <w:lang w:val="en-US"/>
        </w:rPr>
        <w:t>Lot</w:t>
      </w:r>
    </w:p>
    <w:p w14:paraId="36C723B8" w14:textId="77777777" w:rsidR="001118F7" w:rsidRPr="00FF49A3" w:rsidRDefault="001118F7" w:rsidP="001118F7">
      <w:pPr>
        <w:spacing w:line="240" w:lineRule="auto"/>
        <w:rPr>
          <w:noProof/>
          <w:szCs w:val="22"/>
          <w:lang w:val="en-US"/>
        </w:rPr>
      </w:pPr>
    </w:p>
    <w:p w14:paraId="10B222C9" w14:textId="77777777" w:rsidR="001118F7" w:rsidRPr="00FF49A3" w:rsidRDefault="001118F7" w:rsidP="001118F7">
      <w:pPr>
        <w:spacing w:line="240" w:lineRule="auto"/>
        <w:rPr>
          <w:noProof/>
          <w:szCs w:val="22"/>
          <w:lang w:val="en-US"/>
        </w:rPr>
      </w:pPr>
    </w:p>
    <w:p w14:paraId="1CED43CD" w14:textId="77777777" w:rsidR="001118F7" w:rsidRPr="00C56B34" w:rsidRDefault="001D0951" w:rsidP="001118F7">
      <w:pPr>
        <w:pBdr>
          <w:top w:val="single" w:sz="4" w:space="1" w:color="auto"/>
          <w:left w:val="single" w:sz="4" w:space="4" w:color="auto"/>
          <w:bottom w:val="single" w:sz="4" w:space="1" w:color="auto"/>
          <w:right w:val="single" w:sz="4" w:space="4" w:color="auto"/>
        </w:pBdr>
        <w:spacing w:line="240" w:lineRule="auto"/>
        <w:outlineLvl w:val="0"/>
        <w:rPr>
          <w:noProof/>
          <w:szCs w:val="22"/>
        </w:rPr>
      </w:pPr>
      <w:r w:rsidRPr="00C56B34">
        <w:rPr>
          <w:b/>
          <w:noProof/>
          <w:szCs w:val="22"/>
        </w:rPr>
        <w:t>14.</w:t>
      </w:r>
      <w:r w:rsidRPr="00C56B34">
        <w:rPr>
          <w:b/>
          <w:noProof/>
          <w:szCs w:val="22"/>
        </w:rPr>
        <w:tab/>
        <w:t>GENERAL CLASSIFICATION FOR SUPPLY</w:t>
      </w:r>
    </w:p>
    <w:p w14:paraId="554ECD96" w14:textId="77777777" w:rsidR="001118F7" w:rsidRPr="00C56B34" w:rsidRDefault="001118F7" w:rsidP="001118F7">
      <w:pPr>
        <w:spacing w:line="240" w:lineRule="auto"/>
        <w:rPr>
          <w:i/>
          <w:noProof/>
          <w:szCs w:val="22"/>
        </w:rPr>
      </w:pPr>
    </w:p>
    <w:p w14:paraId="4B31E396" w14:textId="77777777" w:rsidR="001118F7" w:rsidRPr="00C56B34" w:rsidRDefault="001118F7" w:rsidP="001118F7">
      <w:pPr>
        <w:spacing w:line="240" w:lineRule="auto"/>
        <w:rPr>
          <w:noProof/>
          <w:szCs w:val="22"/>
        </w:rPr>
      </w:pPr>
    </w:p>
    <w:p w14:paraId="53F4C124" w14:textId="77777777" w:rsidR="001118F7" w:rsidRPr="00C56B34" w:rsidRDefault="001D0951" w:rsidP="001118F7">
      <w:pPr>
        <w:pBdr>
          <w:top w:val="single" w:sz="4" w:space="2" w:color="auto"/>
          <w:left w:val="single" w:sz="4" w:space="4" w:color="auto"/>
          <w:bottom w:val="single" w:sz="4" w:space="1" w:color="auto"/>
          <w:right w:val="single" w:sz="4" w:space="4" w:color="auto"/>
        </w:pBdr>
        <w:spacing w:line="240" w:lineRule="auto"/>
        <w:outlineLvl w:val="0"/>
        <w:rPr>
          <w:noProof/>
          <w:szCs w:val="22"/>
        </w:rPr>
      </w:pPr>
      <w:r w:rsidRPr="00C56B34">
        <w:rPr>
          <w:b/>
          <w:noProof/>
          <w:szCs w:val="22"/>
        </w:rPr>
        <w:t>15.</w:t>
      </w:r>
      <w:r w:rsidRPr="00C56B34">
        <w:rPr>
          <w:b/>
          <w:noProof/>
          <w:szCs w:val="22"/>
        </w:rPr>
        <w:tab/>
        <w:t>INSTRUCTIONS ON USE</w:t>
      </w:r>
    </w:p>
    <w:p w14:paraId="6FA25F23" w14:textId="77777777" w:rsidR="001118F7" w:rsidRPr="00C56B34" w:rsidRDefault="001118F7" w:rsidP="001118F7">
      <w:pPr>
        <w:spacing w:line="240" w:lineRule="auto"/>
        <w:rPr>
          <w:noProof/>
          <w:szCs w:val="22"/>
        </w:rPr>
      </w:pPr>
    </w:p>
    <w:p w14:paraId="4328B27B" w14:textId="77777777" w:rsidR="001118F7" w:rsidRPr="00C56B34" w:rsidRDefault="001118F7" w:rsidP="001118F7">
      <w:pPr>
        <w:spacing w:line="240" w:lineRule="auto"/>
        <w:rPr>
          <w:noProof/>
          <w:szCs w:val="22"/>
        </w:rPr>
      </w:pPr>
    </w:p>
    <w:p w14:paraId="0B5400C3" w14:textId="77777777" w:rsidR="001118F7" w:rsidRPr="00C56B34" w:rsidRDefault="001D0951" w:rsidP="001118F7">
      <w:pPr>
        <w:pBdr>
          <w:top w:val="single" w:sz="4" w:space="1" w:color="auto"/>
          <w:left w:val="single" w:sz="4" w:space="4" w:color="auto"/>
          <w:bottom w:val="single" w:sz="4" w:space="0" w:color="auto"/>
          <w:right w:val="single" w:sz="4" w:space="4" w:color="auto"/>
        </w:pBdr>
        <w:spacing w:line="240" w:lineRule="auto"/>
        <w:rPr>
          <w:noProof/>
          <w:szCs w:val="22"/>
        </w:rPr>
      </w:pPr>
      <w:r w:rsidRPr="00C56B34">
        <w:rPr>
          <w:b/>
          <w:noProof/>
          <w:szCs w:val="22"/>
        </w:rPr>
        <w:t>16.</w:t>
      </w:r>
      <w:r w:rsidRPr="00C56B34">
        <w:rPr>
          <w:b/>
          <w:noProof/>
          <w:szCs w:val="22"/>
        </w:rPr>
        <w:tab/>
        <w:t>INFORMATION IN BRAILLE</w:t>
      </w:r>
    </w:p>
    <w:p w14:paraId="30ADF7C8" w14:textId="77777777" w:rsidR="001118F7" w:rsidRPr="00C56B34" w:rsidRDefault="001118F7" w:rsidP="001118F7">
      <w:pPr>
        <w:spacing w:line="240" w:lineRule="auto"/>
        <w:rPr>
          <w:noProof/>
          <w:szCs w:val="22"/>
        </w:rPr>
      </w:pPr>
    </w:p>
    <w:p w14:paraId="1D077D50" w14:textId="77777777" w:rsidR="001118F7" w:rsidRPr="00C56B34" w:rsidRDefault="001D0951" w:rsidP="001118F7">
      <w:pPr>
        <w:spacing w:line="240" w:lineRule="auto"/>
        <w:rPr>
          <w:noProof/>
          <w:szCs w:val="22"/>
          <w:shd w:val="clear" w:color="auto" w:fill="CCCCCC"/>
        </w:rPr>
      </w:pPr>
      <w:r w:rsidRPr="00C56B34">
        <w:rPr>
          <w:noProof/>
          <w:szCs w:val="22"/>
          <w:shd w:val="clear" w:color="auto" w:fill="CCCCCC"/>
        </w:rPr>
        <w:t>Justification for not including Braille accepted.</w:t>
      </w:r>
    </w:p>
    <w:p w14:paraId="435F2EBE" w14:textId="77777777" w:rsidR="001118F7" w:rsidRPr="00C56B34" w:rsidRDefault="001118F7" w:rsidP="001118F7">
      <w:pPr>
        <w:spacing w:line="240" w:lineRule="auto"/>
        <w:rPr>
          <w:noProof/>
          <w:szCs w:val="22"/>
          <w:shd w:val="clear" w:color="auto" w:fill="CCCCCC"/>
        </w:rPr>
      </w:pPr>
    </w:p>
    <w:p w14:paraId="35911035" w14:textId="77777777" w:rsidR="001118F7" w:rsidRPr="00C56B34" w:rsidRDefault="001118F7" w:rsidP="001118F7">
      <w:pPr>
        <w:spacing w:line="240" w:lineRule="auto"/>
        <w:rPr>
          <w:noProof/>
          <w:szCs w:val="22"/>
          <w:shd w:val="clear" w:color="auto" w:fill="CCCCCC"/>
        </w:rPr>
      </w:pPr>
    </w:p>
    <w:p w14:paraId="19278B49" w14:textId="77777777" w:rsidR="001118F7" w:rsidRPr="00662578" w:rsidRDefault="001D0951" w:rsidP="001118F7">
      <w:pPr>
        <w:pBdr>
          <w:top w:val="single" w:sz="4" w:space="1" w:color="auto"/>
          <w:left w:val="single" w:sz="4" w:space="4" w:color="auto"/>
          <w:bottom w:val="single" w:sz="4" w:space="0" w:color="auto"/>
          <w:right w:val="single" w:sz="4" w:space="4" w:color="auto"/>
        </w:pBdr>
        <w:tabs>
          <w:tab w:val="clear" w:pos="567"/>
        </w:tabs>
        <w:spacing w:line="240" w:lineRule="auto"/>
        <w:rPr>
          <w:i/>
          <w:noProof/>
          <w:szCs w:val="22"/>
        </w:rPr>
      </w:pPr>
      <w:r w:rsidRPr="00662578">
        <w:rPr>
          <w:b/>
          <w:noProof/>
          <w:szCs w:val="22"/>
        </w:rPr>
        <w:t>17.</w:t>
      </w:r>
      <w:r w:rsidRPr="00662578">
        <w:rPr>
          <w:b/>
          <w:noProof/>
          <w:szCs w:val="22"/>
        </w:rPr>
        <w:tab/>
        <w:t>UNIQUE IDENTIFIER – 2D BARCODE</w:t>
      </w:r>
    </w:p>
    <w:p w14:paraId="1D1734AE" w14:textId="77777777" w:rsidR="001118F7" w:rsidRPr="00662578" w:rsidRDefault="001118F7" w:rsidP="001118F7">
      <w:pPr>
        <w:tabs>
          <w:tab w:val="clear" w:pos="567"/>
        </w:tabs>
        <w:spacing w:line="240" w:lineRule="auto"/>
        <w:rPr>
          <w:noProof/>
          <w:szCs w:val="22"/>
        </w:rPr>
      </w:pPr>
    </w:p>
    <w:p w14:paraId="1E4CC3CA" w14:textId="77777777" w:rsidR="001118F7" w:rsidRPr="00C56B34" w:rsidRDefault="001D0951" w:rsidP="001118F7">
      <w:pPr>
        <w:spacing w:line="240" w:lineRule="auto"/>
        <w:rPr>
          <w:noProof/>
          <w:szCs w:val="22"/>
          <w:shd w:val="clear" w:color="auto" w:fill="CCCCCC"/>
        </w:rPr>
      </w:pPr>
      <w:r w:rsidRPr="00662578">
        <w:rPr>
          <w:noProof/>
          <w:szCs w:val="22"/>
          <w:highlight w:val="lightGray"/>
        </w:rPr>
        <w:t>2D barcode carrying the unique identifier included.</w:t>
      </w:r>
    </w:p>
    <w:p w14:paraId="01FFE84A" w14:textId="77777777" w:rsidR="001118F7" w:rsidRPr="00662578" w:rsidRDefault="001118F7" w:rsidP="001118F7">
      <w:pPr>
        <w:tabs>
          <w:tab w:val="clear" w:pos="567"/>
        </w:tabs>
        <w:spacing w:line="240" w:lineRule="auto"/>
        <w:rPr>
          <w:noProof/>
          <w:szCs w:val="22"/>
        </w:rPr>
      </w:pPr>
    </w:p>
    <w:p w14:paraId="517F126F" w14:textId="77777777" w:rsidR="001118F7" w:rsidRPr="00662578" w:rsidRDefault="001118F7" w:rsidP="001118F7">
      <w:pPr>
        <w:tabs>
          <w:tab w:val="clear" w:pos="567"/>
        </w:tabs>
        <w:spacing w:line="240" w:lineRule="auto"/>
        <w:rPr>
          <w:noProof/>
          <w:szCs w:val="22"/>
        </w:rPr>
      </w:pPr>
    </w:p>
    <w:p w14:paraId="12F304F8" w14:textId="77777777" w:rsidR="001118F7" w:rsidRPr="00662578" w:rsidRDefault="001D0951" w:rsidP="001118F7">
      <w:pPr>
        <w:keepNext/>
        <w:keepLines/>
        <w:pBdr>
          <w:top w:val="single" w:sz="4" w:space="1" w:color="auto"/>
          <w:left w:val="single" w:sz="4" w:space="4" w:color="auto"/>
          <w:bottom w:val="single" w:sz="4" w:space="0" w:color="auto"/>
          <w:right w:val="single" w:sz="4" w:space="4" w:color="auto"/>
        </w:pBdr>
        <w:tabs>
          <w:tab w:val="clear" w:pos="567"/>
        </w:tabs>
        <w:spacing w:line="240" w:lineRule="auto"/>
        <w:rPr>
          <w:i/>
          <w:noProof/>
          <w:szCs w:val="22"/>
        </w:rPr>
      </w:pPr>
      <w:r w:rsidRPr="00662578">
        <w:rPr>
          <w:b/>
          <w:noProof/>
          <w:szCs w:val="22"/>
        </w:rPr>
        <w:t>18.</w:t>
      </w:r>
      <w:r w:rsidRPr="00662578">
        <w:rPr>
          <w:b/>
          <w:noProof/>
          <w:szCs w:val="22"/>
        </w:rPr>
        <w:tab/>
        <w:t>UNIQUE IDENTIFIER - HUMAN READABLE DATA</w:t>
      </w:r>
    </w:p>
    <w:p w14:paraId="10126401" w14:textId="77777777" w:rsidR="001118F7" w:rsidRPr="00B96FD0" w:rsidRDefault="001118F7" w:rsidP="001118F7">
      <w:pPr>
        <w:keepNext/>
        <w:keepLines/>
        <w:tabs>
          <w:tab w:val="clear" w:pos="567"/>
        </w:tabs>
        <w:spacing w:line="240" w:lineRule="auto"/>
        <w:rPr>
          <w:noProof/>
          <w:szCs w:val="22"/>
        </w:rPr>
      </w:pPr>
    </w:p>
    <w:p w14:paraId="2C933FE6" w14:textId="140AB923" w:rsidR="004A2EB8" w:rsidRPr="003E32A4" w:rsidRDefault="001D0951" w:rsidP="5F2EC82B">
      <w:pPr>
        <w:keepNext/>
        <w:keepLines/>
        <w:spacing w:line="240" w:lineRule="auto"/>
        <w:rPr>
          <w:highlight w:val="lightGray"/>
        </w:rPr>
      </w:pPr>
      <w:r w:rsidRPr="003E32A4">
        <w:rPr>
          <w:highlight w:val="lightGray"/>
        </w:rPr>
        <w:t>PC</w:t>
      </w:r>
    </w:p>
    <w:p w14:paraId="2807239D" w14:textId="7A6D3B7E" w:rsidR="004A2EB8" w:rsidRPr="003E32A4" w:rsidRDefault="001D0951" w:rsidP="5F2EC82B">
      <w:pPr>
        <w:keepNext/>
        <w:keepLines/>
        <w:spacing w:line="240" w:lineRule="auto"/>
        <w:rPr>
          <w:highlight w:val="lightGray"/>
        </w:rPr>
      </w:pPr>
      <w:r w:rsidRPr="003E32A4">
        <w:rPr>
          <w:highlight w:val="lightGray"/>
        </w:rPr>
        <w:t>SN</w:t>
      </w:r>
    </w:p>
    <w:p w14:paraId="34EDF555" w14:textId="4B90516D" w:rsidR="004A2EB8" w:rsidRPr="00C56B34" w:rsidRDefault="001D0951" w:rsidP="50BD9E82">
      <w:pPr>
        <w:keepNext/>
        <w:keepLines/>
        <w:spacing w:line="240" w:lineRule="auto"/>
        <w:rPr>
          <w:szCs w:val="22"/>
        </w:rPr>
      </w:pPr>
      <w:r w:rsidRPr="003E32A4">
        <w:rPr>
          <w:highlight w:val="lightGray"/>
        </w:rPr>
        <w:t>NN</w:t>
      </w:r>
    </w:p>
    <w:p w14:paraId="27E999AB" w14:textId="77777777" w:rsidR="004A2EB8" w:rsidRPr="008B62C1" w:rsidRDefault="004A2EB8" w:rsidP="004A2EB8">
      <w:pPr>
        <w:tabs>
          <w:tab w:val="clear" w:pos="567"/>
        </w:tabs>
        <w:spacing w:line="240" w:lineRule="auto"/>
        <w:rPr>
          <w:noProof/>
          <w:szCs w:val="22"/>
        </w:rPr>
      </w:pPr>
    </w:p>
    <w:p w14:paraId="47B8FC27" w14:textId="77777777" w:rsidR="00E27790" w:rsidRPr="00C56B34" w:rsidRDefault="001D0951" w:rsidP="00E27790">
      <w:pPr>
        <w:pBdr>
          <w:top w:val="single" w:sz="4" w:space="1" w:color="auto"/>
          <w:left w:val="single" w:sz="4" w:space="4" w:color="auto"/>
          <w:bottom w:val="single" w:sz="4" w:space="1" w:color="auto"/>
          <w:right w:val="single" w:sz="4" w:space="4" w:color="auto"/>
        </w:pBdr>
        <w:spacing w:line="240" w:lineRule="auto"/>
        <w:rPr>
          <w:b/>
          <w:noProof/>
          <w:szCs w:val="22"/>
        </w:rPr>
      </w:pPr>
      <w:r w:rsidRPr="00C56B34">
        <w:rPr>
          <w:noProof/>
          <w:szCs w:val="22"/>
          <w:shd w:val="clear" w:color="auto" w:fill="CCCCCC"/>
        </w:rPr>
        <w:br w:type="page"/>
      </w:r>
      <w:r w:rsidRPr="00C56B34">
        <w:rPr>
          <w:b/>
          <w:noProof/>
          <w:szCs w:val="22"/>
        </w:rPr>
        <w:lastRenderedPageBreak/>
        <w:t>MINIMUM PARTICULARS TO APPEAR ON SMALL IMMEDIATE PACKAGING UNITS</w:t>
      </w:r>
    </w:p>
    <w:p w14:paraId="1EAE4581" w14:textId="77777777" w:rsidR="00E27790" w:rsidRPr="00C56B34" w:rsidRDefault="00E27790" w:rsidP="00E27790">
      <w:pPr>
        <w:pBdr>
          <w:top w:val="single" w:sz="4" w:space="1" w:color="auto"/>
          <w:left w:val="single" w:sz="4" w:space="4" w:color="auto"/>
          <w:bottom w:val="single" w:sz="4" w:space="1" w:color="auto"/>
          <w:right w:val="single" w:sz="4" w:space="4" w:color="auto"/>
        </w:pBdr>
        <w:spacing w:line="240" w:lineRule="auto"/>
        <w:rPr>
          <w:b/>
          <w:noProof/>
          <w:szCs w:val="22"/>
        </w:rPr>
      </w:pPr>
    </w:p>
    <w:p w14:paraId="1EAD1778" w14:textId="77777777" w:rsidR="00E27790" w:rsidRPr="00C56B34" w:rsidRDefault="001D0951" w:rsidP="00E27790">
      <w:pPr>
        <w:pBdr>
          <w:top w:val="single" w:sz="4" w:space="1" w:color="auto"/>
          <w:left w:val="single" w:sz="4" w:space="4" w:color="auto"/>
          <w:bottom w:val="single" w:sz="4" w:space="1" w:color="auto"/>
          <w:right w:val="single" w:sz="4" w:space="4" w:color="auto"/>
        </w:pBdr>
        <w:spacing w:line="240" w:lineRule="auto"/>
        <w:rPr>
          <w:b/>
          <w:noProof/>
          <w:szCs w:val="22"/>
        </w:rPr>
      </w:pPr>
      <w:r>
        <w:rPr>
          <w:b/>
          <w:noProof/>
          <w:szCs w:val="22"/>
        </w:rPr>
        <w:t>1</w:t>
      </w:r>
      <w:r w:rsidRPr="00C56B34">
        <w:rPr>
          <w:b/>
          <w:noProof/>
          <w:szCs w:val="22"/>
        </w:rPr>
        <w:t xml:space="preserve">0 mg VIAL </w:t>
      </w:r>
    </w:p>
    <w:p w14:paraId="716A1382" w14:textId="77777777" w:rsidR="00E27790" w:rsidRPr="00C56B34" w:rsidRDefault="00E27790" w:rsidP="00E27790">
      <w:pPr>
        <w:spacing w:line="240" w:lineRule="auto"/>
        <w:rPr>
          <w:noProof/>
          <w:szCs w:val="22"/>
        </w:rPr>
      </w:pPr>
    </w:p>
    <w:p w14:paraId="0D7B55EB" w14:textId="77777777" w:rsidR="00E27790" w:rsidRPr="00C56B34" w:rsidRDefault="00E27790" w:rsidP="00E27790">
      <w:pPr>
        <w:spacing w:line="240" w:lineRule="auto"/>
        <w:rPr>
          <w:noProof/>
          <w:szCs w:val="22"/>
        </w:rPr>
      </w:pPr>
    </w:p>
    <w:p w14:paraId="4F9BDD3B" w14:textId="77777777" w:rsidR="00E27790" w:rsidRPr="00C56B34" w:rsidRDefault="001D0951" w:rsidP="00E27790">
      <w:pPr>
        <w:pBdr>
          <w:top w:val="single" w:sz="4" w:space="1" w:color="auto"/>
          <w:left w:val="single" w:sz="4" w:space="4" w:color="auto"/>
          <w:bottom w:val="single" w:sz="4" w:space="1" w:color="auto"/>
          <w:right w:val="single" w:sz="4" w:space="4" w:color="auto"/>
        </w:pBdr>
        <w:spacing w:line="240" w:lineRule="auto"/>
        <w:outlineLvl w:val="0"/>
        <w:rPr>
          <w:b/>
          <w:noProof/>
          <w:szCs w:val="22"/>
        </w:rPr>
      </w:pPr>
      <w:r w:rsidRPr="00C56B34">
        <w:rPr>
          <w:b/>
          <w:noProof/>
          <w:szCs w:val="22"/>
        </w:rPr>
        <w:t>1.</w:t>
      </w:r>
      <w:r w:rsidRPr="00C56B34">
        <w:rPr>
          <w:b/>
          <w:noProof/>
          <w:szCs w:val="22"/>
        </w:rPr>
        <w:tab/>
        <w:t>NAME OF THE MEDICINAL PRODUCT AND ROUTE(S) OF ADMINISTRATION</w:t>
      </w:r>
    </w:p>
    <w:p w14:paraId="2982F781" w14:textId="77777777" w:rsidR="00E27790" w:rsidRPr="00C56B34" w:rsidRDefault="00E27790" w:rsidP="00E27790">
      <w:pPr>
        <w:spacing w:line="240" w:lineRule="auto"/>
        <w:ind w:left="567" w:hanging="567"/>
        <w:rPr>
          <w:noProof/>
          <w:szCs w:val="22"/>
        </w:rPr>
      </w:pPr>
    </w:p>
    <w:p w14:paraId="205DC5E4" w14:textId="77777777" w:rsidR="00E27790" w:rsidRPr="00BA4BF5" w:rsidRDefault="001D0951" w:rsidP="00E27790">
      <w:pPr>
        <w:spacing w:line="240" w:lineRule="auto"/>
        <w:rPr>
          <w:noProof/>
        </w:rPr>
      </w:pPr>
      <w:r>
        <w:t xml:space="preserve">CRYSVITA 10 mg </w:t>
      </w:r>
      <w:r w:rsidRPr="5F2EC82B">
        <w:rPr>
          <w:noProof/>
        </w:rPr>
        <w:t>injection</w:t>
      </w:r>
    </w:p>
    <w:p w14:paraId="487D6DE1" w14:textId="77777777" w:rsidR="00E27790" w:rsidRPr="00BA4BF5" w:rsidRDefault="001D0951" w:rsidP="00E27790">
      <w:pPr>
        <w:spacing w:line="240" w:lineRule="auto"/>
        <w:rPr>
          <w:noProof/>
        </w:rPr>
      </w:pPr>
      <w:proofErr w:type="spellStart"/>
      <w:r>
        <w:t>burosumab</w:t>
      </w:r>
      <w:proofErr w:type="spellEnd"/>
    </w:p>
    <w:p w14:paraId="0EED3778" w14:textId="77777777" w:rsidR="00E27790" w:rsidRPr="00C56B34" w:rsidRDefault="001D0951" w:rsidP="00E27790">
      <w:pPr>
        <w:spacing w:line="240" w:lineRule="auto"/>
        <w:rPr>
          <w:noProof/>
          <w:szCs w:val="22"/>
        </w:rPr>
      </w:pPr>
      <w:r>
        <w:rPr>
          <w:noProof/>
          <w:szCs w:val="22"/>
        </w:rPr>
        <w:t>SC</w:t>
      </w:r>
    </w:p>
    <w:p w14:paraId="3D75AB32" w14:textId="77777777" w:rsidR="00E27790" w:rsidRPr="00C56B34" w:rsidRDefault="00E27790" w:rsidP="00E27790">
      <w:pPr>
        <w:spacing w:line="240" w:lineRule="auto"/>
        <w:rPr>
          <w:noProof/>
          <w:szCs w:val="22"/>
        </w:rPr>
      </w:pPr>
    </w:p>
    <w:p w14:paraId="66356445" w14:textId="77777777" w:rsidR="00E27790" w:rsidRPr="00C56B34" w:rsidRDefault="00E27790" w:rsidP="00E27790">
      <w:pPr>
        <w:spacing w:line="240" w:lineRule="auto"/>
        <w:rPr>
          <w:noProof/>
          <w:szCs w:val="22"/>
        </w:rPr>
      </w:pPr>
    </w:p>
    <w:p w14:paraId="2954935E" w14:textId="77777777" w:rsidR="00E27790" w:rsidRPr="00C56B34" w:rsidRDefault="001D0951" w:rsidP="00E27790">
      <w:pPr>
        <w:pBdr>
          <w:top w:val="single" w:sz="4" w:space="1" w:color="auto"/>
          <w:left w:val="single" w:sz="4" w:space="4" w:color="auto"/>
          <w:bottom w:val="single" w:sz="4" w:space="1" w:color="auto"/>
          <w:right w:val="single" w:sz="4" w:space="4" w:color="auto"/>
        </w:pBdr>
        <w:spacing w:line="240" w:lineRule="auto"/>
        <w:outlineLvl w:val="0"/>
        <w:rPr>
          <w:b/>
          <w:noProof/>
          <w:szCs w:val="22"/>
        </w:rPr>
      </w:pPr>
      <w:r w:rsidRPr="00C56B34">
        <w:rPr>
          <w:b/>
          <w:noProof/>
          <w:szCs w:val="22"/>
        </w:rPr>
        <w:t>2.</w:t>
      </w:r>
      <w:r w:rsidRPr="00C56B34">
        <w:rPr>
          <w:b/>
          <w:noProof/>
          <w:szCs w:val="22"/>
        </w:rPr>
        <w:tab/>
        <w:t>METHOD OF ADMINISTRATION</w:t>
      </w:r>
    </w:p>
    <w:p w14:paraId="2CA650FF" w14:textId="77777777" w:rsidR="00E27790" w:rsidRPr="00C56B34" w:rsidRDefault="00E27790" w:rsidP="00E27790">
      <w:pPr>
        <w:spacing w:line="240" w:lineRule="auto"/>
        <w:rPr>
          <w:noProof/>
          <w:szCs w:val="22"/>
        </w:rPr>
      </w:pPr>
    </w:p>
    <w:p w14:paraId="037E03EF" w14:textId="77777777" w:rsidR="00E27790" w:rsidRPr="00C56B34" w:rsidRDefault="00E27790" w:rsidP="00E27790">
      <w:pPr>
        <w:spacing w:line="240" w:lineRule="auto"/>
        <w:rPr>
          <w:noProof/>
          <w:szCs w:val="22"/>
        </w:rPr>
      </w:pPr>
    </w:p>
    <w:p w14:paraId="14698B45" w14:textId="77777777" w:rsidR="00E27790" w:rsidRPr="00C56B34" w:rsidRDefault="001D0951" w:rsidP="00E27790">
      <w:pPr>
        <w:pBdr>
          <w:top w:val="single" w:sz="4" w:space="1" w:color="auto"/>
          <w:left w:val="single" w:sz="4" w:space="4" w:color="auto"/>
          <w:bottom w:val="single" w:sz="4" w:space="1" w:color="auto"/>
          <w:right w:val="single" w:sz="4" w:space="4" w:color="auto"/>
        </w:pBdr>
        <w:spacing w:line="240" w:lineRule="auto"/>
        <w:outlineLvl w:val="0"/>
        <w:rPr>
          <w:b/>
          <w:noProof/>
          <w:szCs w:val="22"/>
        </w:rPr>
      </w:pPr>
      <w:r w:rsidRPr="00C56B34">
        <w:rPr>
          <w:b/>
          <w:noProof/>
          <w:szCs w:val="22"/>
        </w:rPr>
        <w:t>3.</w:t>
      </w:r>
      <w:r w:rsidRPr="00C56B34">
        <w:rPr>
          <w:b/>
          <w:noProof/>
          <w:szCs w:val="22"/>
        </w:rPr>
        <w:tab/>
        <w:t>EXPIRY DATE</w:t>
      </w:r>
    </w:p>
    <w:p w14:paraId="30108652" w14:textId="77777777" w:rsidR="00E27790" w:rsidRPr="00662578" w:rsidRDefault="00E27790" w:rsidP="00E27790">
      <w:pPr>
        <w:spacing w:line="240" w:lineRule="auto"/>
        <w:rPr>
          <w:szCs w:val="22"/>
        </w:rPr>
      </w:pPr>
    </w:p>
    <w:p w14:paraId="04FDD0BC" w14:textId="77777777" w:rsidR="00E27790" w:rsidRPr="00B96FD0" w:rsidRDefault="001D0951" w:rsidP="00E27790">
      <w:pPr>
        <w:spacing w:line="240" w:lineRule="auto"/>
        <w:rPr>
          <w:szCs w:val="22"/>
        </w:rPr>
      </w:pPr>
      <w:r>
        <w:t>EXP</w:t>
      </w:r>
    </w:p>
    <w:p w14:paraId="183D60B7" w14:textId="77777777" w:rsidR="00E27790" w:rsidRPr="00B96FD0" w:rsidRDefault="00E27790" w:rsidP="00E27790">
      <w:pPr>
        <w:spacing w:line="240" w:lineRule="auto"/>
        <w:rPr>
          <w:szCs w:val="22"/>
        </w:rPr>
      </w:pPr>
    </w:p>
    <w:p w14:paraId="05B40A9A" w14:textId="77777777" w:rsidR="00E27790" w:rsidRPr="00B96FD0" w:rsidRDefault="00E27790" w:rsidP="00E27790">
      <w:pPr>
        <w:spacing w:line="240" w:lineRule="auto"/>
        <w:rPr>
          <w:szCs w:val="22"/>
        </w:rPr>
      </w:pPr>
    </w:p>
    <w:p w14:paraId="6707594F" w14:textId="77777777" w:rsidR="00E27790" w:rsidRPr="00BA4BF5" w:rsidRDefault="001D0951" w:rsidP="00E27790">
      <w:pPr>
        <w:pBdr>
          <w:top w:val="single" w:sz="4" w:space="1" w:color="auto"/>
          <w:left w:val="single" w:sz="4" w:space="4" w:color="auto"/>
          <w:bottom w:val="single" w:sz="4" w:space="1" w:color="auto"/>
          <w:right w:val="single" w:sz="4" w:space="4" w:color="auto"/>
        </w:pBdr>
        <w:spacing w:line="240" w:lineRule="auto"/>
        <w:outlineLvl w:val="0"/>
        <w:rPr>
          <w:b/>
          <w:bCs/>
        </w:rPr>
      </w:pPr>
      <w:r w:rsidRPr="00595956">
        <w:rPr>
          <w:b/>
          <w:bCs/>
        </w:rPr>
        <w:t>4.</w:t>
      </w:r>
      <w:r w:rsidRPr="00B96FD0">
        <w:rPr>
          <w:b/>
          <w:szCs w:val="22"/>
        </w:rPr>
        <w:tab/>
      </w:r>
      <w:r w:rsidRPr="00595956">
        <w:rPr>
          <w:b/>
          <w:bCs/>
        </w:rPr>
        <w:t>BATCH NUMBER</w:t>
      </w:r>
    </w:p>
    <w:p w14:paraId="1FFA21B7" w14:textId="77777777" w:rsidR="00E27790" w:rsidRPr="00B96FD0" w:rsidRDefault="00E27790" w:rsidP="00E27790">
      <w:pPr>
        <w:spacing w:line="240" w:lineRule="auto"/>
        <w:ind w:right="113"/>
        <w:rPr>
          <w:szCs w:val="22"/>
        </w:rPr>
      </w:pPr>
    </w:p>
    <w:p w14:paraId="59EC202D" w14:textId="77777777" w:rsidR="00E27790" w:rsidRPr="00B96FD0" w:rsidRDefault="001D0951" w:rsidP="00E27790">
      <w:pPr>
        <w:spacing w:line="240" w:lineRule="auto"/>
        <w:ind w:right="113"/>
        <w:rPr>
          <w:szCs w:val="22"/>
        </w:rPr>
      </w:pPr>
      <w:r>
        <w:t>Lot</w:t>
      </w:r>
    </w:p>
    <w:p w14:paraId="529B4F1D" w14:textId="77777777" w:rsidR="00E27790" w:rsidRPr="00B96FD0" w:rsidRDefault="00E27790" w:rsidP="00E27790">
      <w:pPr>
        <w:spacing w:line="240" w:lineRule="auto"/>
        <w:ind w:right="113"/>
        <w:rPr>
          <w:szCs w:val="22"/>
        </w:rPr>
      </w:pPr>
    </w:p>
    <w:p w14:paraId="2B36F38A" w14:textId="77777777" w:rsidR="00E27790" w:rsidRPr="00B96FD0" w:rsidRDefault="00E27790" w:rsidP="00E27790">
      <w:pPr>
        <w:spacing w:line="240" w:lineRule="auto"/>
        <w:ind w:right="113"/>
        <w:rPr>
          <w:szCs w:val="22"/>
        </w:rPr>
      </w:pPr>
    </w:p>
    <w:p w14:paraId="7629AD1A" w14:textId="77777777" w:rsidR="00E27790" w:rsidRPr="00C56B34" w:rsidRDefault="001D0951" w:rsidP="00E27790">
      <w:pPr>
        <w:pBdr>
          <w:top w:val="single" w:sz="4" w:space="1" w:color="auto"/>
          <w:left w:val="single" w:sz="4" w:space="4" w:color="auto"/>
          <w:bottom w:val="single" w:sz="4" w:space="1" w:color="auto"/>
          <w:right w:val="single" w:sz="4" w:space="4" w:color="auto"/>
        </w:pBdr>
        <w:spacing w:line="240" w:lineRule="auto"/>
        <w:outlineLvl w:val="0"/>
        <w:rPr>
          <w:b/>
          <w:noProof/>
          <w:szCs w:val="22"/>
        </w:rPr>
      </w:pPr>
      <w:r w:rsidRPr="00C56B34">
        <w:rPr>
          <w:b/>
          <w:noProof/>
          <w:szCs w:val="22"/>
        </w:rPr>
        <w:t>5.</w:t>
      </w:r>
      <w:r w:rsidRPr="00C56B34">
        <w:rPr>
          <w:b/>
          <w:noProof/>
          <w:szCs w:val="22"/>
        </w:rPr>
        <w:tab/>
        <w:t>CONTENTS BY WEIGHT, BY VOLUME OR BY UNIT</w:t>
      </w:r>
    </w:p>
    <w:p w14:paraId="37E2B296" w14:textId="77777777" w:rsidR="00E27790" w:rsidRPr="00C56B34" w:rsidRDefault="00E27790" w:rsidP="00E27790">
      <w:pPr>
        <w:spacing w:line="240" w:lineRule="auto"/>
        <w:ind w:right="113"/>
        <w:rPr>
          <w:noProof/>
          <w:szCs w:val="22"/>
        </w:rPr>
      </w:pPr>
    </w:p>
    <w:p w14:paraId="0EE9ECF3" w14:textId="77777777" w:rsidR="00E27790" w:rsidRPr="00C56B34" w:rsidRDefault="001D0951" w:rsidP="00E27790">
      <w:pPr>
        <w:spacing w:line="240" w:lineRule="auto"/>
        <w:ind w:right="113"/>
        <w:rPr>
          <w:noProof/>
          <w:szCs w:val="22"/>
        </w:rPr>
      </w:pPr>
      <w:r w:rsidRPr="00C56B34">
        <w:rPr>
          <w:noProof/>
          <w:szCs w:val="22"/>
        </w:rPr>
        <w:t>1 ml</w:t>
      </w:r>
    </w:p>
    <w:p w14:paraId="3F33F28E" w14:textId="77777777" w:rsidR="00E27790" w:rsidRPr="00C56B34" w:rsidRDefault="00E27790" w:rsidP="00E27790">
      <w:pPr>
        <w:spacing w:line="240" w:lineRule="auto"/>
        <w:ind w:right="113"/>
        <w:rPr>
          <w:noProof/>
          <w:szCs w:val="22"/>
        </w:rPr>
      </w:pPr>
    </w:p>
    <w:p w14:paraId="46ED07FA" w14:textId="77777777" w:rsidR="00E27790" w:rsidRPr="00C56B34" w:rsidRDefault="00E27790" w:rsidP="00E27790">
      <w:pPr>
        <w:spacing w:line="240" w:lineRule="auto"/>
        <w:ind w:right="113"/>
        <w:rPr>
          <w:noProof/>
          <w:szCs w:val="22"/>
        </w:rPr>
      </w:pPr>
    </w:p>
    <w:p w14:paraId="0E57EC39" w14:textId="77777777" w:rsidR="00E27790" w:rsidRPr="00C56B34" w:rsidRDefault="001D0951" w:rsidP="00E27790">
      <w:pPr>
        <w:pBdr>
          <w:top w:val="single" w:sz="4" w:space="1" w:color="auto"/>
          <w:left w:val="single" w:sz="4" w:space="4" w:color="auto"/>
          <w:bottom w:val="single" w:sz="4" w:space="1" w:color="auto"/>
          <w:right w:val="single" w:sz="4" w:space="4" w:color="auto"/>
        </w:pBdr>
        <w:spacing w:line="240" w:lineRule="auto"/>
        <w:outlineLvl w:val="0"/>
        <w:rPr>
          <w:b/>
          <w:noProof/>
          <w:szCs w:val="22"/>
        </w:rPr>
      </w:pPr>
      <w:r w:rsidRPr="00C56B34">
        <w:rPr>
          <w:b/>
          <w:noProof/>
          <w:szCs w:val="22"/>
        </w:rPr>
        <w:t>6.</w:t>
      </w:r>
      <w:r w:rsidRPr="00C56B34">
        <w:rPr>
          <w:b/>
          <w:noProof/>
          <w:szCs w:val="22"/>
        </w:rPr>
        <w:tab/>
        <w:t>OTHER</w:t>
      </w:r>
    </w:p>
    <w:p w14:paraId="5E0DF77C" w14:textId="77777777" w:rsidR="00E27790" w:rsidRPr="00C56B34" w:rsidRDefault="00E27790" w:rsidP="00E27790">
      <w:pPr>
        <w:spacing w:line="240" w:lineRule="auto"/>
        <w:ind w:right="113"/>
        <w:rPr>
          <w:noProof/>
          <w:szCs w:val="22"/>
        </w:rPr>
      </w:pPr>
    </w:p>
    <w:p w14:paraId="58DC3367" w14:textId="77777777" w:rsidR="001118F7" w:rsidRDefault="001D0951" w:rsidP="00E27790">
      <w:pPr>
        <w:spacing w:line="240" w:lineRule="auto"/>
        <w:rPr>
          <w:noProof/>
          <w:szCs w:val="22"/>
          <w:shd w:val="clear" w:color="auto" w:fill="CCCCCC"/>
        </w:rPr>
      </w:pPr>
      <w:r>
        <w:rPr>
          <w:szCs w:val="22"/>
        </w:rPr>
        <w:br w:type="page"/>
      </w:r>
    </w:p>
    <w:p w14:paraId="12ACCAB7" w14:textId="77777777" w:rsidR="001118F7" w:rsidRPr="00C56B34" w:rsidRDefault="001D0951" w:rsidP="001118F7">
      <w:pPr>
        <w:pBdr>
          <w:top w:val="single" w:sz="4" w:space="1" w:color="auto"/>
          <w:left w:val="single" w:sz="4" w:space="4" w:color="auto"/>
          <w:bottom w:val="single" w:sz="4" w:space="1" w:color="auto"/>
          <w:right w:val="single" w:sz="4" w:space="4" w:color="auto"/>
        </w:pBdr>
        <w:spacing w:line="240" w:lineRule="auto"/>
        <w:rPr>
          <w:b/>
          <w:noProof/>
          <w:szCs w:val="22"/>
        </w:rPr>
      </w:pPr>
      <w:r w:rsidRPr="00C56B34">
        <w:rPr>
          <w:b/>
          <w:noProof/>
          <w:szCs w:val="22"/>
        </w:rPr>
        <w:lastRenderedPageBreak/>
        <w:t>PARTICULARS TO APPEAR ON THE OUTER PACKAGING</w:t>
      </w:r>
    </w:p>
    <w:p w14:paraId="09E98F39" w14:textId="77777777" w:rsidR="001118F7" w:rsidRPr="00C56B34" w:rsidRDefault="001118F7" w:rsidP="001118F7">
      <w:pPr>
        <w:pBdr>
          <w:top w:val="single" w:sz="4" w:space="1" w:color="auto"/>
          <w:left w:val="single" w:sz="4" w:space="4" w:color="auto"/>
          <w:bottom w:val="single" w:sz="4" w:space="1" w:color="auto"/>
          <w:right w:val="single" w:sz="4" w:space="4" w:color="auto"/>
        </w:pBdr>
        <w:spacing w:line="240" w:lineRule="auto"/>
        <w:ind w:left="567" w:hanging="567"/>
        <w:rPr>
          <w:bCs/>
          <w:noProof/>
          <w:szCs w:val="22"/>
        </w:rPr>
      </w:pPr>
    </w:p>
    <w:p w14:paraId="60282EC9" w14:textId="77777777" w:rsidR="001118F7" w:rsidRPr="00C56B34" w:rsidRDefault="001D0951" w:rsidP="001118F7">
      <w:pPr>
        <w:pBdr>
          <w:top w:val="single" w:sz="4" w:space="1" w:color="auto"/>
          <w:left w:val="single" w:sz="4" w:space="4" w:color="auto"/>
          <w:bottom w:val="single" w:sz="4" w:space="1" w:color="auto"/>
          <w:right w:val="single" w:sz="4" w:space="4" w:color="auto"/>
        </w:pBdr>
        <w:spacing w:line="240" w:lineRule="auto"/>
        <w:rPr>
          <w:bCs/>
          <w:noProof/>
          <w:szCs w:val="22"/>
        </w:rPr>
      </w:pPr>
      <w:r>
        <w:rPr>
          <w:b/>
          <w:noProof/>
          <w:szCs w:val="22"/>
        </w:rPr>
        <w:t>2</w:t>
      </w:r>
      <w:r w:rsidRPr="00BC5939">
        <w:rPr>
          <w:b/>
          <w:noProof/>
          <w:szCs w:val="22"/>
        </w:rPr>
        <w:t>0</w:t>
      </w:r>
      <w:r w:rsidRPr="00C56B34">
        <w:rPr>
          <w:b/>
          <w:noProof/>
          <w:szCs w:val="22"/>
        </w:rPr>
        <w:t> mg CARTON</w:t>
      </w:r>
    </w:p>
    <w:p w14:paraId="0097ADE4" w14:textId="77777777" w:rsidR="001118F7" w:rsidRPr="00662578" w:rsidRDefault="001118F7" w:rsidP="001118F7">
      <w:pPr>
        <w:spacing w:line="240" w:lineRule="auto"/>
        <w:rPr>
          <w:szCs w:val="22"/>
        </w:rPr>
      </w:pPr>
    </w:p>
    <w:p w14:paraId="55F6A146" w14:textId="77777777" w:rsidR="001118F7" w:rsidRPr="00C56B34" w:rsidRDefault="001118F7" w:rsidP="001118F7">
      <w:pPr>
        <w:spacing w:line="240" w:lineRule="auto"/>
        <w:rPr>
          <w:noProof/>
          <w:szCs w:val="22"/>
        </w:rPr>
      </w:pPr>
    </w:p>
    <w:p w14:paraId="7195E307" w14:textId="77777777" w:rsidR="001118F7" w:rsidRPr="00662578" w:rsidRDefault="001D0951" w:rsidP="50BD9E82">
      <w:pPr>
        <w:pBdr>
          <w:top w:val="single" w:sz="4" w:space="1" w:color="auto"/>
          <w:left w:val="single" w:sz="4" w:space="4" w:color="auto"/>
          <w:bottom w:val="single" w:sz="4" w:space="1" w:color="auto"/>
          <w:right w:val="single" w:sz="4" w:space="4" w:color="auto"/>
        </w:pBdr>
        <w:spacing w:line="240" w:lineRule="auto"/>
        <w:ind w:left="567" w:hanging="567"/>
        <w:outlineLvl w:val="0"/>
        <w:rPr>
          <w:szCs w:val="22"/>
        </w:rPr>
      </w:pPr>
      <w:r w:rsidRPr="00595956">
        <w:rPr>
          <w:b/>
          <w:bCs/>
        </w:rPr>
        <w:t>1.</w:t>
      </w:r>
      <w:r w:rsidRPr="00662578">
        <w:rPr>
          <w:b/>
          <w:szCs w:val="22"/>
        </w:rPr>
        <w:tab/>
      </w:r>
      <w:r w:rsidRPr="00595956">
        <w:rPr>
          <w:b/>
          <w:bCs/>
        </w:rPr>
        <w:t>NAME OF THE MEDICINAL PRODUCT</w:t>
      </w:r>
    </w:p>
    <w:p w14:paraId="1E337EBA" w14:textId="77777777" w:rsidR="001118F7" w:rsidRPr="00C56B34" w:rsidRDefault="001118F7" w:rsidP="001118F7">
      <w:pPr>
        <w:spacing w:line="240" w:lineRule="auto"/>
        <w:rPr>
          <w:noProof/>
          <w:szCs w:val="22"/>
        </w:rPr>
      </w:pPr>
    </w:p>
    <w:p w14:paraId="389170B9" w14:textId="77777777" w:rsidR="001118F7" w:rsidRPr="00C56B34" w:rsidRDefault="001D0951" w:rsidP="5F2EC82B">
      <w:pPr>
        <w:pStyle w:val="Header"/>
        <w:spacing w:line="240" w:lineRule="auto"/>
        <w:rPr>
          <w:rFonts w:ascii="Times New Roman" w:hAnsi="Times New Roman"/>
          <w:noProof/>
          <w:sz w:val="22"/>
          <w:szCs w:val="22"/>
          <w:u w:val="single"/>
        </w:rPr>
      </w:pPr>
      <w:r w:rsidRPr="5F2EC82B">
        <w:rPr>
          <w:rFonts w:ascii="Times New Roman" w:hAnsi="Times New Roman"/>
          <w:sz w:val="22"/>
          <w:szCs w:val="22"/>
        </w:rPr>
        <w:t xml:space="preserve">CRYSVITA 20 </w:t>
      </w:r>
      <w:r w:rsidRPr="5F2EC82B">
        <w:rPr>
          <w:rFonts w:ascii="Times New Roman" w:hAnsi="Times New Roman"/>
          <w:noProof/>
          <w:sz w:val="22"/>
          <w:szCs w:val="22"/>
        </w:rPr>
        <w:t xml:space="preserve">mg </w:t>
      </w:r>
      <w:r w:rsidR="0022608B">
        <w:rPr>
          <w:rFonts w:ascii="Times New Roman" w:hAnsi="Times New Roman"/>
          <w:noProof/>
          <w:sz w:val="22"/>
          <w:szCs w:val="22"/>
        </w:rPr>
        <w:t xml:space="preserve">solution for </w:t>
      </w:r>
      <w:r w:rsidRPr="5F2EC82B">
        <w:rPr>
          <w:rFonts w:ascii="Times New Roman" w:hAnsi="Times New Roman"/>
          <w:noProof/>
          <w:sz w:val="22"/>
          <w:szCs w:val="22"/>
        </w:rPr>
        <w:t>injection</w:t>
      </w:r>
    </w:p>
    <w:p w14:paraId="3E9E4A2A" w14:textId="77777777" w:rsidR="001118F7" w:rsidRPr="00C56B34" w:rsidRDefault="001D0951" w:rsidP="001118F7">
      <w:pPr>
        <w:spacing w:line="240" w:lineRule="auto"/>
        <w:rPr>
          <w:b/>
          <w:szCs w:val="22"/>
        </w:rPr>
      </w:pPr>
      <w:r>
        <w:rPr>
          <w:noProof/>
          <w:szCs w:val="22"/>
        </w:rPr>
        <w:t>b</w:t>
      </w:r>
      <w:r w:rsidRPr="00C56B34">
        <w:rPr>
          <w:noProof/>
          <w:szCs w:val="22"/>
        </w:rPr>
        <w:t>urosumab</w:t>
      </w:r>
    </w:p>
    <w:p w14:paraId="599008BE" w14:textId="77777777" w:rsidR="001118F7" w:rsidRPr="00C56B34" w:rsidRDefault="001118F7" w:rsidP="001118F7">
      <w:pPr>
        <w:spacing w:line="240" w:lineRule="auto"/>
        <w:rPr>
          <w:noProof/>
          <w:szCs w:val="22"/>
        </w:rPr>
      </w:pPr>
    </w:p>
    <w:p w14:paraId="05AC58EA" w14:textId="77777777" w:rsidR="001118F7" w:rsidRPr="00C56B34" w:rsidRDefault="001118F7" w:rsidP="001118F7">
      <w:pPr>
        <w:spacing w:line="240" w:lineRule="auto"/>
        <w:rPr>
          <w:noProof/>
          <w:szCs w:val="22"/>
        </w:rPr>
      </w:pPr>
    </w:p>
    <w:p w14:paraId="3FDBAE19" w14:textId="77777777" w:rsidR="001118F7" w:rsidRPr="00C56B34" w:rsidRDefault="001D0951" w:rsidP="001118F7">
      <w:pPr>
        <w:pBdr>
          <w:top w:val="single" w:sz="4" w:space="1" w:color="auto"/>
          <w:left w:val="single" w:sz="4" w:space="4" w:color="auto"/>
          <w:bottom w:val="single" w:sz="4" w:space="1" w:color="auto"/>
          <w:right w:val="single" w:sz="4" w:space="4" w:color="auto"/>
        </w:pBdr>
        <w:spacing w:line="240" w:lineRule="auto"/>
        <w:ind w:left="567" w:hanging="567"/>
        <w:outlineLvl w:val="0"/>
        <w:rPr>
          <w:b/>
          <w:noProof/>
          <w:szCs w:val="22"/>
        </w:rPr>
      </w:pPr>
      <w:r w:rsidRPr="00C56B34">
        <w:rPr>
          <w:b/>
          <w:noProof/>
          <w:szCs w:val="22"/>
        </w:rPr>
        <w:t>2.</w:t>
      </w:r>
      <w:r w:rsidRPr="00C56B34">
        <w:rPr>
          <w:b/>
          <w:noProof/>
          <w:szCs w:val="22"/>
        </w:rPr>
        <w:tab/>
        <w:t>STATEMENT OF ACTIVE SUBSTANCE(S)</w:t>
      </w:r>
    </w:p>
    <w:p w14:paraId="69B2CB8C" w14:textId="77777777" w:rsidR="001118F7" w:rsidRPr="00C56B34" w:rsidRDefault="001118F7" w:rsidP="001118F7">
      <w:pPr>
        <w:spacing w:line="240" w:lineRule="auto"/>
        <w:rPr>
          <w:noProof/>
          <w:szCs w:val="22"/>
        </w:rPr>
      </w:pPr>
    </w:p>
    <w:p w14:paraId="0B37AB3B" w14:textId="77777777" w:rsidR="001118F7" w:rsidRPr="00BA4BF5" w:rsidRDefault="001D0951" w:rsidP="07120F5B">
      <w:pPr>
        <w:spacing w:line="240" w:lineRule="auto"/>
        <w:rPr>
          <w:rFonts w:eastAsia="SimSun"/>
        </w:rPr>
      </w:pPr>
      <w:r w:rsidRPr="07120F5B">
        <w:rPr>
          <w:rFonts w:eastAsia="SimSun"/>
        </w:rPr>
        <w:t xml:space="preserve">Each vial contains 20 mg </w:t>
      </w:r>
      <w:proofErr w:type="spellStart"/>
      <w:r w:rsidRPr="07120F5B">
        <w:rPr>
          <w:rFonts w:eastAsia="SimSun"/>
        </w:rPr>
        <w:t>burosumab</w:t>
      </w:r>
      <w:proofErr w:type="spellEnd"/>
      <w:r w:rsidRPr="07120F5B">
        <w:rPr>
          <w:rFonts w:eastAsia="SimSun"/>
        </w:rPr>
        <w:t xml:space="preserve"> in 1 ml of solution.</w:t>
      </w:r>
    </w:p>
    <w:p w14:paraId="71B0A317" w14:textId="77777777" w:rsidR="001118F7" w:rsidRPr="00C56B34" w:rsidRDefault="001118F7" w:rsidP="001118F7">
      <w:pPr>
        <w:spacing w:line="240" w:lineRule="auto"/>
        <w:rPr>
          <w:noProof/>
          <w:szCs w:val="22"/>
        </w:rPr>
      </w:pPr>
    </w:p>
    <w:p w14:paraId="206D8D16" w14:textId="77777777" w:rsidR="001118F7" w:rsidRPr="00C56B34" w:rsidRDefault="001118F7" w:rsidP="001118F7">
      <w:pPr>
        <w:spacing w:line="240" w:lineRule="auto"/>
        <w:rPr>
          <w:noProof/>
          <w:szCs w:val="22"/>
        </w:rPr>
      </w:pPr>
    </w:p>
    <w:p w14:paraId="25CA55D7" w14:textId="77777777" w:rsidR="001118F7" w:rsidRPr="00C56B34" w:rsidRDefault="001D0951" w:rsidP="001118F7">
      <w:pPr>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rPr>
      </w:pPr>
      <w:r w:rsidRPr="00C56B34">
        <w:rPr>
          <w:b/>
          <w:noProof/>
          <w:szCs w:val="22"/>
        </w:rPr>
        <w:t>3.</w:t>
      </w:r>
      <w:r w:rsidRPr="00C56B34">
        <w:rPr>
          <w:b/>
          <w:noProof/>
          <w:szCs w:val="22"/>
        </w:rPr>
        <w:tab/>
        <w:t>LIST OF EXCIPIENTS</w:t>
      </w:r>
    </w:p>
    <w:p w14:paraId="5E4BF291" w14:textId="77777777" w:rsidR="001118F7" w:rsidRPr="00C56B34" w:rsidRDefault="001118F7" w:rsidP="001118F7">
      <w:pPr>
        <w:spacing w:line="240" w:lineRule="auto"/>
        <w:rPr>
          <w:noProof/>
          <w:szCs w:val="22"/>
        </w:rPr>
      </w:pPr>
    </w:p>
    <w:p w14:paraId="22A5A03C" w14:textId="77777777" w:rsidR="001118F7" w:rsidRPr="00B96FD0" w:rsidRDefault="001D0951" w:rsidP="50BD9E82">
      <w:pPr>
        <w:spacing w:line="240" w:lineRule="auto"/>
        <w:rPr>
          <w:szCs w:val="22"/>
        </w:rPr>
      </w:pPr>
      <w:r>
        <w:t>Excipients</w:t>
      </w:r>
      <w:r w:rsidR="07120F5B">
        <w:t>: L-histidine, D- sorbitol E420, polysorbate 80, L-methionine, hydrochloric acid, 10%, and water for injections.</w:t>
      </w:r>
    </w:p>
    <w:p w14:paraId="4700E56E" w14:textId="77777777" w:rsidR="001118F7" w:rsidRPr="00C56B34" w:rsidRDefault="001D0951" w:rsidP="001118F7">
      <w:pPr>
        <w:spacing w:line="240" w:lineRule="auto"/>
        <w:rPr>
          <w:noProof/>
          <w:szCs w:val="22"/>
        </w:rPr>
      </w:pPr>
      <w:r w:rsidRPr="003C65AC">
        <w:rPr>
          <w:noProof/>
          <w:szCs w:val="22"/>
          <w:highlight w:val="lightGray"/>
        </w:rPr>
        <w:t>See leaflet for further information.</w:t>
      </w:r>
    </w:p>
    <w:p w14:paraId="086E7951" w14:textId="77777777" w:rsidR="001118F7" w:rsidRPr="00C56B34" w:rsidRDefault="001118F7" w:rsidP="001118F7">
      <w:pPr>
        <w:spacing w:line="240" w:lineRule="auto"/>
        <w:rPr>
          <w:noProof/>
          <w:szCs w:val="22"/>
        </w:rPr>
      </w:pPr>
    </w:p>
    <w:p w14:paraId="1130CF6D" w14:textId="77777777" w:rsidR="001118F7" w:rsidRPr="00C56B34" w:rsidRDefault="001118F7" w:rsidP="001118F7">
      <w:pPr>
        <w:spacing w:line="240" w:lineRule="auto"/>
        <w:rPr>
          <w:noProof/>
          <w:szCs w:val="22"/>
        </w:rPr>
      </w:pPr>
    </w:p>
    <w:p w14:paraId="18924884" w14:textId="77777777" w:rsidR="001118F7" w:rsidRPr="00C56B34" w:rsidRDefault="001D0951" w:rsidP="001118F7">
      <w:pPr>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rPr>
      </w:pPr>
      <w:r w:rsidRPr="00C56B34">
        <w:rPr>
          <w:b/>
          <w:noProof/>
          <w:szCs w:val="22"/>
        </w:rPr>
        <w:t>4.</w:t>
      </w:r>
      <w:r w:rsidRPr="00C56B34">
        <w:rPr>
          <w:b/>
          <w:noProof/>
          <w:szCs w:val="22"/>
        </w:rPr>
        <w:tab/>
        <w:t>PHARMACEUTICAL FORM AND CONTENTS</w:t>
      </w:r>
    </w:p>
    <w:p w14:paraId="3EF4A11B" w14:textId="77777777" w:rsidR="001118F7" w:rsidRPr="00C56B34" w:rsidRDefault="001118F7" w:rsidP="001118F7">
      <w:pPr>
        <w:spacing w:line="240" w:lineRule="auto"/>
        <w:rPr>
          <w:noProof/>
          <w:szCs w:val="22"/>
        </w:rPr>
      </w:pPr>
    </w:p>
    <w:p w14:paraId="49D568A4" w14:textId="77777777" w:rsidR="001118F7" w:rsidRPr="00C56B34" w:rsidRDefault="001D0951" w:rsidP="001118F7">
      <w:pPr>
        <w:spacing w:line="240" w:lineRule="auto"/>
        <w:rPr>
          <w:noProof/>
          <w:szCs w:val="22"/>
        </w:rPr>
      </w:pPr>
      <w:r w:rsidRPr="00C56B34">
        <w:rPr>
          <w:noProof/>
          <w:szCs w:val="22"/>
          <w:highlight w:val="lightGray"/>
        </w:rPr>
        <w:t>Solution for injection</w:t>
      </w:r>
    </w:p>
    <w:p w14:paraId="1B1C41A2" w14:textId="77777777" w:rsidR="001118F7" w:rsidRPr="00C56B34" w:rsidRDefault="001D0951" w:rsidP="001118F7">
      <w:pPr>
        <w:spacing w:line="240" w:lineRule="auto"/>
        <w:rPr>
          <w:noProof/>
          <w:szCs w:val="22"/>
        </w:rPr>
      </w:pPr>
      <w:r w:rsidRPr="00C56B34">
        <w:rPr>
          <w:noProof/>
          <w:szCs w:val="22"/>
        </w:rPr>
        <w:t>1 vial</w:t>
      </w:r>
    </w:p>
    <w:p w14:paraId="260EA677" w14:textId="77777777" w:rsidR="001118F7" w:rsidRPr="00C56B34" w:rsidRDefault="001118F7" w:rsidP="001118F7">
      <w:pPr>
        <w:spacing w:line="240" w:lineRule="auto"/>
        <w:rPr>
          <w:noProof/>
          <w:szCs w:val="22"/>
        </w:rPr>
      </w:pPr>
    </w:p>
    <w:p w14:paraId="1B14E911" w14:textId="77777777" w:rsidR="001118F7" w:rsidRPr="00C56B34" w:rsidRDefault="001118F7" w:rsidP="001118F7">
      <w:pPr>
        <w:spacing w:line="240" w:lineRule="auto"/>
        <w:rPr>
          <w:noProof/>
          <w:szCs w:val="22"/>
        </w:rPr>
      </w:pPr>
    </w:p>
    <w:p w14:paraId="0C3DEFBF" w14:textId="77777777" w:rsidR="001118F7" w:rsidRPr="00C56B34" w:rsidRDefault="001D0951" w:rsidP="001118F7">
      <w:pPr>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rPr>
      </w:pPr>
      <w:r w:rsidRPr="00C56B34">
        <w:rPr>
          <w:b/>
          <w:noProof/>
          <w:szCs w:val="22"/>
        </w:rPr>
        <w:t>5.</w:t>
      </w:r>
      <w:r w:rsidRPr="00C56B34">
        <w:rPr>
          <w:b/>
          <w:noProof/>
          <w:szCs w:val="22"/>
        </w:rPr>
        <w:tab/>
        <w:t>METHOD AND ROUTE(S) OF ADMINISTRATION</w:t>
      </w:r>
    </w:p>
    <w:p w14:paraId="3F231933" w14:textId="77777777" w:rsidR="001118F7" w:rsidRPr="00C56B34" w:rsidRDefault="001118F7" w:rsidP="001118F7">
      <w:pPr>
        <w:spacing w:line="240" w:lineRule="auto"/>
        <w:rPr>
          <w:noProof/>
          <w:szCs w:val="22"/>
        </w:rPr>
      </w:pPr>
    </w:p>
    <w:p w14:paraId="408A96D0" w14:textId="77777777" w:rsidR="001118F7" w:rsidRPr="00C56B34" w:rsidRDefault="001D0951" w:rsidP="001118F7">
      <w:pPr>
        <w:spacing w:line="240" w:lineRule="auto"/>
        <w:rPr>
          <w:noProof/>
          <w:szCs w:val="22"/>
        </w:rPr>
      </w:pPr>
      <w:r w:rsidRPr="00C56B34">
        <w:rPr>
          <w:noProof/>
          <w:szCs w:val="22"/>
        </w:rPr>
        <w:t>Read the package leaflet before use.</w:t>
      </w:r>
    </w:p>
    <w:p w14:paraId="1FC888E0" w14:textId="77777777" w:rsidR="001118F7" w:rsidRPr="00BA4BF5" w:rsidRDefault="001D0951" w:rsidP="5F2EC82B">
      <w:pPr>
        <w:spacing w:line="240" w:lineRule="auto"/>
        <w:rPr>
          <w:noProof/>
        </w:rPr>
      </w:pPr>
      <w:r>
        <w:t>Subcutaneous use.</w:t>
      </w:r>
    </w:p>
    <w:p w14:paraId="6B37AEA6" w14:textId="77777777" w:rsidR="001118F7" w:rsidRPr="00C56B34" w:rsidRDefault="001D0951" w:rsidP="001118F7">
      <w:pPr>
        <w:spacing w:line="240" w:lineRule="auto"/>
        <w:rPr>
          <w:noProof/>
          <w:szCs w:val="22"/>
        </w:rPr>
      </w:pPr>
      <w:r w:rsidRPr="00C56B34">
        <w:rPr>
          <w:noProof/>
          <w:szCs w:val="22"/>
        </w:rPr>
        <w:t>For single use only.</w:t>
      </w:r>
    </w:p>
    <w:p w14:paraId="5233F5C3" w14:textId="77777777" w:rsidR="001118F7" w:rsidRPr="00C56B34" w:rsidRDefault="001D0951" w:rsidP="001118F7">
      <w:pPr>
        <w:spacing w:line="240" w:lineRule="auto"/>
        <w:ind w:left="567" w:hanging="567"/>
        <w:rPr>
          <w:noProof/>
          <w:szCs w:val="22"/>
        </w:rPr>
      </w:pPr>
      <w:r w:rsidRPr="00C56B34">
        <w:rPr>
          <w:noProof/>
          <w:szCs w:val="22"/>
        </w:rPr>
        <w:t>Do not shake before use.</w:t>
      </w:r>
    </w:p>
    <w:p w14:paraId="2E682391" w14:textId="77777777" w:rsidR="001118F7" w:rsidRPr="00C56B34" w:rsidRDefault="001118F7" w:rsidP="001118F7">
      <w:pPr>
        <w:spacing w:line="240" w:lineRule="auto"/>
        <w:rPr>
          <w:noProof/>
          <w:szCs w:val="22"/>
        </w:rPr>
      </w:pPr>
    </w:p>
    <w:p w14:paraId="6C293077" w14:textId="77777777" w:rsidR="001118F7" w:rsidRPr="00C56B34" w:rsidRDefault="001118F7" w:rsidP="001118F7">
      <w:pPr>
        <w:spacing w:line="240" w:lineRule="auto"/>
        <w:rPr>
          <w:noProof/>
          <w:szCs w:val="22"/>
        </w:rPr>
      </w:pPr>
    </w:p>
    <w:p w14:paraId="03352751" w14:textId="77777777" w:rsidR="001118F7" w:rsidRPr="00C56B34" w:rsidRDefault="001D0951" w:rsidP="001118F7">
      <w:pPr>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rPr>
      </w:pPr>
      <w:r w:rsidRPr="00C56B34">
        <w:rPr>
          <w:b/>
          <w:noProof/>
          <w:szCs w:val="22"/>
        </w:rPr>
        <w:t>6.</w:t>
      </w:r>
      <w:r w:rsidRPr="00C56B34">
        <w:rPr>
          <w:b/>
          <w:noProof/>
          <w:szCs w:val="22"/>
        </w:rPr>
        <w:tab/>
        <w:t>SPECIAL WARNING THAT THE MEDICINAL PRODUCT MUST BE STORED OUT OF THE SIGHT AND REACH OF CHILDREN</w:t>
      </w:r>
    </w:p>
    <w:p w14:paraId="2931F910" w14:textId="77777777" w:rsidR="001118F7" w:rsidRPr="00C56B34" w:rsidRDefault="001118F7" w:rsidP="001118F7">
      <w:pPr>
        <w:spacing w:line="240" w:lineRule="auto"/>
        <w:rPr>
          <w:noProof/>
          <w:szCs w:val="22"/>
        </w:rPr>
      </w:pPr>
    </w:p>
    <w:p w14:paraId="7D2C9BD9" w14:textId="77777777" w:rsidR="001118F7" w:rsidRPr="00C56B34" w:rsidRDefault="001D0951" w:rsidP="001118F7">
      <w:pPr>
        <w:spacing w:line="240" w:lineRule="auto"/>
        <w:outlineLvl w:val="0"/>
        <w:rPr>
          <w:noProof/>
          <w:szCs w:val="22"/>
        </w:rPr>
      </w:pPr>
      <w:r w:rsidRPr="00C56B34">
        <w:rPr>
          <w:noProof/>
          <w:szCs w:val="22"/>
        </w:rPr>
        <w:t>Keep out of the sight and reach of children.</w:t>
      </w:r>
    </w:p>
    <w:p w14:paraId="3363DE27" w14:textId="77777777" w:rsidR="001118F7" w:rsidRPr="00C56B34" w:rsidRDefault="001118F7" w:rsidP="001118F7">
      <w:pPr>
        <w:spacing w:line="240" w:lineRule="auto"/>
        <w:rPr>
          <w:noProof/>
          <w:szCs w:val="22"/>
        </w:rPr>
      </w:pPr>
    </w:p>
    <w:p w14:paraId="194E3DA3" w14:textId="77777777" w:rsidR="001118F7" w:rsidRPr="00C56B34" w:rsidRDefault="001118F7" w:rsidP="001118F7">
      <w:pPr>
        <w:spacing w:line="240" w:lineRule="auto"/>
        <w:rPr>
          <w:noProof/>
          <w:szCs w:val="22"/>
        </w:rPr>
      </w:pPr>
    </w:p>
    <w:p w14:paraId="699F43EB" w14:textId="77777777" w:rsidR="001118F7" w:rsidRPr="00C56B34" w:rsidRDefault="001D0951" w:rsidP="001118F7">
      <w:pPr>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rPr>
      </w:pPr>
      <w:r w:rsidRPr="00C56B34">
        <w:rPr>
          <w:b/>
          <w:noProof/>
          <w:szCs w:val="22"/>
        </w:rPr>
        <w:t>7.</w:t>
      </w:r>
      <w:r w:rsidRPr="00C56B34">
        <w:rPr>
          <w:b/>
          <w:noProof/>
          <w:szCs w:val="22"/>
        </w:rPr>
        <w:tab/>
        <w:t>OTHER SPECIAL WARNING(S), IF NECESSARY</w:t>
      </w:r>
    </w:p>
    <w:p w14:paraId="1DFD86EF" w14:textId="77777777" w:rsidR="001118F7" w:rsidRPr="00662578" w:rsidRDefault="001118F7" w:rsidP="001118F7">
      <w:pPr>
        <w:tabs>
          <w:tab w:val="left" w:pos="749"/>
        </w:tabs>
        <w:spacing w:line="240" w:lineRule="auto"/>
        <w:rPr>
          <w:szCs w:val="22"/>
        </w:rPr>
      </w:pPr>
    </w:p>
    <w:p w14:paraId="222E3C44" w14:textId="77777777" w:rsidR="001118F7" w:rsidRPr="00B96FD0" w:rsidRDefault="001118F7" w:rsidP="001118F7">
      <w:pPr>
        <w:tabs>
          <w:tab w:val="left" w:pos="749"/>
        </w:tabs>
        <w:spacing w:line="240" w:lineRule="auto"/>
        <w:rPr>
          <w:szCs w:val="22"/>
        </w:rPr>
      </w:pPr>
    </w:p>
    <w:p w14:paraId="62CAD471" w14:textId="77777777" w:rsidR="001118F7" w:rsidRPr="00B96FD0" w:rsidRDefault="001D0951" w:rsidP="50BD9E82">
      <w:pPr>
        <w:pBdr>
          <w:top w:val="single" w:sz="4" w:space="1" w:color="auto"/>
          <w:left w:val="single" w:sz="4" w:space="4" w:color="auto"/>
          <w:bottom w:val="single" w:sz="4" w:space="1" w:color="auto"/>
          <w:right w:val="single" w:sz="4" w:space="4" w:color="auto"/>
        </w:pBdr>
        <w:spacing w:line="240" w:lineRule="auto"/>
        <w:ind w:left="567" w:hanging="567"/>
        <w:outlineLvl w:val="0"/>
        <w:rPr>
          <w:szCs w:val="22"/>
        </w:rPr>
      </w:pPr>
      <w:r w:rsidRPr="00595956">
        <w:rPr>
          <w:b/>
          <w:bCs/>
        </w:rPr>
        <w:t>8.</w:t>
      </w:r>
      <w:r w:rsidRPr="00B96FD0">
        <w:rPr>
          <w:b/>
          <w:szCs w:val="22"/>
        </w:rPr>
        <w:tab/>
      </w:r>
      <w:r w:rsidRPr="00595956">
        <w:rPr>
          <w:b/>
          <w:bCs/>
        </w:rPr>
        <w:t>EXPIRY DATE</w:t>
      </w:r>
    </w:p>
    <w:p w14:paraId="1A44E7CB" w14:textId="77777777" w:rsidR="001118F7" w:rsidRPr="00B96FD0" w:rsidRDefault="001118F7" w:rsidP="001118F7">
      <w:pPr>
        <w:spacing w:line="240" w:lineRule="auto"/>
        <w:rPr>
          <w:szCs w:val="22"/>
        </w:rPr>
      </w:pPr>
    </w:p>
    <w:p w14:paraId="607D0A12" w14:textId="77777777" w:rsidR="001118F7" w:rsidRPr="00B96FD0" w:rsidRDefault="001D0951" w:rsidP="50BD9E82">
      <w:pPr>
        <w:spacing w:line="240" w:lineRule="auto"/>
        <w:rPr>
          <w:szCs w:val="22"/>
        </w:rPr>
      </w:pPr>
      <w:r>
        <w:t>EXP</w:t>
      </w:r>
    </w:p>
    <w:p w14:paraId="37F83EA3" w14:textId="77777777" w:rsidR="001118F7" w:rsidRDefault="001118F7" w:rsidP="001118F7">
      <w:pPr>
        <w:spacing w:line="240" w:lineRule="auto"/>
        <w:rPr>
          <w:noProof/>
          <w:szCs w:val="22"/>
        </w:rPr>
      </w:pPr>
    </w:p>
    <w:p w14:paraId="4987D4D9" w14:textId="77777777" w:rsidR="001118F7" w:rsidRPr="00C56B34" w:rsidRDefault="001118F7" w:rsidP="001118F7">
      <w:pPr>
        <w:spacing w:line="240" w:lineRule="auto"/>
        <w:rPr>
          <w:noProof/>
          <w:szCs w:val="22"/>
        </w:rPr>
      </w:pPr>
    </w:p>
    <w:p w14:paraId="7AFD564E" w14:textId="77777777" w:rsidR="001118F7" w:rsidRPr="00C56B34" w:rsidRDefault="001D0951" w:rsidP="001118F7">
      <w:pPr>
        <w:keepNext/>
        <w:keepLines/>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rPr>
      </w:pPr>
      <w:r w:rsidRPr="00C56B34">
        <w:rPr>
          <w:b/>
          <w:noProof/>
          <w:szCs w:val="22"/>
        </w:rPr>
        <w:lastRenderedPageBreak/>
        <w:t>9.</w:t>
      </w:r>
      <w:r w:rsidRPr="00C56B34">
        <w:rPr>
          <w:b/>
          <w:noProof/>
          <w:szCs w:val="22"/>
        </w:rPr>
        <w:tab/>
        <w:t>SPECIAL STORAGE CONDITIONS</w:t>
      </w:r>
    </w:p>
    <w:p w14:paraId="63E4E77E" w14:textId="77777777" w:rsidR="001118F7" w:rsidRPr="00C56B34" w:rsidRDefault="001118F7" w:rsidP="001118F7">
      <w:pPr>
        <w:keepNext/>
        <w:keepLines/>
        <w:spacing w:line="240" w:lineRule="auto"/>
        <w:rPr>
          <w:noProof/>
          <w:szCs w:val="22"/>
        </w:rPr>
      </w:pPr>
    </w:p>
    <w:p w14:paraId="5F91C209" w14:textId="77777777" w:rsidR="001118F7" w:rsidRPr="00BA4BF5" w:rsidRDefault="001D0951" w:rsidP="5F2EC82B">
      <w:pPr>
        <w:keepNext/>
        <w:keepLines/>
        <w:tabs>
          <w:tab w:val="clear" w:pos="567"/>
        </w:tabs>
        <w:autoSpaceDE w:val="0"/>
        <w:autoSpaceDN w:val="0"/>
        <w:adjustRightInd w:val="0"/>
        <w:spacing w:line="240" w:lineRule="auto"/>
        <w:rPr>
          <w:rFonts w:eastAsia="TimesNewRoman"/>
        </w:rPr>
      </w:pPr>
      <w:r w:rsidRPr="5F2EC82B">
        <w:rPr>
          <w:rFonts w:eastAsia="TimesNewRoman"/>
        </w:rPr>
        <w:t>Store in a refrigerator.</w:t>
      </w:r>
    </w:p>
    <w:p w14:paraId="75CDB75F" w14:textId="77777777" w:rsidR="001118F7" w:rsidRPr="00BA4BF5" w:rsidRDefault="001D0951" w:rsidP="5F2EC82B">
      <w:pPr>
        <w:keepNext/>
        <w:keepLines/>
        <w:tabs>
          <w:tab w:val="clear" w:pos="567"/>
        </w:tabs>
        <w:autoSpaceDE w:val="0"/>
        <w:autoSpaceDN w:val="0"/>
        <w:adjustRightInd w:val="0"/>
        <w:spacing w:line="240" w:lineRule="auto"/>
        <w:rPr>
          <w:rFonts w:eastAsia="TimesNewRoman"/>
        </w:rPr>
      </w:pPr>
      <w:r w:rsidRPr="5F2EC82B">
        <w:rPr>
          <w:rFonts w:eastAsia="TimesNewRoman"/>
        </w:rPr>
        <w:t>Do not freeze.</w:t>
      </w:r>
    </w:p>
    <w:p w14:paraId="7000AB20" w14:textId="77777777" w:rsidR="001118F7" w:rsidRPr="00BA4BF5" w:rsidRDefault="001D0951" w:rsidP="5F2EC82B">
      <w:pPr>
        <w:keepNext/>
        <w:keepLines/>
        <w:tabs>
          <w:tab w:val="clear" w:pos="567"/>
        </w:tabs>
        <w:autoSpaceDE w:val="0"/>
        <w:autoSpaceDN w:val="0"/>
        <w:adjustRightInd w:val="0"/>
        <w:spacing w:line="240" w:lineRule="auto"/>
        <w:rPr>
          <w:rFonts w:eastAsia="TimesNewRoman"/>
        </w:rPr>
      </w:pPr>
      <w:r w:rsidRPr="5F2EC82B">
        <w:rPr>
          <w:rFonts w:eastAsia="TimesNewRoman"/>
        </w:rPr>
        <w:t>Store in the original package in order to protect from light.</w:t>
      </w:r>
    </w:p>
    <w:p w14:paraId="64B1CEF4" w14:textId="77777777" w:rsidR="001118F7" w:rsidRPr="00C56B34" w:rsidRDefault="001118F7" w:rsidP="001118F7">
      <w:pPr>
        <w:spacing w:line="240" w:lineRule="auto"/>
        <w:ind w:left="567" w:hanging="567"/>
        <w:rPr>
          <w:noProof/>
          <w:szCs w:val="22"/>
        </w:rPr>
      </w:pPr>
    </w:p>
    <w:p w14:paraId="145D48E0" w14:textId="77777777" w:rsidR="001118F7" w:rsidRPr="00C56B34" w:rsidRDefault="001118F7" w:rsidP="001118F7">
      <w:pPr>
        <w:spacing w:line="240" w:lineRule="auto"/>
        <w:ind w:left="567" w:hanging="567"/>
        <w:rPr>
          <w:noProof/>
          <w:szCs w:val="22"/>
        </w:rPr>
      </w:pPr>
    </w:p>
    <w:p w14:paraId="59C171DF" w14:textId="77777777" w:rsidR="001118F7" w:rsidRPr="00C56B34" w:rsidRDefault="001D0951" w:rsidP="001118F7">
      <w:pPr>
        <w:pBdr>
          <w:top w:val="single" w:sz="4" w:space="1" w:color="auto"/>
          <w:left w:val="single" w:sz="4" w:space="4" w:color="auto"/>
          <w:bottom w:val="single" w:sz="4" w:space="1" w:color="auto"/>
          <w:right w:val="single" w:sz="4" w:space="4" w:color="auto"/>
        </w:pBdr>
        <w:spacing w:line="240" w:lineRule="auto"/>
        <w:ind w:left="567" w:hanging="567"/>
        <w:outlineLvl w:val="0"/>
        <w:rPr>
          <w:b/>
          <w:noProof/>
          <w:szCs w:val="22"/>
        </w:rPr>
      </w:pPr>
      <w:r w:rsidRPr="00C56B34">
        <w:rPr>
          <w:b/>
          <w:noProof/>
          <w:szCs w:val="22"/>
        </w:rPr>
        <w:t>10.</w:t>
      </w:r>
      <w:r w:rsidRPr="00C56B34">
        <w:rPr>
          <w:b/>
          <w:noProof/>
          <w:szCs w:val="22"/>
        </w:rPr>
        <w:tab/>
        <w:t>SPECIAL PRECAUTIONS FOR DISPOSAL OF UNUSED MEDICINAL PRODUCTS OR WASTE MATERIALS DERIVED FROM SUCH MEDICINAL PRODUCTS, IF APPROPRIATE</w:t>
      </w:r>
    </w:p>
    <w:p w14:paraId="6D3A5033" w14:textId="77777777" w:rsidR="001118F7" w:rsidRPr="00C56B34" w:rsidRDefault="001118F7" w:rsidP="001118F7">
      <w:pPr>
        <w:spacing w:line="240" w:lineRule="auto"/>
        <w:rPr>
          <w:noProof/>
          <w:szCs w:val="22"/>
        </w:rPr>
      </w:pPr>
    </w:p>
    <w:p w14:paraId="7123ACB6" w14:textId="77777777" w:rsidR="001118F7" w:rsidRPr="00C56B34" w:rsidRDefault="001118F7" w:rsidP="001118F7">
      <w:pPr>
        <w:spacing w:line="240" w:lineRule="auto"/>
        <w:rPr>
          <w:noProof/>
          <w:szCs w:val="22"/>
        </w:rPr>
      </w:pPr>
    </w:p>
    <w:p w14:paraId="00A5A973" w14:textId="77777777" w:rsidR="001118F7" w:rsidRPr="00C56B34" w:rsidRDefault="001D0951" w:rsidP="001118F7">
      <w:pPr>
        <w:pBdr>
          <w:top w:val="single" w:sz="4" w:space="1" w:color="auto"/>
          <w:left w:val="single" w:sz="4" w:space="4" w:color="auto"/>
          <w:bottom w:val="single" w:sz="4" w:space="1" w:color="auto"/>
          <w:right w:val="single" w:sz="4" w:space="4" w:color="auto"/>
        </w:pBdr>
        <w:spacing w:line="240" w:lineRule="auto"/>
        <w:outlineLvl w:val="0"/>
        <w:rPr>
          <w:b/>
          <w:noProof/>
          <w:szCs w:val="22"/>
        </w:rPr>
      </w:pPr>
      <w:r w:rsidRPr="00C56B34">
        <w:rPr>
          <w:b/>
          <w:noProof/>
          <w:szCs w:val="22"/>
        </w:rPr>
        <w:t>11.</w:t>
      </w:r>
      <w:r w:rsidRPr="00C56B34">
        <w:rPr>
          <w:b/>
          <w:noProof/>
          <w:szCs w:val="22"/>
        </w:rPr>
        <w:tab/>
        <w:t>NAME AND ADDRESS OF THE MARKETING AUTHORISATION HOLDER</w:t>
      </w:r>
    </w:p>
    <w:p w14:paraId="6E624078" w14:textId="77777777" w:rsidR="001118F7" w:rsidRPr="00C56B34" w:rsidRDefault="001118F7" w:rsidP="001118F7">
      <w:pPr>
        <w:spacing w:line="240" w:lineRule="auto"/>
        <w:rPr>
          <w:noProof/>
          <w:szCs w:val="22"/>
        </w:rPr>
      </w:pPr>
    </w:p>
    <w:p w14:paraId="4A50356E" w14:textId="77777777" w:rsidR="009B3D1F" w:rsidRDefault="001D0951" w:rsidP="009B3D1F">
      <w:pPr>
        <w:spacing w:line="240" w:lineRule="auto"/>
        <w:rPr>
          <w:lang w:eastAsia="en-GB"/>
        </w:rPr>
      </w:pPr>
      <w:r>
        <w:rPr>
          <w:lang w:eastAsia="en-GB"/>
        </w:rPr>
        <w:t>Kyowa Kirin Holdings B.V.</w:t>
      </w:r>
    </w:p>
    <w:p w14:paraId="021E8951" w14:textId="77777777" w:rsidR="009B3D1F" w:rsidRDefault="001D0951" w:rsidP="009B3D1F">
      <w:pPr>
        <w:spacing w:line="240" w:lineRule="auto"/>
        <w:rPr>
          <w:lang w:eastAsia="en-GB"/>
        </w:rPr>
      </w:pPr>
      <w:proofErr w:type="spellStart"/>
      <w:r>
        <w:rPr>
          <w:lang w:eastAsia="en-GB"/>
        </w:rPr>
        <w:t>Bloemlaan</w:t>
      </w:r>
      <w:proofErr w:type="spellEnd"/>
      <w:r>
        <w:rPr>
          <w:lang w:eastAsia="en-GB"/>
        </w:rPr>
        <w:t xml:space="preserve"> 2</w:t>
      </w:r>
    </w:p>
    <w:p w14:paraId="68869F6C" w14:textId="77777777" w:rsidR="009B3D1F" w:rsidRDefault="001D0951" w:rsidP="009B3D1F">
      <w:pPr>
        <w:spacing w:line="240" w:lineRule="auto"/>
        <w:rPr>
          <w:lang w:eastAsia="en-GB"/>
        </w:rPr>
      </w:pPr>
      <w:r>
        <w:rPr>
          <w:lang w:eastAsia="en-GB"/>
        </w:rPr>
        <w:t xml:space="preserve">2132NP </w:t>
      </w:r>
      <w:proofErr w:type="spellStart"/>
      <w:r>
        <w:rPr>
          <w:lang w:eastAsia="en-GB"/>
        </w:rPr>
        <w:t>Hoofddorp</w:t>
      </w:r>
      <w:proofErr w:type="spellEnd"/>
    </w:p>
    <w:p w14:paraId="0F9ED884" w14:textId="77777777" w:rsidR="001118F7" w:rsidRPr="00BA4BF5" w:rsidRDefault="001D0951" w:rsidP="5F2EC82B">
      <w:pPr>
        <w:spacing w:line="240" w:lineRule="auto"/>
        <w:rPr>
          <w:noProof/>
        </w:rPr>
      </w:pPr>
      <w:r>
        <w:rPr>
          <w:lang w:eastAsia="en-GB"/>
        </w:rPr>
        <w:t>The Netherlands</w:t>
      </w:r>
      <w:r w:rsidRPr="5F2EC82B">
        <w:rPr>
          <w:lang w:eastAsia="en-GB"/>
        </w:rPr>
        <w:t xml:space="preserve"> </w:t>
      </w:r>
    </w:p>
    <w:p w14:paraId="5BE5081C" w14:textId="77777777" w:rsidR="001118F7" w:rsidRPr="00C56B34" w:rsidRDefault="001118F7" w:rsidP="001118F7">
      <w:pPr>
        <w:spacing w:line="240" w:lineRule="auto"/>
        <w:rPr>
          <w:noProof/>
          <w:szCs w:val="22"/>
        </w:rPr>
      </w:pPr>
    </w:p>
    <w:p w14:paraId="7C74F0EF" w14:textId="77777777" w:rsidR="001118F7" w:rsidRPr="00C56B34" w:rsidRDefault="001118F7" w:rsidP="001118F7">
      <w:pPr>
        <w:spacing w:line="240" w:lineRule="auto"/>
        <w:rPr>
          <w:noProof/>
          <w:szCs w:val="22"/>
        </w:rPr>
      </w:pPr>
    </w:p>
    <w:p w14:paraId="2D4C0E11" w14:textId="77777777" w:rsidR="001118F7" w:rsidRPr="00C56B34" w:rsidRDefault="001D0951" w:rsidP="001118F7">
      <w:pPr>
        <w:pBdr>
          <w:top w:val="single" w:sz="4" w:space="1" w:color="auto"/>
          <w:left w:val="single" w:sz="4" w:space="4" w:color="auto"/>
          <w:bottom w:val="single" w:sz="4" w:space="1" w:color="auto"/>
          <w:right w:val="single" w:sz="4" w:space="4" w:color="auto"/>
        </w:pBdr>
        <w:spacing w:line="240" w:lineRule="auto"/>
        <w:outlineLvl w:val="0"/>
        <w:rPr>
          <w:noProof/>
          <w:szCs w:val="22"/>
        </w:rPr>
      </w:pPr>
      <w:r w:rsidRPr="00C56B34">
        <w:rPr>
          <w:b/>
          <w:noProof/>
          <w:szCs w:val="22"/>
        </w:rPr>
        <w:t>12.</w:t>
      </w:r>
      <w:r w:rsidRPr="00C56B34">
        <w:rPr>
          <w:b/>
          <w:noProof/>
          <w:szCs w:val="22"/>
        </w:rPr>
        <w:tab/>
        <w:t xml:space="preserve">MARKETING AUTHORISATION NUMBER(S) </w:t>
      </w:r>
    </w:p>
    <w:p w14:paraId="59C464C9" w14:textId="77777777" w:rsidR="001118F7" w:rsidRPr="00C56B34" w:rsidRDefault="001118F7" w:rsidP="001118F7">
      <w:pPr>
        <w:spacing w:line="240" w:lineRule="auto"/>
        <w:rPr>
          <w:noProof/>
          <w:szCs w:val="22"/>
        </w:rPr>
      </w:pPr>
    </w:p>
    <w:p w14:paraId="5E5B5F37" w14:textId="77777777" w:rsidR="001118F7" w:rsidRPr="00FF49A3" w:rsidRDefault="001D0951" w:rsidP="001118F7">
      <w:pPr>
        <w:spacing w:line="240" w:lineRule="auto"/>
        <w:outlineLvl w:val="0"/>
        <w:rPr>
          <w:noProof/>
          <w:szCs w:val="22"/>
          <w:lang w:val="en-US"/>
        </w:rPr>
      </w:pPr>
      <w:r>
        <w:rPr>
          <w:noProof/>
          <w:szCs w:val="22"/>
        </w:rPr>
        <w:t>EU/1/17/1262/002</w:t>
      </w:r>
    </w:p>
    <w:p w14:paraId="7260A5E8" w14:textId="77777777" w:rsidR="001118F7" w:rsidRPr="00FF49A3" w:rsidRDefault="001118F7" w:rsidP="001118F7">
      <w:pPr>
        <w:spacing w:line="240" w:lineRule="auto"/>
        <w:rPr>
          <w:noProof/>
          <w:szCs w:val="22"/>
          <w:lang w:val="en-US"/>
        </w:rPr>
      </w:pPr>
    </w:p>
    <w:p w14:paraId="00C9A8D3" w14:textId="77777777" w:rsidR="001118F7" w:rsidRPr="00FF49A3" w:rsidRDefault="001118F7" w:rsidP="001118F7">
      <w:pPr>
        <w:spacing w:line="240" w:lineRule="auto"/>
        <w:rPr>
          <w:noProof/>
          <w:szCs w:val="22"/>
          <w:lang w:val="en-US"/>
        </w:rPr>
      </w:pPr>
    </w:p>
    <w:p w14:paraId="535E5DB9" w14:textId="77777777" w:rsidR="001118F7" w:rsidRPr="00FF49A3" w:rsidRDefault="001D0951" w:rsidP="001118F7">
      <w:pPr>
        <w:pBdr>
          <w:top w:val="single" w:sz="4" w:space="1" w:color="auto"/>
          <w:left w:val="single" w:sz="4" w:space="4" w:color="auto"/>
          <w:bottom w:val="single" w:sz="4" w:space="1" w:color="auto"/>
          <w:right w:val="single" w:sz="4" w:space="4" w:color="auto"/>
        </w:pBdr>
        <w:spacing w:line="240" w:lineRule="auto"/>
        <w:outlineLvl w:val="0"/>
        <w:rPr>
          <w:noProof/>
          <w:szCs w:val="22"/>
          <w:lang w:val="en-US"/>
        </w:rPr>
      </w:pPr>
      <w:r w:rsidRPr="00FF49A3">
        <w:rPr>
          <w:b/>
          <w:noProof/>
          <w:szCs w:val="22"/>
          <w:lang w:val="en-US"/>
        </w:rPr>
        <w:t>13.</w:t>
      </w:r>
      <w:r w:rsidRPr="00FF49A3">
        <w:rPr>
          <w:b/>
          <w:noProof/>
          <w:szCs w:val="22"/>
          <w:lang w:val="en-US"/>
        </w:rPr>
        <w:tab/>
        <w:t>BATCH NUMBER</w:t>
      </w:r>
    </w:p>
    <w:p w14:paraId="663E6F74" w14:textId="77777777" w:rsidR="001118F7" w:rsidRPr="00FF49A3" w:rsidRDefault="001118F7" w:rsidP="001118F7">
      <w:pPr>
        <w:spacing w:line="240" w:lineRule="auto"/>
        <w:rPr>
          <w:noProof/>
          <w:szCs w:val="22"/>
          <w:lang w:val="en-US"/>
        </w:rPr>
      </w:pPr>
    </w:p>
    <w:p w14:paraId="04469401" w14:textId="77777777" w:rsidR="001118F7" w:rsidRPr="00FF49A3" w:rsidRDefault="001D0951" w:rsidP="001118F7">
      <w:pPr>
        <w:spacing w:line="240" w:lineRule="auto"/>
        <w:rPr>
          <w:noProof/>
          <w:szCs w:val="22"/>
          <w:lang w:val="en-US"/>
        </w:rPr>
      </w:pPr>
      <w:r w:rsidRPr="00FF49A3">
        <w:rPr>
          <w:noProof/>
          <w:szCs w:val="22"/>
          <w:lang w:val="en-US"/>
        </w:rPr>
        <w:t>Lot</w:t>
      </w:r>
    </w:p>
    <w:p w14:paraId="22A89C31" w14:textId="77777777" w:rsidR="001118F7" w:rsidRPr="00FF49A3" w:rsidRDefault="001118F7" w:rsidP="001118F7">
      <w:pPr>
        <w:spacing w:line="240" w:lineRule="auto"/>
        <w:rPr>
          <w:noProof/>
          <w:szCs w:val="22"/>
          <w:lang w:val="en-US"/>
        </w:rPr>
      </w:pPr>
    </w:p>
    <w:p w14:paraId="397CD5A0" w14:textId="77777777" w:rsidR="001118F7" w:rsidRPr="00FF49A3" w:rsidRDefault="001118F7" w:rsidP="001118F7">
      <w:pPr>
        <w:spacing w:line="240" w:lineRule="auto"/>
        <w:rPr>
          <w:noProof/>
          <w:szCs w:val="22"/>
          <w:lang w:val="en-US"/>
        </w:rPr>
      </w:pPr>
    </w:p>
    <w:p w14:paraId="051C1C17" w14:textId="77777777" w:rsidR="001118F7" w:rsidRPr="00C56B34" w:rsidRDefault="001D0951" w:rsidP="001118F7">
      <w:pPr>
        <w:pBdr>
          <w:top w:val="single" w:sz="4" w:space="1" w:color="auto"/>
          <w:left w:val="single" w:sz="4" w:space="4" w:color="auto"/>
          <w:bottom w:val="single" w:sz="4" w:space="1" w:color="auto"/>
          <w:right w:val="single" w:sz="4" w:space="4" w:color="auto"/>
        </w:pBdr>
        <w:spacing w:line="240" w:lineRule="auto"/>
        <w:outlineLvl w:val="0"/>
        <w:rPr>
          <w:noProof/>
          <w:szCs w:val="22"/>
        </w:rPr>
      </w:pPr>
      <w:r w:rsidRPr="00C56B34">
        <w:rPr>
          <w:b/>
          <w:noProof/>
          <w:szCs w:val="22"/>
        </w:rPr>
        <w:t>14.</w:t>
      </w:r>
      <w:r w:rsidRPr="00C56B34">
        <w:rPr>
          <w:b/>
          <w:noProof/>
          <w:szCs w:val="22"/>
        </w:rPr>
        <w:tab/>
        <w:t>GENERAL CLASSIFICATION FOR SUPPLY</w:t>
      </w:r>
    </w:p>
    <w:p w14:paraId="226E6457" w14:textId="77777777" w:rsidR="001118F7" w:rsidRPr="00C56B34" w:rsidRDefault="001118F7" w:rsidP="001118F7">
      <w:pPr>
        <w:spacing w:line="240" w:lineRule="auto"/>
        <w:rPr>
          <w:i/>
          <w:noProof/>
          <w:szCs w:val="22"/>
        </w:rPr>
      </w:pPr>
    </w:p>
    <w:p w14:paraId="000C2A1D" w14:textId="77777777" w:rsidR="001118F7" w:rsidRPr="00C56B34" w:rsidRDefault="001118F7" w:rsidP="001118F7">
      <w:pPr>
        <w:spacing w:line="240" w:lineRule="auto"/>
        <w:rPr>
          <w:noProof/>
          <w:szCs w:val="22"/>
        </w:rPr>
      </w:pPr>
    </w:p>
    <w:p w14:paraId="6DB8391A" w14:textId="77777777" w:rsidR="001118F7" w:rsidRPr="00C56B34" w:rsidRDefault="001D0951" w:rsidP="001118F7">
      <w:pPr>
        <w:pBdr>
          <w:top w:val="single" w:sz="4" w:space="2" w:color="auto"/>
          <w:left w:val="single" w:sz="4" w:space="4" w:color="auto"/>
          <w:bottom w:val="single" w:sz="4" w:space="1" w:color="auto"/>
          <w:right w:val="single" w:sz="4" w:space="4" w:color="auto"/>
        </w:pBdr>
        <w:spacing w:line="240" w:lineRule="auto"/>
        <w:outlineLvl w:val="0"/>
        <w:rPr>
          <w:noProof/>
          <w:szCs w:val="22"/>
        </w:rPr>
      </w:pPr>
      <w:r w:rsidRPr="00C56B34">
        <w:rPr>
          <w:b/>
          <w:noProof/>
          <w:szCs w:val="22"/>
        </w:rPr>
        <w:t>15.</w:t>
      </w:r>
      <w:r w:rsidRPr="00C56B34">
        <w:rPr>
          <w:b/>
          <w:noProof/>
          <w:szCs w:val="22"/>
        </w:rPr>
        <w:tab/>
        <w:t>INSTRUCTIONS ON USE</w:t>
      </w:r>
    </w:p>
    <w:p w14:paraId="4F739ED8" w14:textId="77777777" w:rsidR="001118F7" w:rsidRPr="00C56B34" w:rsidRDefault="001118F7" w:rsidP="001118F7">
      <w:pPr>
        <w:spacing w:line="240" w:lineRule="auto"/>
        <w:rPr>
          <w:noProof/>
          <w:szCs w:val="22"/>
        </w:rPr>
      </w:pPr>
    </w:p>
    <w:p w14:paraId="21A1AA73" w14:textId="77777777" w:rsidR="001118F7" w:rsidRPr="00C56B34" w:rsidRDefault="001118F7" w:rsidP="001118F7">
      <w:pPr>
        <w:spacing w:line="240" w:lineRule="auto"/>
        <w:rPr>
          <w:noProof/>
          <w:szCs w:val="22"/>
        </w:rPr>
      </w:pPr>
    </w:p>
    <w:p w14:paraId="5214B96B" w14:textId="77777777" w:rsidR="001118F7" w:rsidRPr="00C56B34" w:rsidRDefault="001D0951" w:rsidP="001118F7">
      <w:pPr>
        <w:pBdr>
          <w:top w:val="single" w:sz="4" w:space="1" w:color="auto"/>
          <w:left w:val="single" w:sz="4" w:space="4" w:color="auto"/>
          <w:bottom w:val="single" w:sz="4" w:space="0" w:color="auto"/>
          <w:right w:val="single" w:sz="4" w:space="4" w:color="auto"/>
        </w:pBdr>
        <w:spacing w:line="240" w:lineRule="auto"/>
        <w:rPr>
          <w:noProof/>
          <w:szCs w:val="22"/>
        </w:rPr>
      </w:pPr>
      <w:r w:rsidRPr="00C56B34">
        <w:rPr>
          <w:b/>
          <w:noProof/>
          <w:szCs w:val="22"/>
        </w:rPr>
        <w:t>16.</w:t>
      </w:r>
      <w:r w:rsidRPr="00C56B34">
        <w:rPr>
          <w:b/>
          <w:noProof/>
          <w:szCs w:val="22"/>
        </w:rPr>
        <w:tab/>
        <w:t>INFORMATION IN BRAILLE</w:t>
      </w:r>
    </w:p>
    <w:p w14:paraId="001A2E31" w14:textId="77777777" w:rsidR="001118F7" w:rsidRPr="00C56B34" w:rsidRDefault="001118F7" w:rsidP="001118F7">
      <w:pPr>
        <w:spacing w:line="240" w:lineRule="auto"/>
        <w:rPr>
          <w:noProof/>
          <w:szCs w:val="22"/>
        </w:rPr>
      </w:pPr>
    </w:p>
    <w:p w14:paraId="076ACBFF" w14:textId="77777777" w:rsidR="001118F7" w:rsidRPr="00C56B34" w:rsidRDefault="001D0951" w:rsidP="001118F7">
      <w:pPr>
        <w:spacing w:line="240" w:lineRule="auto"/>
        <w:rPr>
          <w:noProof/>
          <w:szCs w:val="22"/>
          <w:shd w:val="clear" w:color="auto" w:fill="CCCCCC"/>
        </w:rPr>
      </w:pPr>
      <w:r w:rsidRPr="00C56B34">
        <w:rPr>
          <w:noProof/>
          <w:szCs w:val="22"/>
          <w:shd w:val="clear" w:color="auto" w:fill="CCCCCC"/>
        </w:rPr>
        <w:t>Justification for not including Braille accepted.</w:t>
      </w:r>
    </w:p>
    <w:p w14:paraId="27209FF9" w14:textId="77777777" w:rsidR="001118F7" w:rsidRPr="00C56B34" w:rsidRDefault="001118F7" w:rsidP="001118F7">
      <w:pPr>
        <w:spacing w:line="240" w:lineRule="auto"/>
        <w:rPr>
          <w:noProof/>
          <w:szCs w:val="22"/>
          <w:shd w:val="clear" w:color="auto" w:fill="CCCCCC"/>
        </w:rPr>
      </w:pPr>
    </w:p>
    <w:p w14:paraId="29A5ED5D" w14:textId="77777777" w:rsidR="001118F7" w:rsidRPr="00C56B34" w:rsidRDefault="001118F7" w:rsidP="001118F7">
      <w:pPr>
        <w:spacing w:line="240" w:lineRule="auto"/>
        <w:rPr>
          <w:noProof/>
          <w:szCs w:val="22"/>
          <w:shd w:val="clear" w:color="auto" w:fill="CCCCCC"/>
        </w:rPr>
      </w:pPr>
    </w:p>
    <w:p w14:paraId="5D8FD22D" w14:textId="77777777" w:rsidR="001118F7" w:rsidRPr="00662578" w:rsidRDefault="001D0951" w:rsidP="001118F7">
      <w:pPr>
        <w:pBdr>
          <w:top w:val="single" w:sz="4" w:space="1" w:color="auto"/>
          <w:left w:val="single" w:sz="4" w:space="4" w:color="auto"/>
          <w:bottom w:val="single" w:sz="4" w:space="0" w:color="auto"/>
          <w:right w:val="single" w:sz="4" w:space="4" w:color="auto"/>
        </w:pBdr>
        <w:tabs>
          <w:tab w:val="clear" w:pos="567"/>
        </w:tabs>
        <w:spacing w:line="240" w:lineRule="auto"/>
        <w:rPr>
          <w:i/>
          <w:noProof/>
          <w:szCs w:val="22"/>
        </w:rPr>
      </w:pPr>
      <w:r w:rsidRPr="00662578">
        <w:rPr>
          <w:b/>
          <w:noProof/>
          <w:szCs w:val="22"/>
        </w:rPr>
        <w:t>17.</w:t>
      </w:r>
      <w:r w:rsidRPr="00662578">
        <w:rPr>
          <w:b/>
          <w:noProof/>
          <w:szCs w:val="22"/>
        </w:rPr>
        <w:tab/>
        <w:t>UNIQUE IDENTIFIER – 2D BARCODE</w:t>
      </w:r>
    </w:p>
    <w:p w14:paraId="717EF22E" w14:textId="77777777" w:rsidR="001118F7" w:rsidRPr="00662578" w:rsidRDefault="001118F7" w:rsidP="001118F7">
      <w:pPr>
        <w:tabs>
          <w:tab w:val="clear" w:pos="567"/>
        </w:tabs>
        <w:spacing w:line="240" w:lineRule="auto"/>
        <w:rPr>
          <w:noProof/>
          <w:szCs w:val="22"/>
        </w:rPr>
      </w:pPr>
    </w:p>
    <w:p w14:paraId="2E1DD18A" w14:textId="77777777" w:rsidR="001118F7" w:rsidRPr="00C56B34" w:rsidRDefault="001D0951" w:rsidP="001118F7">
      <w:pPr>
        <w:spacing w:line="240" w:lineRule="auto"/>
        <w:rPr>
          <w:noProof/>
          <w:szCs w:val="22"/>
          <w:shd w:val="clear" w:color="auto" w:fill="CCCCCC"/>
        </w:rPr>
      </w:pPr>
      <w:r w:rsidRPr="00662578">
        <w:rPr>
          <w:noProof/>
          <w:szCs w:val="22"/>
          <w:highlight w:val="lightGray"/>
        </w:rPr>
        <w:t>2D barcode carrying the unique identifier included.</w:t>
      </w:r>
    </w:p>
    <w:p w14:paraId="48FC544E" w14:textId="77777777" w:rsidR="001118F7" w:rsidRPr="00662578" w:rsidRDefault="001118F7" w:rsidP="001118F7">
      <w:pPr>
        <w:tabs>
          <w:tab w:val="clear" w:pos="567"/>
        </w:tabs>
        <w:spacing w:line="240" w:lineRule="auto"/>
        <w:rPr>
          <w:noProof/>
          <w:szCs w:val="22"/>
        </w:rPr>
      </w:pPr>
    </w:p>
    <w:p w14:paraId="133AFE85" w14:textId="77777777" w:rsidR="001118F7" w:rsidRPr="00662578" w:rsidRDefault="001118F7" w:rsidP="001118F7">
      <w:pPr>
        <w:tabs>
          <w:tab w:val="clear" w:pos="567"/>
        </w:tabs>
        <w:spacing w:line="240" w:lineRule="auto"/>
        <w:rPr>
          <w:noProof/>
          <w:szCs w:val="22"/>
        </w:rPr>
      </w:pPr>
    </w:p>
    <w:p w14:paraId="5942E10C" w14:textId="77777777" w:rsidR="001118F7" w:rsidRPr="00662578" w:rsidRDefault="001D0951" w:rsidP="007977DC">
      <w:pPr>
        <w:keepNext/>
        <w:keepLines/>
        <w:pBdr>
          <w:top w:val="single" w:sz="4" w:space="1" w:color="auto"/>
          <w:left w:val="single" w:sz="4" w:space="4" w:color="auto"/>
          <w:bottom w:val="single" w:sz="4" w:space="0" w:color="auto"/>
          <w:right w:val="single" w:sz="4" w:space="4" w:color="auto"/>
        </w:pBdr>
        <w:tabs>
          <w:tab w:val="clear" w:pos="567"/>
        </w:tabs>
        <w:spacing w:line="240" w:lineRule="auto"/>
        <w:rPr>
          <w:i/>
          <w:noProof/>
          <w:szCs w:val="22"/>
        </w:rPr>
      </w:pPr>
      <w:r w:rsidRPr="00662578">
        <w:rPr>
          <w:b/>
          <w:noProof/>
          <w:szCs w:val="22"/>
        </w:rPr>
        <w:t>18.</w:t>
      </w:r>
      <w:r w:rsidRPr="00662578">
        <w:rPr>
          <w:b/>
          <w:noProof/>
          <w:szCs w:val="22"/>
        </w:rPr>
        <w:tab/>
        <w:t>UNIQUE IDENTIFIER - HUMAN READABLE DATA</w:t>
      </w:r>
    </w:p>
    <w:p w14:paraId="75C0740E" w14:textId="77777777" w:rsidR="004A2EB8" w:rsidRPr="00B96FD0" w:rsidRDefault="004A2EB8" w:rsidP="003C65AC">
      <w:pPr>
        <w:keepLines/>
        <w:tabs>
          <w:tab w:val="clear" w:pos="567"/>
        </w:tabs>
        <w:spacing w:line="240" w:lineRule="auto"/>
        <w:rPr>
          <w:noProof/>
          <w:szCs w:val="22"/>
        </w:rPr>
      </w:pPr>
    </w:p>
    <w:p w14:paraId="73313019" w14:textId="7A9097CA" w:rsidR="004A2EB8" w:rsidRPr="00BA4BF5" w:rsidRDefault="001D0951" w:rsidP="5F2EC82B">
      <w:pPr>
        <w:keepNext/>
        <w:keepLines/>
        <w:spacing w:line="240" w:lineRule="auto"/>
        <w:rPr>
          <w:highlight w:val="lightGray"/>
        </w:rPr>
      </w:pPr>
      <w:r w:rsidRPr="5F2EC82B">
        <w:rPr>
          <w:highlight w:val="lightGray"/>
        </w:rPr>
        <w:t xml:space="preserve">PC </w:t>
      </w:r>
    </w:p>
    <w:p w14:paraId="410F2864" w14:textId="181C0E61" w:rsidR="004A2EB8" w:rsidRPr="00BA4BF5" w:rsidRDefault="001D0951" w:rsidP="5F2EC82B">
      <w:pPr>
        <w:keepNext/>
        <w:keepLines/>
        <w:spacing w:line="240" w:lineRule="auto"/>
        <w:rPr>
          <w:highlight w:val="lightGray"/>
        </w:rPr>
      </w:pPr>
      <w:r w:rsidRPr="5F2EC82B">
        <w:rPr>
          <w:highlight w:val="lightGray"/>
        </w:rPr>
        <w:t xml:space="preserve">SN </w:t>
      </w:r>
    </w:p>
    <w:p w14:paraId="7D8D6129" w14:textId="07606B98" w:rsidR="004A2EB8" w:rsidRPr="00C56B34" w:rsidRDefault="001D0951" w:rsidP="50BD9E82">
      <w:pPr>
        <w:keepNext/>
        <w:keepLines/>
        <w:spacing w:line="240" w:lineRule="auto"/>
        <w:rPr>
          <w:szCs w:val="22"/>
        </w:rPr>
      </w:pPr>
      <w:r w:rsidRPr="5F2EC82B">
        <w:rPr>
          <w:highlight w:val="lightGray"/>
        </w:rPr>
        <w:t xml:space="preserve">NN </w:t>
      </w:r>
    </w:p>
    <w:p w14:paraId="33D5641F" w14:textId="77777777" w:rsidR="001118F7" w:rsidRPr="003C65AC" w:rsidRDefault="001118F7" w:rsidP="003C65AC">
      <w:pPr>
        <w:tabs>
          <w:tab w:val="clear" w:pos="567"/>
        </w:tabs>
        <w:spacing w:line="240" w:lineRule="auto"/>
        <w:rPr>
          <w:noProof/>
          <w:szCs w:val="22"/>
        </w:rPr>
      </w:pPr>
    </w:p>
    <w:p w14:paraId="1C6EC76A" w14:textId="77777777" w:rsidR="00E27790" w:rsidRPr="00C56B34" w:rsidRDefault="001D0951" w:rsidP="00E27790">
      <w:pPr>
        <w:pBdr>
          <w:top w:val="single" w:sz="4" w:space="1" w:color="auto"/>
          <w:left w:val="single" w:sz="4" w:space="4" w:color="auto"/>
          <w:bottom w:val="single" w:sz="4" w:space="1" w:color="auto"/>
          <w:right w:val="single" w:sz="4" w:space="4" w:color="auto"/>
        </w:pBdr>
        <w:spacing w:line="240" w:lineRule="auto"/>
        <w:rPr>
          <w:b/>
          <w:noProof/>
          <w:szCs w:val="22"/>
        </w:rPr>
      </w:pPr>
      <w:r>
        <w:rPr>
          <w:noProof/>
          <w:szCs w:val="22"/>
        </w:rPr>
        <w:br w:type="page"/>
      </w:r>
      <w:r w:rsidRPr="00C56B34">
        <w:rPr>
          <w:b/>
          <w:noProof/>
          <w:szCs w:val="22"/>
        </w:rPr>
        <w:lastRenderedPageBreak/>
        <w:t>MINIMUM PARTICULARS TO APPEAR ON SMALL IMMEDIATE PACKAGING UNITS</w:t>
      </w:r>
    </w:p>
    <w:p w14:paraId="60E4F24A" w14:textId="77777777" w:rsidR="00E27790" w:rsidRPr="00C56B34" w:rsidRDefault="00E27790" w:rsidP="00E27790">
      <w:pPr>
        <w:pBdr>
          <w:top w:val="single" w:sz="4" w:space="1" w:color="auto"/>
          <w:left w:val="single" w:sz="4" w:space="4" w:color="auto"/>
          <w:bottom w:val="single" w:sz="4" w:space="1" w:color="auto"/>
          <w:right w:val="single" w:sz="4" w:space="4" w:color="auto"/>
        </w:pBdr>
        <w:spacing w:line="240" w:lineRule="auto"/>
        <w:rPr>
          <w:b/>
          <w:noProof/>
          <w:szCs w:val="22"/>
        </w:rPr>
      </w:pPr>
    </w:p>
    <w:p w14:paraId="4A2FF758" w14:textId="77777777" w:rsidR="00E27790" w:rsidRPr="00C56B34" w:rsidRDefault="001D0951" w:rsidP="00E27790">
      <w:pPr>
        <w:pBdr>
          <w:top w:val="single" w:sz="4" w:space="1" w:color="auto"/>
          <w:left w:val="single" w:sz="4" w:space="4" w:color="auto"/>
          <w:bottom w:val="single" w:sz="4" w:space="1" w:color="auto"/>
          <w:right w:val="single" w:sz="4" w:space="4" w:color="auto"/>
        </w:pBdr>
        <w:spacing w:line="240" w:lineRule="auto"/>
        <w:rPr>
          <w:b/>
          <w:noProof/>
          <w:szCs w:val="22"/>
        </w:rPr>
      </w:pPr>
      <w:r>
        <w:rPr>
          <w:b/>
          <w:noProof/>
          <w:szCs w:val="22"/>
        </w:rPr>
        <w:t>2</w:t>
      </w:r>
      <w:r w:rsidRPr="00C56B34">
        <w:rPr>
          <w:b/>
          <w:noProof/>
          <w:szCs w:val="22"/>
        </w:rPr>
        <w:t xml:space="preserve">0 mg VIAL </w:t>
      </w:r>
    </w:p>
    <w:p w14:paraId="2D30CB7A" w14:textId="77777777" w:rsidR="00E27790" w:rsidRPr="00C56B34" w:rsidRDefault="00E27790" w:rsidP="00E27790">
      <w:pPr>
        <w:spacing w:line="240" w:lineRule="auto"/>
        <w:rPr>
          <w:noProof/>
          <w:szCs w:val="22"/>
        </w:rPr>
      </w:pPr>
    </w:p>
    <w:p w14:paraId="43FADF5C" w14:textId="77777777" w:rsidR="00E27790" w:rsidRPr="00C56B34" w:rsidRDefault="00E27790" w:rsidP="00E27790">
      <w:pPr>
        <w:spacing w:line="240" w:lineRule="auto"/>
        <w:rPr>
          <w:noProof/>
          <w:szCs w:val="22"/>
        </w:rPr>
      </w:pPr>
    </w:p>
    <w:p w14:paraId="0A57B6AC" w14:textId="77777777" w:rsidR="00E27790" w:rsidRPr="00C56B34" w:rsidRDefault="001D0951" w:rsidP="00E27790">
      <w:pPr>
        <w:pBdr>
          <w:top w:val="single" w:sz="4" w:space="1" w:color="auto"/>
          <w:left w:val="single" w:sz="4" w:space="4" w:color="auto"/>
          <w:bottom w:val="single" w:sz="4" w:space="1" w:color="auto"/>
          <w:right w:val="single" w:sz="4" w:space="4" w:color="auto"/>
        </w:pBdr>
        <w:spacing w:line="240" w:lineRule="auto"/>
        <w:outlineLvl w:val="0"/>
        <w:rPr>
          <w:b/>
          <w:noProof/>
          <w:szCs w:val="22"/>
        </w:rPr>
      </w:pPr>
      <w:r w:rsidRPr="00C56B34">
        <w:rPr>
          <w:b/>
          <w:noProof/>
          <w:szCs w:val="22"/>
        </w:rPr>
        <w:t>1.</w:t>
      </w:r>
      <w:r w:rsidRPr="00C56B34">
        <w:rPr>
          <w:b/>
          <w:noProof/>
          <w:szCs w:val="22"/>
        </w:rPr>
        <w:tab/>
        <w:t>NAME OF THE MEDICINAL PRODUCT AND ROUTE(S) OF ADMINISTRATION</w:t>
      </w:r>
    </w:p>
    <w:p w14:paraId="6207ADB0" w14:textId="77777777" w:rsidR="00E27790" w:rsidRPr="00C56B34" w:rsidRDefault="00E27790" w:rsidP="00E27790">
      <w:pPr>
        <w:spacing w:line="240" w:lineRule="auto"/>
        <w:ind w:left="567" w:hanging="567"/>
        <w:rPr>
          <w:noProof/>
          <w:szCs w:val="22"/>
        </w:rPr>
      </w:pPr>
    </w:p>
    <w:p w14:paraId="5B9F2488" w14:textId="77777777" w:rsidR="00E27790" w:rsidRPr="00BA4BF5" w:rsidRDefault="001D0951" w:rsidP="00E27790">
      <w:pPr>
        <w:spacing w:line="240" w:lineRule="auto"/>
        <w:rPr>
          <w:noProof/>
        </w:rPr>
      </w:pPr>
      <w:r>
        <w:t xml:space="preserve">CRYSVITA 20 mg </w:t>
      </w:r>
      <w:r w:rsidRPr="5F2EC82B">
        <w:rPr>
          <w:noProof/>
        </w:rPr>
        <w:t>injection</w:t>
      </w:r>
    </w:p>
    <w:p w14:paraId="03496F52" w14:textId="77777777" w:rsidR="00E27790" w:rsidRPr="00BA4BF5" w:rsidRDefault="001D0951" w:rsidP="00E27790">
      <w:pPr>
        <w:spacing w:line="240" w:lineRule="auto"/>
        <w:rPr>
          <w:noProof/>
        </w:rPr>
      </w:pPr>
      <w:proofErr w:type="spellStart"/>
      <w:r>
        <w:t>burosumab</w:t>
      </w:r>
      <w:proofErr w:type="spellEnd"/>
    </w:p>
    <w:p w14:paraId="33403E35" w14:textId="77777777" w:rsidR="00E27790" w:rsidRPr="00C56B34" w:rsidRDefault="001D0951" w:rsidP="00E27790">
      <w:pPr>
        <w:spacing w:line="240" w:lineRule="auto"/>
        <w:rPr>
          <w:noProof/>
          <w:szCs w:val="22"/>
        </w:rPr>
      </w:pPr>
      <w:r>
        <w:rPr>
          <w:noProof/>
          <w:szCs w:val="22"/>
        </w:rPr>
        <w:t>SC</w:t>
      </w:r>
    </w:p>
    <w:p w14:paraId="429F518C" w14:textId="77777777" w:rsidR="00E27790" w:rsidRPr="00C56B34" w:rsidRDefault="00E27790" w:rsidP="00E27790">
      <w:pPr>
        <w:spacing w:line="240" w:lineRule="auto"/>
        <w:rPr>
          <w:noProof/>
          <w:szCs w:val="22"/>
        </w:rPr>
      </w:pPr>
    </w:p>
    <w:p w14:paraId="75082D9D" w14:textId="77777777" w:rsidR="00E27790" w:rsidRPr="00C56B34" w:rsidRDefault="00E27790" w:rsidP="00E27790">
      <w:pPr>
        <w:spacing w:line="240" w:lineRule="auto"/>
        <w:rPr>
          <w:noProof/>
          <w:szCs w:val="22"/>
        </w:rPr>
      </w:pPr>
    </w:p>
    <w:p w14:paraId="55CAE45C" w14:textId="77777777" w:rsidR="00E27790" w:rsidRPr="00C56B34" w:rsidRDefault="001D0951" w:rsidP="00E27790">
      <w:pPr>
        <w:pBdr>
          <w:top w:val="single" w:sz="4" w:space="1" w:color="auto"/>
          <w:left w:val="single" w:sz="4" w:space="4" w:color="auto"/>
          <w:bottom w:val="single" w:sz="4" w:space="1" w:color="auto"/>
          <w:right w:val="single" w:sz="4" w:space="4" w:color="auto"/>
        </w:pBdr>
        <w:spacing w:line="240" w:lineRule="auto"/>
        <w:outlineLvl w:val="0"/>
        <w:rPr>
          <w:b/>
          <w:noProof/>
          <w:szCs w:val="22"/>
        </w:rPr>
      </w:pPr>
      <w:r w:rsidRPr="00C56B34">
        <w:rPr>
          <w:b/>
          <w:noProof/>
          <w:szCs w:val="22"/>
        </w:rPr>
        <w:t>2.</w:t>
      </w:r>
      <w:r w:rsidRPr="00C56B34">
        <w:rPr>
          <w:b/>
          <w:noProof/>
          <w:szCs w:val="22"/>
        </w:rPr>
        <w:tab/>
        <w:t>METHOD OF ADMINISTRATION</w:t>
      </w:r>
    </w:p>
    <w:p w14:paraId="63A76EDE" w14:textId="77777777" w:rsidR="00E27790" w:rsidRPr="00C56B34" w:rsidRDefault="00E27790" w:rsidP="00E27790">
      <w:pPr>
        <w:spacing w:line="240" w:lineRule="auto"/>
        <w:rPr>
          <w:noProof/>
          <w:szCs w:val="22"/>
        </w:rPr>
      </w:pPr>
    </w:p>
    <w:p w14:paraId="2955257F" w14:textId="77777777" w:rsidR="00E27790" w:rsidRPr="00C56B34" w:rsidRDefault="00E27790" w:rsidP="00E27790">
      <w:pPr>
        <w:spacing w:line="240" w:lineRule="auto"/>
        <w:rPr>
          <w:noProof/>
          <w:szCs w:val="22"/>
        </w:rPr>
      </w:pPr>
    </w:p>
    <w:p w14:paraId="428C53BA" w14:textId="77777777" w:rsidR="00E27790" w:rsidRPr="00C56B34" w:rsidRDefault="001D0951" w:rsidP="00E27790">
      <w:pPr>
        <w:pBdr>
          <w:top w:val="single" w:sz="4" w:space="1" w:color="auto"/>
          <w:left w:val="single" w:sz="4" w:space="4" w:color="auto"/>
          <w:bottom w:val="single" w:sz="4" w:space="1" w:color="auto"/>
          <w:right w:val="single" w:sz="4" w:space="4" w:color="auto"/>
        </w:pBdr>
        <w:spacing w:line="240" w:lineRule="auto"/>
        <w:outlineLvl w:val="0"/>
        <w:rPr>
          <w:b/>
          <w:noProof/>
          <w:szCs w:val="22"/>
        </w:rPr>
      </w:pPr>
      <w:r w:rsidRPr="00C56B34">
        <w:rPr>
          <w:b/>
          <w:noProof/>
          <w:szCs w:val="22"/>
        </w:rPr>
        <w:t>3.</w:t>
      </w:r>
      <w:r w:rsidRPr="00C56B34">
        <w:rPr>
          <w:b/>
          <w:noProof/>
          <w:szCs w:val="22"/>
        </w:rPr>
        <w:tab/>
        <w:t>EXPIRY DATE</w:t>
      </w:r>
    </w:p>
    <w:p w14:paraId="1C74D134" w14:textId="77777777" w:rsidR="00E27790" w:rsidRPr="00662578" w:rsidRDefault="00E27790" w:rsidP="00E27790">
      <w:pPr>
        <w:spacing w:line="240" w:lineRule="auto"/>
        <w:rPr>
          <w:szCs w:val="22"/>
        </w:rPr>
      </w:pPr>
    </w:p>
    <w:p w14:paraId="488A6812" w14:textId="77777777" w:rsidR="00E27790" w:rsidRPr="00B96FD0" w:rsidRDefault="001D0951" w:rsidP="00E27790">
      <w:pPr>
        <w:spacing w:line="240" w:lineRule="auto"/>
        <w:rPr>
          <w:szCs w:val="22"/>
        </w:rPr>
      </w:pPr>
      <w:r>
        <w:t>EXP</w:t>
      </w:r>
    </w:p>
    <w:p w14:paraId="00C74C84" w14:textId="77777777" w:rsidR="00E27790" w:rsidRPr="00B96FD0" w:rsidRDefault="00E27790" w:rsidP="00E27790">
      <w:pPr>
        <w:spacing w:line="240" w:lineRule="auto"/>
        <w:rPr>
          <w:szCs w:val="22"/>
        </w:rPr>
      </w:pPr>
    </w:p>
    <w:p w14:paraId="78CF0C7C" w14:textId="77777777" w:rsidR="00E27790" w:rsidRPr="00B96FD0" w:rsidRDefault="00E27790" w:rsidP="00E27790">
      <w:pPr>
        <w:spacing w:line="240" w:lineRule="auto"/>
        <w:rPr>
          <w:szCs w:val="22"/>
        </w:rPr>
      </w:pPr>
    </w:p>
    <w:p w14:paraId="3A1EFB84" w14:textId="77777777" w:rsidR="00E27790" w:rsidRPr="00BA4BF5" w:rsidRDefault="001D0951" w:rsidP="00E27790">
      <w:pPr>
        <w:pBdr>
          <w:top w:val="single" w:sz="4" w:space="1" w:color="auto"/>
          <w:left w:val="single" w:sz="4" w:space="4" w:color="auto"/>
          <w:bottom w:val="single" w:sz="4" w:space="1" w:color="auto"/>
          <w:right w:val="single" w:sz="4" w:space="4" w:color="auto"/>
        </w:pBdr>
        <w:spacing w:line="240" w:lineRule="auto"/>
        <w:outlineLvl w:val="0"/>
        <w:rPr>
          <w:b/>
          <w:bCs/>
        </w:rPr>
      </w:pPr>
      <w:r w:rsidRPr="00595956">
        <w:rPr>
          <w:b/>
          <w:bCs/>
        </w:rPr>
        <w:t>4.</w:t>
      </w:r>
      <w:r w:rsidRPr="00B96FD0">
        <w:rPr>
          <w:b/>
          <w:szCs w:val="22"/>
        </w:rPr>
        <w:tab/>
      </w:r>
      <w:r w:rsidRPr="00595956">
        <w:rPr>
          <w:b/>
          <w:bCs/>
        </w:rPr>
        <w:t>BATCH NUMBER</w:t>
      </w:r>
    </w:p>
    <w:p w14:paraId="51A3CFBE" w14:textId="77777777" w:rsidR="00E27790" w:rsidRPr="00B96FD0" w:rsidRDefault="00E27790" w:rsidP="00E27790">
      <w:pPr>
        <w:spacing w:line="240" w:lineRule="auto"/>
        <w:ind w:right="113"/>
        <w:rPr>
          <w:szCs w:val="22"/>
        </w:rPr>
      </w:pPr>
    </w:p>
    <w:p w14:paraId="14658F3B" w14:textId="77777777" w:rsidR="00E27790" w:rsidRPr="00B96FD0" w:rsidRDefault="001D0951" w:rsidP="00E27790">
      <w:pPr>
        <w:spacing w:line="240" w:lineRule="auto"/>
        <w:ind w:right="113"/>
        <w:rPr>
          <w:szCs w:val="22"/>
        </w:rPr>
      </w:pPr>
      <w:r>
        <w:t>Lot</w:t>
      </w:r>
    </w:p>
    <w:p w14:paraId="173490CB" w14:textId="77777777" w:rsidR="00E27790" w:rsidRPr="00B96FD0" w:rsidRDefault="00E27790" w:rsidP="00E27790">
      <w:pPr>
        <w:spacing w:line="240" w:lineRule="auto"/>
        <w:ind w:right="113"/>
        <w:rPr>
          <w:szCs w:val="22"/>
        </w:rPr>
      </w:pPr>
    </w:p>
    <w:p w14:paraId="56A384BA" w14:textId="77777777" w:rsidR="00E27790" w:rsidRPr="00B96FD0" w:rsidRDefault="00E27790" w:rsidP="00E27790">
      <w:pPr>
        <w:spacing w:line="240" w:lineRule="auto"/>
        <w:ind w:right="113"/>
        <w:rPr>
          <w:szCs w:val="22"/>
        </w:rPr>
      </w:pPr>
    </w:p>
    <w:p w14:paraId="5A27AA43" w14:textId="77777777" w:rsidR="00E27790" w:rsidRPr="00C56B34" w:rsidRDefault="001D0951" w:rsidP="00E27790">
      <w:pPr>
        <w:pBdr>
          <w:top w:val="single" w:sz="4" w:space="1" w:color="auto"/>
          <w:left w:val="single" w:sz="4" w:space="4" w:color="auto"/>
          <w:bottom w:val="single" w:sz="4" w:space="1" w:color="auto"/>
          <w:right w:val="single" w:sz="4" w:space="4" w:color="auto"/>
        </w:pBdr>
        <w:spacing w:line="240" w:lineRule="auto"/>
        <w:outlineLvl w:val="0"/>
        <w:rPr>
          <w:b/>
          <w:noProof/>
          <w:szCs w:val="22"/>
        </w:rPr>
      </w:pPr>
      <w:r w:rsidRPr="00C56B34">
        <w:rPr>
          <w:b/>
          <w:noProof/>
          <w:szCs w:val="22"/>
        </w:rPr>
        <w:t>5.</w:t>
      </w:r>
      <w:r w:rsidRPr="00C56B34">
        <w:rPr>
          <w:b/>
          <w:noProof/>
          <w:szCs w:val="22"/>
        </w:rPr>
        <w:tab/>
        <w:t>CONTENTS BY WEIGHT, BY VOLUME OR BY UNIT</w:t>
      </w:r>
    </w:p>
    <w:p w14:paraId="3EBBAC40" w14:textId="77777777" w:rsidR="00E27790" w:rsidRPr="00C56B34" w:rsidRDefault="00E27790" w:rsidP="00E27790">
      <w:pPr>
        <w:spacing w:line="240" w:lineRule="auto"/>
        <w:ind w:right="113"/>
        <w:rPr>
          <w:noProof/>
          <w:szCs w:val="22"/>
        </w:rPr>
      </w:pPr>
    </w:p>
    <w:p w14:paraId="40CBD9E8" w14:textId="77777777" w:rsidR="00E27790" w:rsidRPr="00C56B34" w:rsidRDefault="001D0951" w:rsidP="00E27790">
      <w:pPr>
        <w:spacing w:line="240" w:lineRule="auto"/>
        <w:ind w:right="113"/>
        <w:rPr>
          <w:noProof/>
          <w:szCs w:val="22"/>
        </w:rPr>
      </w:pPr>
      <w:r w:rsidRPr="00C56B34">
        <w:rPr>
          <w:noProof/>
          <w:szCs w:val="22"/>
        </w:rPr>
        <w:t>1 ml</w:t>
      </w:r>
    </w:p>
    <w:p w14:paraId="67737E22" w14:textId="77777777" w:rsidR="00E27790" w:rsidRPr="00C56B34" w:rsidRDefault="00E27790" w:rsidP="00E27790">
      <w:pPr>
        <w:spacing w:line="240" w:lineRule="auto"/>
        <w:ind w:right="113"/>
        <w:rPr>
          <w:noProof/>
          <w:szCs w:val="22"/>
        </w:rPr>
      </w:pPr>
    </w:p>
    <w:p w14:paraId="54BACAEC" w14:textId="77777777" w:rsidR="00E27790" w:rsidRPr="00C56B34" w:rsidRDefault="00E27790" w:rsidP="00E27790">
      <w:pPr>
        <w:spacing w:line="240" w:lineRule="auto"/>
        <w:ind w:right="113"/>
        <w:rPr>
          <w:noProof/>
          <w:szCs w:val="22"/>
        </w:rPr>
      </w:pPr>
    </w:p>
    <w:p w14:paraId="1D07A125" w14:textId="77777777" w:rsidR="00E27790" w:rsidRPr="00C56B34" w:rsidRDefault="001D0951" w:rsidP="00E27790">
      <w:pPr>
        <w:pBdr>
          <w:top w:val="single" w:sz="4" w:space="1" w:color="auto"/>
          <w:left w:val="single" w:sz="4" w:space="4" w:color="auto"/>
          <w:bottom w:val="single" w:sz="4" w:space="1" w:color="auto"/>
          <w:right w:val="single" w:sz="4" w:space="4" w:color="auto"/>
        </w:pBdr>
        <w:spacing w:line="240" w:lineRule="auto"/>
        <w:outlineLvl w:val="0"/>
        <w:rPr>
          <w:b/>
          <w:noProof/>
          <w:szCs w:val="22"/>
        </w:rPr>
      </w:pPr>
      <w:r w:rsidRPr="00C56B34">
        <w:rPr>
          <w:b/>
          <w:noProof/>
          <w:szCs w:val="22"/>
        </w:rPr>
        <w:t>6.</w:t>
      </w:r>
      <w:r w:rsidRPr="00C56B34">
        <w:rPr>
          <w:b/>
          <w:noProof/>
          <w:szCs w:val="22"/>
        </w:rPr>
        <w:tab/>
        <w:t>OTHER</w:t>
      </w:r>
    </w:p>
    <w:p w14:paraId="48BDC103" w14:textId="77777777" w:rsidR="00E27790" w:rsidRPr="00C56B34" w:rsidRDefault="00E27790" w:rsidP="00E27790">
      <w:pPr>
        <w:spacing w:line="240" w:lineRule="auto"/>
        <w:ind w:right="113"/>
        <w:rPr>
          <w:noProof/>
          <w:szCs w:val="22"/>
        </w:rPr>
      </w:pPr>
    </w:p>
    <w:p w14:paraId="32A26F40" w14:textId="77777777" w:rsidR="00E27790" w:rsidRDefault="001D0951" w:rsidP="00E27790">
      <w:pPr>
        <w:tabs>
          <w:tab w:val="clear" w:pos="567"/>
        </w:tabs>
        <w:spacing w:line="240" w:lineRule="auto"/>
        <w:rPr>
          <w:szCs w:val="22"/>
        </w:rPr>
      </w:pPr>
      <w:r>
        <w:rPr>
          <w:szCs w:val="22"/>
        </w:rPr>
        <w:br w:type="page"/>
      </w:r>
    </w:p>
    <w:p w14:paraId="1C92B7F4" w14:textId="77777777" w:rsidR="001118F7" w:rsidRDefault="001118F7">
      <w:pPr>
        <w:tabs>
          <w:tab w:val="clear" w:pos="567"/>
        </w:tabs>
        <w:spacing w:line="240" w:lineRule="auto"/>
        <w:rPr>
          <w:noProof/>
          <w:szCs w:val="22"/>
        </w:rPr>
      </w:pPr>
    </w:p>
    <w:p w14:paraId="43A7CCFA" w14:textId="77777777" w:rsidR="001118F7" w:rsidRPr="00C56B34" w:rsidRDefault="001D0951" w:rsidP="001118F7">
      <w:pPr>
        <w:pBdr>
          <w:top w:val="single" w:sz="4" w:space="1" w:color="auto"/>
          <w:left w:val="single" w:sz="4" w:space="4" w:color="auto"/>
          <w:bottom w:val="single" w:sz="4" w:space="1" w:color="auto"/>
          <w:right w:val="single" w:sz="4" w:space="4" w:color="auto"/>
        </w:pBdr>
        <w:spacing w:line="240" w:lineRule="auto"/>
        <w:rPr>
          <w:b/>
          <w:noProof/>
          <w:szCs w:val="22"/>
        </w:rPr>
      </w:pPr>
      <w:r w:rsidRPr="00C56B34">
        <w:rPr>
          <w:b/>
          <w:noProof/>
          <w:szCs w:val="22"/>
        </w:rPr>
        <w:t>PARTICULARS TO APPEAR ON THE OUTER PACKAGING</w:t>
      </w:r>
    </w:p>
    <w:p w14:paraId="176F7BA6" w14:textId="77777777" w:rsidR="001118F7" w:rsidRPr="00C56B34" w:rsidRDefault="001118F7" w:rsidP="001118F7">
      <w:pPr>
        <w:pBdr>
          <w:top w:val="single" w:sz="4" w:space="1" w:color="auto"/>
          <w:left w:val="single" w:sz="4" w:space="4" w:color="auto"/>
          <w:bottom w:val="single" w:sz="4" w:space="1" w:color="auto"/>
          <w:right w:val="single" w:sz="4" w:space="4" w:color="auto"/>
        </w:pBdr>
        <w:spacing w:line="240" w:lineRule="auto"/>
        <w:ind w:left="567" w:hanging="567"/>
        <w:rPr>
          <w:bCs/>
          <w:noProof/>
          <w:szCs w:val="22"/>
        </w:rPr>
      </w:pPr>
    </w:p>
    <w:p w14:paraId="2AE74734" w14:textId="77777777" w:rsidR="001118F7" w:rsidRPr="00C56B34" w:rsidRDefault="001D0951" w:rsidP="001118F7">
      <w:pPr>
        <w:pBdr>
          <w:top w:val="single" w:sz="4" w:space="1" w:color="auto"/>
          <w:left w:val="single" w:sz="4" w:space="4" w:color="auto"/>
          <w:bottom w:val="single" w:sz="4" w:space="1" w:color="auto"/>
          <w:right w:val="single" w:sz="4" w:space="4" w:color="auto"/>
        </w:pBdr>
        <w:spacing w:line="240" w:lineRule="auto"/>
        <w:rPr>
          <w:bCs/>
          <w:noProof/>
          <w:szCs w:val="22"/>
        </w:rPr>
      </w:pPr>
      <w:r>
        <w:rPr>
          <w:b/>
          <w:noProof/>
          <w:szCs w:val="22"/>
        </w:rPr>
        <w:t>3</w:t>
      </w:r>
      <w:r w:rsidRPr="00BC5939">
        <w:rPr>
          <w:b/>
          <w:noProof/>
          <w:szCs w:val="22"/>
        </w:rPr>
        <w:t>0</w:t>
      </w:r>
      <w:r w:rsidRPr="00C56B34">
        <w:rPr>
          <w:b/>
          <w:noProof/>
          <w:szCs w:val="22"/>
        </w:rPr>
        <w:t> mg CARTON</w:t>
      </w:r>
    </w:p>
    <w:p w14:paraId="05A35CB4" w14:textId="77777777" w:rsidR="001118F7" w:rsidRPr="00662578" w:rsidRDefault="001118F7" w:rsidP="001118F7">
      <w:pPr>
        <w:spacing w:line="240" w:lineRule="auto"/>
        <w:rPr>
          <w:szCs w:val="22"/>
        </w:rPr>
      </w:pPr>
    </w:p>
    <w:p w14:paraId="67280B74" w14:textId="77777777" w:rsidR="001118F7" w:rsidRPr="00C56B34" w:rsidRDefault="001118F7" w:rsidP="001118F7">
      <w:pPr>
        <w:spacing w:line="240" w:lineRule="auto"/>
        <w:rPr>
          <w:noProof/>
          <w:szCs w:val="22"/>
        </w:rPr>
      </w:pPr>
    </w:p>
    <w:p w14:paraId="064C4579" w14:textId="77777777" w:rsidR="001118F7" w:rsidRPr="00662578" w:rsidRDefault="001D0951" w:rsidP="50BD9E82">
      <w:pPr>
        <w:pBdr>
          <w:top w:val="single" w:sz="4" w:space="1" w:color="auto"/>
          <w:left w:val="single" w:sz="4" w:space="4" w:color="auto"/>
          <w:bottom w:val="single" w:sz="4" w:space="1" w:color="auto"/>
          <w:right w:val="single" w:sz="4" w:space="4" w:color="auto"/>
        </w:pBdr>
        <w:spacing w:line="240" w:lineRule="auto"/>
        <w:ind w:left="567" w:hanging="567"/>
        <w:outlineLvl w:val="0"/>
        <w:rPr>
          <w:szCs w:val="22"/>
        </w:rPr>
      </w:pPr>
      <w:r w:rsidRPr="00595956">
        <w:rPr>
          <w:b/>
          <w:bCs/>
        </w:rPr>
        <w:t>1.</w:t>
      </w:r>
      <w:r w:rsidRPr="00662578">
        <w:rPr>
          <w:b/>
          <w:szCs w:val="22"/>
        </w:rPr>
        <w:tab/>
      </w:r>
      <w:r w:rsidRPr="00595956">
        <w:rPr>
          <w:b/>
          <w:bCs/>
        </w:rPr>
        <w:t>NAME OF THE MEDICINAL PRODUCT</w:t>
      </w:r>
    </w:p>
    <w:p w14:paraId="3711EEC0" w14:textId="77777777" w:rsidR="001118F7" w:rsidRPr="00C56B34" w:rsidRDefault="001118F7" w:rsidP="001118F7">
      <w:pPr>
        <w:spacing w:line="240" w:lineRule="auto"/>
        <w:rPr>
          <w:noProof/>
          <w:szCs w:val="22"/>
        </w:rPr>
      </w:pPr>
    </w:p>
    <w:p w14:paraId="460113A4" w14:textId="77777777" w:rsidR="001118F7" w:rsidRPr="00C56B34" w:rsidRDefault="001D0951" w:rsidP="5F2EC82B">
      <w:pPr>
        <w:pStyle w:val="Header"/>
        <w:spacing w:line="240" w:lineRule="auto"/>
        <w:rPr>
          <w:rFonts w:ascii="Times New Roman" w:hAnsi="Times New Roman"/>
          <w:noProof/>
          <w:sz w:val="22"/>
          <w:szCs w:val="22"/>
          <w:u w:val="single"/>
        </w:rPr>
      </w:pPr>
      <w:r w:rsidRPr="5F2EC82B">
        <w:rPr>
          <w:rFonts w:ascii="Times New Roman" w:hAnsi="Times New Roman"/>
          <w:sz w:val="22"/>
          <w:szCs w:val="22"/>
        </w:rPr>
        <w:t xml:space="preserve">CRYSVITA 30 </w:t>
      </w:r>
      <w:r w:rsidRPr="5F2EC82B">
        <w:rPr>
          <w:rFonts w:ascii="Times New Roman" w:hAnsi="Times New Roman"/>
          <w:noProof/>
          <w:sz w:val="22"/>
          <w:szCs w:val="22"/>
        </w:rPr>
        <w:t xml:space="preserve">mg </w:t>
      </w:r>
      <w:r w:rsidR="0022608B">
        <w:rPr>
          <w:rFonts w:ascii="Times New Roman" w:hAnsi="Times New Roman"/>
          <w:noProof/>
          <w:sz w:val="22"/>
          <w:szCs w:val="22"/>
        </w:rPr>
        <w:t xml:space="preserve">solution for </w:t>
      </w:r>
      <w:r w:rsidRPr="5F2EC82B">
        <w:rPr>
          <w:rFonts w:ascii="Times New Roman" w:hAnsi="Times New Roman"/>
          <w:noProof/>
          <w:sz w:val="22"/>
          <w:szCs w:val="22"/>
        </w:rPr>
        <w:t>injection</w:t>
      </w:r>
    </w:p>
    <w:p w14:paraId="325B56E4" w14:textId="77777777" w:rsidR="001118F7" w:rsidRPr="00C56B34" w:rsidRDefault="001D0951" w:rsidP="001118F7">
      <w:pPr>
        <w:spacing w:line="240" w:lineRule="auto"/>
        <w:rPr>
          <w:b/>
          <w:szCs w:val="22"/>
        </w:rPr>
      </w:pPr>
      <w:r>
        <w:rPr>
          <w:noProof/>
          <w:szCs w:val="22"/>
        </w:rPr>
        <w:t>b</w:t>
      </w:r>
      <w:r w:rsidRPr="00C56B34">
        <w:rPr>
          <w:noProof/>
          <w:szCs w:val="22"/>
        </w:rPr>
        <w:t>urosumab</w:t>
      </w:r>
    </w:p>
    <w:p w14:paraId="75213A46" w14:textId="77777777" w:rsidR="001118F7" w:rsidRPr="00C56B34" w:rsidRDefault="001118F7" w:rsidP="001118F7">
      <w:pPr>
        <w:spacing w:line="240" w:lineRule="auto"/>
        <w:rPr>
          <w:noProof/>
          <w:szCs w:val="22"/>
        </w:rPr>
      </w:pPr>
    </w:p>
    <w:p w14:paraId="16C57A48" w14:textId="77777777" w:rsidR="001118F7" w:rsidRPr="00C56B34" w:rsidRDefault="001118F7" w:rsidP="001118F7">
      <w:pPr>
        <w:spacing w:line="240" w:lineRule="auto"/>
        <w:rPr>
          <w:noProof/>
          <w:szCs w:val="22"/>
        </w:rPr>
      </w:pPr>
    </w:p>
    <w:p w14:paraId="30F0D088" w14:textId="77777777" w:rsidR="001118F7" w:rsidRPr="00C56B34" w:rsidRDefault="001D0951" w:rsidP="001118F7">
      <w:pPr>
        <w:pBdr>
          <w:top w:val="single" w:sz="4" w:space="1" w:color="auto"/>
          <w:left w:val="single" w:sz="4" w:space="4" w:color="auto"/>
          <w:bottom w:val="single" w:sz="4" w:space="1" w:color="auto"/>
          <w:right w:val="single" w:sz="4" w:space="4" w:color="auto"/>
        </w:pBdr>
        <w:spacing w:line="240" w:lineRule="auto"/>
        <w:ind w:left="567" w:hanging="567"/>
        <w:outlineLvl w:val="0"/>
        <w:rPr>
          <w:b/>
          <w:noProof/>
          <w:szCs w:val="22"/>
        </w:rPr>
      </w:pPr>
      <w:r w:rsidRPr="00C56B34">
        <w:rPr>
          <w:b/>
          <w:noProof/>
          <w:szCs w:val="22"/>
        </w:rPr>
        <w:t>2.</w:t>
      </w:r>
      <w:r w:rsidRPr="00C56B34">
        <w:rPr>
          <w:b/>
          <w:noProof/>
          <w:szCs w:val="22"/>
        </w:rPr>
        <w:tab/>
        <w:t>STATEMENT OF ACTIVE SUBSTANCE(S)</w:t>
      </w:r>
    </w:p>
    <w:p w14:paraId="217CC9F9" w14:textId="77777777" w:rsidR="001118F7" w:rsidRPr="00C56B34" w:rsidRDefault="001118F7" w:rsidP="001118F7">
      <w:pPr>
        <w:spacing w:line="240" w:lineRule="auto"/>
        <w:rPr>
          <w:noProof/>
          <w:szCs w:val="22"/>
        </w:rPr>
      </w:pPr>
    </w:p>
    <w:p w14:paraId="4B5D23C2" w14:textId="77777777" w:rsidR="001118F7" w:rsidRPr="00BA4BF5" w:rsidRDefault="001D0951" w:rsidP="07120F5B">
      <w:pPr>
        <w:spacing w:line="240" w:lineRule="auto"/>
        <w:rPr>
          <w:rFonts w:eastAsia="SimSun"/>
        </w:rPr>
      </w:pPr>
      <w:r w:rsidRPr="07120F5B">
        <w:rPr>
          <w:rFonts w:eastAsia="SimSun"/>
        </w:rPr>
        <w:t xml:space="preserve">Each vial contains 30 mg </w:t>
      </w:r>
      <w:proofErr w:type="spellStart"/>
      <w:r w:rsidRPr="07120F5B">
        <w:rPr>
          <w:rFonts w:eastAsia="SimSun"/>
        </w:rPr>
        <w:t>burosumab</w:t>
      </w:r>
      <w:proofErr w:type="spellEnd"/>
      <w:r w:rsidRPr="07120F5B">
        <w:rPr>
          <w:rFonts w:eastAsia="SimSun"/>
        </w:rPr>
        <w:t xml:space="preserve"> in 1 ml of solution.</w:t>
      </w:r>
    </w:p>
    <w:p w14:paraId="4F319C32" w14:textId="77777777" w:rsidR="001118F7" w:rsidRPr="00C56B34" w:rsidRDefault="001118F7" w:rsidP="001118F7">
      <w:pPr>
        <w:spacing w:line="240" w:lineRule="auto"/>
        <w:rPr>
          <w:noProof/>
          <w:szCs w:val="22"/>
        </w:rPr>
      </w:pPr>
    </w:p>
    <w:p w14:paraId="3D421862" w14:textId="77777777" w:rsidR="001118F7" w:rsidRPr="00C56B34" w:rsidRDefault="001118F7" w:rsidP="001118F7">
      <w:pPr>
        <w:spacing w:line="240" w:lineRule="auto"/>
        <w:rPr>
          <w:noProof/>
          <w:szCs w:val="22"/>
        </w:rPr>
      </w:pPr>
    </w:p>
    <w:p w14:paraId="2BAE48DC" w14:textId="77777777" w:rsidR="001118F7" w:rsidRPr="00C56B34" w:rsidRDefault="001D0951" w:rsidP="001118F7">
      <w:pPr>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rPr>
      </w:pPr>
      <w:r w:rsidRPr="00C56B34">
        <w:rPr>
          <w:b/>
          <w:noProof/>
          <w:szCs w:val="22"/>
        </w:rPr>
        <w:t>3.</w:t>
      </w:r>
      <w:r w:rsidRPr="00C56B34">
        <w:rPr>
          <w:b/>
          <w:noProof/>
          <w:szCs w:val="22"/>
        </w:rPr>
        <w:tab/>
        <w:t>LIST OF EXCIPIENTS</w:t>
      </w:r>
    </w:p>
    <w:p w14:paraId="582DF0EB" w14:textId="77777777" w:rsidR="001118F7" w:rsidRPr="00C56B34" w:rsidRDefault="001118F7" w:rsidP="001118F7">
      <w:pPr>
        <w:spacing w:line="240" w:lineRule="auto"/>
        <w:rPr>
          <w:noProof/>
          <w:szCs w:val="22"/>
        </w:rPr>
      </w:pPr>
    </w:p>
    <w:p w14:paraId="75804EC5" w14:textId="77777777" w:rsidR="001118F7" w:rsidRPr="00B96FD0" w:rsidRDefault="001D0951" w:rsidP="50BD9E82">
      <w:pPr>
        <w:spacing w:line="240" w:lineRule="auto"/>
        <w:rPr>
          <w:szCs w:val="22"/>
        </w:rPr>
      </w:pPr>
      <w:r>
        <w:t>Excipients</w:t>
      </w:r>
      <w:r w:rsidR="07120F5B">
        <w:t>: L-histidine, D- sorbitol E420, polysorbate 80, L-methionine, hydrochloric acid, 10%, and water for injections.</w:t>
      </w:r>
    </w:p>
    <w:p w14:paraId="565ACEE1" w14:textId="77777777" w:rsidR="001118F7" w:rsidRPr="00C56B34" w:rsidRDefault="001D0951" w:rsidP="001118F7">
      <w:pPr>
        <w:spacing w:line="240" w:lineRule="auto"/>
        <w:rPr>
          <w:noProof/>
          <w:szCs w:val="22"/>
        </w:rPr>
      </w:pPr>
      <w:r w:rsidRPr="003C65AC">
        <w:rPr>
          <w:noProof/>
          <w:szCs w:val="22"/>
          <w:highlight w:val="lightGray"/>
        </w:rPr>
        <w:t>See leaflet for further information.</w:t>
      </w:r>
    </w:p>
    <w:p w14:paraId="74BF7C8E" w14:textId="77777777" w:rsidR="001118F7" w:rsidRPr="00C56B34" w:rsidRDefault="001118F7" w:rsidP="001118F7">
      <w:pPr>
        <w:spacing w:line="240" w:lineRule="auto"/>
        <w:rPr>
          <w:noProof/>
          <w:szCs w:val="22"/>
        </w:rPr>
      </w:pPr>
    </w:p>
    <w:p w14:paraId="711A4639" w14:textId="77777777" w:rsidR="001118F7" w:rsidRPr="00C56B34" w:rsidRDefault="001118F7" w:rsidP="001118F7">
      <w:pPr>
        <w:spacing w:line="240" w:lineRule="auto"/>
        <w:rPr>
          <w:noProof/>
          <w:szCs w:val="22"/>
        </w:rPr>
      </w:pPr>
    </w:p>
    <w:p w14:paraId="1804F59E" w14:textId="77777777" w:rsidR="001118F7" w:rsidRPr="00C56B34" w:rsidRDefault="001D0951" w:rsidP="001118F7">
      <w:pPr>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rPr>
      </w:pPr>
      <w:r w:rsidRPr="00C56B34">
        <w:rPr>
          <w:b/>
          <w:noProof/>
          <w:szCs w:val="22"/>
        </w:rPr>
        <w:t>4.</w:t>
      </w:r>
      <w:r w:rsidRPr="00C56B34">
        <w:rPr>
          <w:b/>
          <w:noProof/>
          <w:szCs w:val="22"/>
        </w:rPr>
        <w:tab/>
        <w:t>PHARMACEUTICAL FORM AND CONTENTS</w:t>
      </w:r>
    </w:p>
    <w:p w14:paraId="114F5A16" w14:textId="77777777" w:rsidR="001118F7" w:rsidRPr="00C56B34" w:rsidRDefault="001118F7" w:rsidP="001118F7">
      <w:pPr>
        <w:spacing w:line="240" w:lineRule="auto"/>
        <w:rPr>
          <w:noProof/>
          <w:szCs w:val="22"/>
        </w:rPr>
      </w:pPr>
    </w:p>
    <w:p w14:paraId="2C3FAD80" w14:textId="77777777" w:rsidR="001118F7" w:rsidRPr="00C56B34" w:rsidRDefault="001D0951" w:rsidP="001118F7">
      <w:pPr>
        <w:spacing w:line="240" w:lineRule="auto"/>
        <w:rPr>
          <w:noProof/>
          <w:szCs w:val="22"/>
        </w:rPr>
      </w:pPr>
      <w:r w:rsidRPr="00C56B34">
        <w:rPr>
          <w:noProof/>
          <w:szCs w:val="22"/>
          <w:highlight w:val="lightGray"/>
        </w:rPr>
        <w:t>Solution for injection</w:t>
      </w:r>
    </w:p>
    <w:p w14:paraId="21EFC11F" w14:textId="77777777" w:rsidR="001118F7" w:rsidRPr="00C56B34" w:rsidRDefault="001D0951" w:rsidP="001118F7">
      <w:pPr>
        <w:spacing w:line="240" w:lineRule="auto"/>
        <w:rPr>
          <w:noProof/>
          <w:szCs w:val="22"/>
        </w:rPr>
      </w:pPr>
      <w:r w:rsidRPr="00C56B34">
        <w:rPr>
          <w:noProof/>
          <w:szCs w:val="22"/>
        </w:rPr>
        <w:t>1 vial</w:t>
      </w:r>
    </w:p>
    <w:p w14:paraId="05D08FE4" w14:textId="77777777" w:rsidR="001118F7" w:rsidRPr="00C56B34" w:rsidRDefault="001118F7" w:rsidP="001118F7">
      <w:pPr>
        <w:spacing w:line="240" w:lineRule="auto"/>
        <w:rPr>
          <w:noProof/>
          <w:szCs w:val="22"/>
        </w:rPr>
      </w:pPr>
    </w:p>
    <w:p w14:paraId="2D2CD833" w14:textId="77777777" w:rsidR="001118F7" w:rsidRPr="00C56B34" w:rsidRDefault="001118F7" w:rsidP="001118F7">
      <w:pPr>
        <w:spacing w:line="240" w:lineRule="auto"/>
        <w:rPr>
          <w:noProof/>
          <w:szCs w:val="22"/>
        </w:rPr>
      </w:pPr>
    </w:p>
    <w:p w14:paraId="2C6EE31C" w14:textId="77777777" w:rsidR="001118F7" w:rsidRPr="00C56B34" w:rsidRDefault="001D0951" w:rsidP="001118F7">
      <w:pPr>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rPr>
      </w:pPr>
      <w:r w:rsidRPr="00C56B34">
        <w:rPr>
          <w:b/>
          <w:noProof/>
          <w:szCs w:val="22"/>
        </w:rPr>
        <w:t>5.</w:t>
      </w:r>
      <w:r w:rsidRPr="00C56B34">
        <w:rPr>
          <w:b/>
          <w:noProof/>
          <w:szCs w:val="22"/>
        </w:rPr>
        <w:tab/>
        <w:t>METHOD AND ROUTE(S) OF ADMINISTRATION</w:t>
      </w:r>
    </w:p>
    <w:p w14:paraId="350B870F" w14:textId="77777777" w:rsidR="001118F7" w:rsidRPr="00C56B34" w:rsidRDefault="001118F7" w:rsidP="001118F7">
      <w:pPr>
        <w:spacing w:line="240" w:lineRule="auto"/>
        <w:rPr>
          <w:noProof/>
          <w:szCs w:val="22"/>
        </w:rPr>
      </w:pPr>
    </w:p>
    <w:p w14:paraId="164914C8" w14:textId="77777777" w:rsidR="001118F7" w:rsidRPr="00C56B34" w:rsidRDefault="001D0951" w:rsidP="001118F7">
      <w:pPr>
        <w:spacing w:line="240" w:lineRule="auto"/>
        <w:rPr>
          <w:noProof/>
          <w:szCs w:val="22"/>
        </w:rPr>
      </w:pPr>
      <w:r w:rsidRPr="00C56B34">
        <w:rPr>
          <w:noProof/>
          <w:szCs w:val="22"/>
        </w:rPr>
        <w:t>Read the package leaflet before use.</w:t>
      </w:r>
    </w:p>
    <w:p w14:paraId="0CAEF754" w14:textId="77777777" w:rsidR="001118F7" w:rsidRPr="00BA4BF5" w:rsidRDefault="001D0951" w:rsidP="5F2EC82B">
      <w:pPr>
        <w:spacing w:line="240" w:lineRule="auto"/>
        <w:rPr>
          <w:noProof/>
        </w:rPr>
      </w:pPr>
      <w:r>
        <w:t>Subcutaneous use.</w:t>
      </w:r>
    </w:p>
    <w:p w14:paraId="2F530D9C" w14:textId="77777777" w:rsidR="001118F7" w:rsidRPr="00C56B34" w:rsidRDefault="001D0951" w:rsidP="001118F7">
      <w:pPr>
        <w:spacing w:line="240" w:lineRule="auto"/>
        <w:rPr>
          <w:noProof/>
          <w:szCs w:val="22"/>
        </w:rPr>
      </w:pPr>
      <w:r w:rsidRPr="00C56B34">
        <w:rPr>
          <w:noProof/>
          <w:szCs w:val="22"/>
        </w:rPr>
        <w:t>For single use only.</w:t>
      </w:r>
    </w:p>
    <w:p w14:paraId="203DE713" w14:textId="77777777" w:rsidR="001118F7" w:rsidRPr="00C56B34" w:rsidRDefault="001D0951" w:rsidP="001118F7">
      <w:pPr>
        <w:spacing w:line="240" w:lineRule="auto"/>
        <w:ind w:left="567" w:hanging="567"/>
        <w:rPr>
          <w:noProof/>
          <w:szCs w:val="22"/>
        </w:rPr>
      </w:pPr>
      <w:r w:rsidRPr="00C56B34">
        <w:rPr>
          <w:noProof/>
          <w:szCs w:val="22"/>
        </w:rPr>
        <w:t>Do not shake before use.</w:t>
      </w:r>
    </w:p>
    <w:p w14:paraId="01D68FBC" w14:textId="77777777" w:rsidR="001118F7" w:rsidRPr="00C56B34" w:rsidRDefault="001118F7" w:rsidP="001118F7">
      <w:pPr>
        <w:spacing w:line="240" w:lineRule="auto"/>
        <w:rPr>
          <w:noProof/>
          <w:szCs w:val="22"/>
        </w:rPr>
      </w:pPr>
    </w:p>
    <w:p w14:paraId="1F54CBE2" w14:textId="77777777" w:rsidR="001118F7" w:rsidRPr="00C56B34" w:rsidRDefault="001118F7" w:rsidP="001118F7">
      <w:pPr>
        <w:spacing w:line="240" w:lineRule="auto"/>
        <w:rPr>
          <w:noProof/>
          <w:szCs w:val="22"/>
        </w:rPr>
      </w:pPr>
    </w:p>
    <w:p w14:paraId="131E5381" w14:textId="77777777" w:rsidR="001118F7" w:rsidRPr="00C56B34" w:rsidRDefault="001D0951" w:rsidP="001118F7">
      <w:pPr>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rPr>
      </w:pPr>
      <w:r w:rsidRPr="00C56B34">
        <w:rPr>
          <w:b/>
          <w:noProof/>
          <w:szCs w:val="22"/>
        </w:rPr>
        <w:t>6.</w:t>
      </w:r>
      <w:r w:rsidRPr="00C56B34">
        <w:rPr>
          <w:b/>
          <w:noProof/>
          <w:szCs w:val="22"/>
        </w:rPr>
        <w:tab/>
        <w:t>SPECIAL WARNING THAT THE MEDICINAL PRODUCT MUST BE STORED OUT OF THE SIGHT AND REACH OF CHILDREN</w:t>
      </w:r>
    </w:p>
    <w:p w14:paraId="0D764166" w14:textId="77777777" w:rsidR="001118F7" w:rsidRPr="00C56B34" w:rsidRDefault="001118F7" w:rsidP="001118F7">
      <w:pPr>
        <w:spacing w:line="240" w:lineRule="auto"/>
        <w:rPr>
          <w:noProof/>
          <w:szCs w:val="22"/>
        </w:rPr>
      </w:pPr>
    </w:p>
    <w:p w14:paraId="0CB7AF1D" w14:textId="77777777" w:rsidR="001118F7" w:rsidRPr="00C56B34" w:rsidRDefault="001D0951" w:rsidP="001118F7">
      <w:pPr>
        <w:spacing w:line="240" w:lineRule="auto"/>
        <w:outlineLvl w:val="0"/>
        <w:rPr>
          <w:noProof/>
          <w:szCs w:val="22"/>
        </w:rPr>
      </w:pPr>
      <w:r w:rsidRPr="00C56B34">
        <w:rPr>
          <w:noProof/>
          <w:szCs w:val="22"/>
        </w:rPr>
        <w:t>Keep out of the sight and reach of children.</w:t>
      </w:r>
    </w:p>
    <w:p w14:paraId="7DC5A2D4" w14:textId="77777777" w:rsidR="001118F7" w:rsidRPr="00C56B34" w:rsidRDefault="001118F7" w:rsidP="001118F7">
      <w:pPr>
        <w:spacing w:line="240" w:lineRule="auto"/>
        <w:rPr>
          <w:noProof/>
          <w:szCs w:val="22"/>
        </w:rPr>
      </w:pPr>
    </w:p>
    <w:p w14:paraId="2204A12B" w14:textId="77777777" w:rsidR="001118F7" w:rsidRPr="00C56B34" w:rsidRDefault="001118F7" w:rsidP="001118F7">
      <w:pPr>
        <w:spacing w:line="240" w:lineRule="auto"/>
        <w:rPr>
          <w:noProof/>
          <w:szCs w:val="22"/>
        </w:rPr>
      </w:pPr>
    </w:p>
    <w:p w14:paraId="26A7B5BB" w14:textId="77777777" w:rsidR="001118F7" w:rsidRPr="00C56B34" w:rsidRDefault="001D0951" w:rsidP="001118F7">
      <w:pPr>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rPr>
      </w:pPr>
      <w:r w:rsidRPr="00C56B34">
        <w:rPr>
          <w:b/>
          <w:noProof/>
          <w:szCs w:val="22"/>
        </w:rPr>
        <w:t>7.</w:t>
      </w:r>
      <w:r w:rsidRPr="00C56B34">
        <w:rPr>
          <w:b/>
          <w:noProof/>
          <w:szCs w:val="22"/>
        </w:rPr>
        <w:tab/>
        <w:t>OTHER SPECIAL WARNING(S), IF NECESSARY</w:t>
      </w:r>
    </w:p>
    <w:p w14:paraId="0AF388E0" w14:textId="77777777" w:rsidR="001118F7" w:rsidRPr="00662578" w:rsidRDefault="001118F7" w:rsidP="001118F7">
      <w:pPr>
        <w:tabs>
          <w:tab w:val="left" w:pos="749"/>
        </w:tabs>
        <w:spacing w:line="240" w:lineRule="auto"/>
        <w:rPr>
          <w:szCs w:val="22"/>
        </w:rPr>
      </w:pPr>
    </w:p>
    <w:p w14:paraId="3BD6A6DB" w14:textId="77777777" w:rsidR="001118F7" w:rsidRPr="00B96FD0" w:rsidRDefault="001118F7" w:rsidP="001118F7">
      <w:pPr>
        <w:tabs>
          <w:tab w:val="left" w:pos="749"/>
        </w:tabs>
        <w:spacing w:line="240" w:lineRule="auto"/>
        <w:rPr>
          <w:szCs w:val="22"/>
        </w:rPr>
      </w:pPr>
    </w:p>
    <w:p w14:paraId="34CC0337" w14:textId="77777777" w:rsidR="001118F7" w:rsidRPr="00B96FD0" w:rsidRDefault="001D0951" w:rsidP="50BD9E82">
      <w:pPr>
        <w:pBdr>
          <w:top w:val="single" w:sz="4" w:space="1" w:color="auto"/>
          <w:left w:val="single" w:sz="4" w:space="4" w:color="auto"/>
          <w:bottom w:val="single" w:sz="4" w:space="1" w:color="auto"/>
          <w:right w:val="single" w:sz="4" w:space="4" w:color="auto"/>
        </w:pBdr>
        <w:spacing w:line="240" w:lineRule="auto"/>
        <w:ind w:left="567" w:hanging="567"/>
        <w:outlineLvl w:val="0"/>
        <w:rPr>
          <w:szCs w:val="22"/>
        </w:rPr>
      </w:pPr>
      <w:r w:rsidRPr="00595956">
        <w:rPr>
          <w:b/>
          <w:bCs/>
        </w:rPr>
        <w:t>8.</w:t>
      </w:r>
      <w:r w:rsidRPr="00B96FD0">
        <w:rPr>
          <w:b/>
          <w:szCs w:val="22"/>
        </w:rPr>
        <w:tab/>
      </w:r>
      <w:r w:rsidRPr="00595956">
        <w:rPr>
          <w:b/>
          <w:bCs/>
        </w:rPr>
        <w:t>EXPIRY DATE</w:t>
      </w:r>
    </w:p>
    <w:p w14:paraId="11A41ECA" w14:textId="77777777" w:rsidR="001118F7" w:rsidRPr="00B96FD0" w:rsidRDefault="001118F7" w:rsidP="001118F7">
      <w:pPr>
        <w:spacing w:line="240" w:lineRule="auto"/>
        <w:rPr>
          <w:szCs w:val="22"/>
        </w:rPr>
      </w:pPr>
    </w:p>
    <w:p w14:paraId="603DDBA3" w14:textId="77777777" w:rsidR="001118F7" w:rsidRPr="00B96FD0" w:rsidRDefault="001D0951" w:rsidP="50BD9E82">
      <w:pPr>
        <w:spacing w:line="240" w:lineRule="auto"/>
        <w:rPr>
          <w:szCs w:val="22"/>
        </w:rPr>
      </w:pPr>
      <w:r>
        <w:t>EXP</w:t>
      </w:r>
    </w:p>
    <w:p w14:paraId="401FD528" w14:textId="77777777" w:rsidR="001118F7" w:rsidRDefault="001118F7" w:rsidP="001118F7">
      <w:pPr>
        <w:spacing w:line="240" w:lineRule="auto"/>
        <w:rPr>
          <w:noProof/>
          <w:szCs w:val="22"/>
        </w:rPr>
      </w:pPr>
    </w:p>
    <w:p w14:paraId="20412A50" w14:textId="77777777" w:rsidR="001118F7" w:rsidRPr="00C56B34" w:rsidRDefault="001118F7" w:rsidP="001118F7">
      <w:pPr>
        <w:spacing w:line="240" w:lineRule="auto"/>
        <w:rPr>
          <w:noProof/>
          <w:szCs w:val="22"/>
        </w:rPr>
      </w:pPr>
    </w:p>
    <w:p w14:paraId="7F00FD2D" w14:textId="77777777" w:rsidR="001118F7" w:rsidRPr="00C56B34" w:rsidRDefault="001D0951" w:rsidP="001118F7">
      <w:pPr>
        <w:keepNext/>
        <w:keepLines/>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rPr>
      </w:pPr>
      <w:r w:rsidRPr="00C56B34">
        <w:rPr>
          <w:b/>
          <w:noProof/>
          <w:szCs w:val="22"/>
        </w:rPr>
        <w:lastRenderedPageBreak/>
        <w:t>9.</w:t>
      </w:r>
      <w:r w:rsidRPr="00C56B34">
        <w:rPr>
          <w:b/>
          <w:noProof/>
          <w:szCs w:val="22"/>
        </w:rPr>
        <w:tab/>
        <w:t>SPECIAL STORAGE CONDITIONS</w:t>
      </w:r>
    </w:p>
    <w:p w14:paraId="63FD9770" w14:textId="77777777" w:rsidR="001118F7" w:rsidRPr="00C56B34" w:rsidRDefault="001118F7" w:rsidP="001118F7">
      <w:pPr>
        <w:keepNext/>
        <w:keepLines/>
        <w:spacing w:line="240" w:lineRule="auto"/>
        <w:rPr>
          <w:noProof/>
          <w:szCs w:val="22"/>
        </w:rPr>
      </w:pPr>
    </w:p>
    <w:p w14:paraId="12A799B4" w14:textId="77777777" w:rsidR="001118F7" w:rsidRPr="00BA4BF5" w:rsidRDefault="001D0951" w:rsidP="5F2EC82B">
      <w:pPr>
        <w:keepNext/>
        <w:keepLines/>
        <w:tabs>
          <w:tab w:val="clear" w:pos="567"/>
        </w:tabs>
        <w:autoSpaceDE w:val="0"/>
        <w:autoSpaceDN w:val="0"/>
        <w:adjustRightInd w:val="0"/>
        <w:spacing w:line="240" w:lineRule="auto"/>
        <w:rPr>
          <w:rFonts w:eastAsia="TimesNewRoman"/>
        </w:rPr>
      </w:pPr>
      <w:r w:rsidRPr="5F2EC82B">
        <w:rPr>
          <w:rFonts w:eastAsia="TimesNewRoman"/>
        </w:rPr>
        <w:t>Store in a refrigerator.</w:t>
      </w:r>
    </w:p>
    <w:p w14:paraId="42C04517" w14:textId="77777777" w:rsidR="001118F7" w:rsidRPr="00BA4BF5" w:rsidRDefault="001D0951" w:rsidP="5F2EC82B">
      <w:pPr>
        <w:keepNext/>
        <w:keepLines/>
        <w:tabs>
          <w:tab w:val="clear" w:pos="567"/>
        </w:tabs>
        <w:autoSpaceDE w:val="0"/>
        <w:autoSpaceDN w:val="0"/>
        <w:adjustRightInd w:val="0"/>
        <w:spacing w:line="240" w:lineRule="auto"/>
        <w:rPr>
          <w:rFonts w:eastAsia="TimesNewRoman"/>
        </w:rPr>
      </w:pPr>
      <w:r w:rsidRPr="5F2EC82B">
        <w:rPr>
          <w:rFonts w:eastAsia="TimesNewRoman"/>
        </w:rPr>
        <w:t>Do not freeze.</w:t>
      </w:r>
    </w:p>
    <w:p w14:paraId="65274DC2" w14:textId="77777777" w:rsidR="001118F7" w:rsidRPr="00BA4BF5" w:rsidRDefault="001D0951" w:rsidP="5F2EC82B">
      <w:pPr>
        <w:keepNext/>
        <w:keepLines/>
        <w:tabs>
          <w:tab w:val="clear" w:pos="567"/>
        </w:tabs>
        <w:autoSpaceDE w:val="0"/>
        <w:autoSpaceDN w:val="0"/>
        <w:adjustRightInd w:val="0"/>
        <w:spacing w:line="240" w:lineRule="auto"/>
        <w:rPr>
          <w:rFonts w:eastAsia="TimesNewRoman"/>
        </w:rPr>
      </w:pPr>
      <w:r w:rsidRPr="5F2EC82B">
        <w:rPr>
          <w:rFonts w:eastAsia="TimesNewRoman"/>
        </w:rPr>
        <w:t>Store in the original package in order to protect from light.</w:t>
      </w:r>
    </w:p>
    <w:p w14:paraId="2FDEF37A" w14:textId="77777777" w:rsidR="001118F7" w:rsidRPr="00C56B34" w:rsidRDefault="001118F7" w:rsidP="001118F7">
      <w:pPr>
        <w:spacing w:line="240" w:lineRule="auto"/>
        <w:ind w:left="567" w:hanging="567"/>
        <w:rPr>
          <w:noProof/>
          <w:szCs w:val="22"/>
        </w:rPr>
      </w:pPr>
    </w:p>
    <w:p w14:paraId="172F6DA8" w14:textId="77777777" w:rsidR="001118F7" w:rsidRPr="00C56B34" w:rsidRDefault="001118F7" w:rsidP="001118F7">
      <w:pPr>
        <w:spacing w:line="240" w:lineRule="auto"/>
        <w:ind w:left="567" w:hanging="567"/>
        <w:rPr>
          <w:noProof/>
          <w:szCs w:val="22"/>
        </w:rPr>
      </w:pPr>
    </w:p>
    <w:p w14:paraId="118E93CF" w14:textId="77777777" w:rsidR="001118F7" w:rsidRPr="00C56B34" w:rsidRDefault="001D0951" w:rsidP="001118F7">
      <w:pPr>
        <w:pBdr>
          <w:top w:val="single" w:sz="4" w:space="1" w:color="auto"/>
          <w:left w:val="single" w:sz="4" w:space="4" w:color="auto"/>
          <w:bottom w:val="single" w:sz="4" w:space="1" w:color="auto"/>
          <w:right w:val="single" w:sz="4" w:space="4" w:color="auto"/>
        </w:pBdr>
        <w:spacing w:line="240" w:lineRule="auto"/>
        <w:ind w:left="567" w:hanging="567"/>
        <w:outlineLvl w:val="0"/>
        <w:rPr>
          <w:b/>
          <w:noProof/>
          <w:szCs w:val="22"/>
        </w:rPr>
      </w:pPr>
      <w:r w:rsidRPr="00C56B34">
        <w:rPr>
          <w:b/>
          <w:noProof/>
          <w:szCs w:val="22"/>
        </w:rPr>
        <w:t>10.</w:t>
      </w:r>
      <w:r w:rsidRPr="00C56B34">
        <w:rPr>
          <w:b/>
          <w:noProof/>
          <w:szCs w:val="22"/>
        </w:rPr>
        <w:tab/>
        <w:t>SPECIAL PRECAUTIONS FOR DISPOSAL OF UNUSED MEDICINAL PRODUCTS OR WASTE MATERIALS DERIVED FROM SUCH MEDICINAL PRODUCTS, IF APPROPRIATE</w:t>
      </w:r>
    </w:p>
    <w:p w14:paraId="25C93482" w14:textId="77777777" w:rsidR="001118F7" w:rsidRPr="00C56B34" w:rsidRDefault="001118F7" w:rsidP="001118F7">
      <w:pPr>
        <w:spacing w:line="240" w:lineRule="auto"/>
        <w:rPr>
          <w:noProof/>
          <w:szCs w:val="22"/>
        </w:rPr>
      </w:pPr>
    </w:p>
    <w:p w14:paraId="32F01D91" w14:textId="77777777" w:rsidR="001118F7" w:rsidRPr="00C56B34" w:rsidRDefault="001118F7" w:rsidP="001118F7">
      <w:pPr>
        <w:spacing w:line="240" w:lineRule="auto"/>
        <w:rPr>
          <w:noProof/>
          <w:szCs w:val="22"/>
        </w:rPr>
      </w:pPr>
    </w:p>
    <w:p w14:paraId="40AB224F" w14:textId="77777777" w:rsidR="001118F7" w:rsidRPr="00C56B34" w:rsidRDefault="001D0951" w:rsidP="001118F7">
      <w:pPr>
        <w:pBdr>
          <w:top w:val="single" w:sz="4" w:space="1" w:color="auto"/>
          <w:left w:val="single" w:sz="4" w:space="4" w:color="auto"/>
          <w:bottom w:val="single" w:sz="4" w:space="1" w:color="auto"/>
          <w:right w:val="single" w:sz="4" w:space="4" w:color="auto"/>
        </w:pBdr>
        <w:spacing w:line="240" w:lineRule="auto"/>
        <w:outlineLvl w:val="0"/>
        <w:rPr>
          <w:b/>
          <w:noProof/>
          <w:szCs w:val="22"/>
        </w:rPr>
      </w:pPr>
      <w:r w:rsidRPr="00C56B34">
        <w:rPr>
          <w:b/>
          <w:noProof/>
          <w:szCs w:val="22"/>
        </w:rPr>
        <w:t>11.</w:t>
      </w:r>
      <w:r w:rsidRPr="00C56B34">
        <w:rPr>
          <w:b/>
          <w:noProof/>
          <w:szCs w:val="22"/>
        </w:rPr>
        <w:tab/>
        <w:t>NAME AND ADDRESS OF THE MARKETING AUTHORISATION HOLDER</w:t>
      </w:r>
    </w:p>
    <w:p w14:paraId="00501A5A" w14:textId="77777777" w:rsidR="001118F7" w:rsidRPr="00C56B34" w:rsidRDefault="001118F7" w:rsidP="001118F7">
      <w:pPr>
        <w:spacing w:line="240" w:lineRule="auto"/>
        <w:rPr>
          <w:noProof/>
          <w:szCs w:val="22"/>
        </w:rPr>
      </w:pPr>
    </w:p>
    <w:p w14:paraId="1C0FA685" w14:textId="77777777" w:rsidR="009B3D1F" w:rsidRDefault="001D0951" w:rsidP="009B3D1F">
      <w:pPr>
        <w:spacing w:line="240" w:lineRule="auto"/>
        <w:rPr>
          <w:lang w:eastAsia="en-GB"/>
        </w:rPr>
      </w:pPr>
      <w:r>
        <w:rPr>
          <w:lang w:eastAsia="en-GB"/>
        </w:rPr>
        <w:t>Kyowa Kirin Holdings B.V.</w:t>
      </w:r>
    </w:p>
    <w:p w14:paraId="1F73FC29" w14:textId="77777777" w:rsidR="009B3D1F" w:rsidRDefault="001D0951" w:rsidP="009B3D1F">
      <w:pPr>
        <w:spacing w:line="240" w:lineRule="auto"/>
        <w:rPr>
          <w:lang w:eastAsia="en-GB"/>
        </w:rPr>
      </w:pPr>
      <w:proofErr w:type="spellStart"/>
      <w:r>
        <w:rPr>
          <w:lang w:eastAsia="en-GB"/>
        </w:rPr>
        <w:t>Bloemlaan</w:t>
      </w:r>
      <w:proofErr w:type="spellEnd"/>
      <w:r>
        <w:rPr>
          <w:lang w:eastAsia="en-GB"/>
        </w:rPr>
        <w:t xml:space="preserve"> 2</w:t>
      </w:r>
    </w:p>
    <w:p w14:paraId="3F9D6977" w14:textId="77777777" w:rsidR="009B3D1F" w:rsidRDefault="001D0951" w:rsidP="009B3D1F">
      <w:pPr>
        <w:spacing w:line="240" w:lineRule="auto"/>
        <w:rPr>
          <w:lang w:eastAsia="en-GB"/>
        </w:rPr>
      </w:pPr>
      <w:r>
        <w:rPr>
          <w:lang w:eastAsia="en-GB"/>
        </w:rPr>
        <w:t xml:space="preserve">2132NP </w:t>
      </w:r>
      <w:proofErr w:type="spellStart"/>
      <w:r>
        <w:rPr>
          <w:lang w:eastAsia="en-GB"/>
        </w:rPr>
        <w:t>Hoofddorp</w:t>
      </w:r>
      <w:proofErr w:type="spellEnd"/>
    </w:p>
    <w:p w14:paraId="14E3D964" w14:textId="77777777" w:rsidR="001118F7" w:rsidRPr="00BA4BF5" w:rsidRDefault="001D0951" w:rsidP="5F2EC82B">
      <w:pPr>
        <w:spacing w:line="240" w:lineRule="auto"/>
        <w:rPr>
          <w:noProof/>
        </w:rPr>
      </w:pPr>
      <w:r>
        <w:rPr>
          <w:lang w:eastAsia="en-GB"/>
        </w:rPr>
        <w:t>The Netherlands</w:t>
      </w:r>
      <w:r w:rsidRPr="5F2EC82B">
        <w:rPr>
          <w:lang w:eastAsia="en-GB"/>
        </w:rPr>
        <w:t xml:space="preserve"> </w:t>
      </w:r>
    </w:p>
    <w:p w14:paraId="04179F08" w14:textId="77777777" w:rsidR="001118F7" w:rsidRPr="00C56B34" w:rsidRDefault="001118F7" w:rsidP="001118F7">
      <w:pPr>
        <w:spacing w:line="240" w:lineRule="auto"/>
        <w:rPr>
          <w:noProof/>
          <w:szCs w:val="22"/>
        </w:rPr>
      </w:pPr>
    </w:p>
    <w:p w14:paraId="193CB73F" w14:textId="77777777" w:rsidR="001118F7" w:rsidRPr="00C56B34" w:rsidRDefault="001118F7" w:rsidP="001118F7">
      <w:pPr>
        <w:spacing w:line="240" w:lineRule="auto"/>
        <w:rPr>
          <w:noProof/>
          <w:szCs w:val="22"/>
        </w:rPr>
      </w:pPr>
    </w:p>
    <w:p w14:paraId="494EAE59" w14:textId="77777777" w:rsidR="001118F7" w:rsidRPr="00C56B34" w:rsidRDefault="001D0951" w:rsidP="001118F7">
      <w:pPr>
        <w:pBdr>
          <w:top w:val="single" w:sz="4" w:space="1" w:color="auto"/>
          <w:left w:val="single" w:sz="4" w:space="4" w:color="auto"/>
          <w:bottom w:val="single" w:sz="4" w:space="1" w:color="auto"/>
          <w:right w:val="single" w:sz="4" w:space="4" w:color="auto"/>
        </w:pBdr>
        <w:spacing w:line="240" w:lineRule="auto"/>
        <w:outlineLvl w:val="0"/>
        <w:rPr>
          <w:noProof/>
          <w:szCs w:val="22"/>
        </w:rPr>
      </w:pPr>
      <w:r w:rsidRPr="00C56B34">
        <w:rPr>
          <w:b/>
          <w:noProof/>
          <w:szCs w:val="22"/>
        </w:rPr>
        <w:t>12.</w:t>
      </w:r>
      <w:r w:rsidRPr="00C56B34">
        <w:rPr>
          <w:b/>
          <w:noProof/>
          <w:szCs w:val="22"/>
        </w:rPr>
        <w:tab/>
        <w:t xml:space="preserve">MARKETING AUTHORISATION NUMBER(S) </w:t>
      </w:r>
    </w:p>
    <w:p w14:paraId="6A836A97" w14:textId="77777777" w:rsidR="001118F7" w:rsidRPr="00C56B34" w:rsidRDefault="001118F7" w:rsidP="001118F7">
      <w:pPr>
        <w:spacing w:line="240" w:lineRule="auto"/>
        <w:rPr>
          <w:noProof/>
          <w:szCs w:val="22"/>
        </w:rPr>
      </w:pPr>
    </w:p>
    <w:p w14:paraId="4E9D1007" w14:textId="77777777" w:rsidR="001118F7" w:rsidRPr="00FF49A3" w:rsidRDefault="001D0951" w:rsidP="001118F7">
      <w:pPr>
        <w:spacing w:line="240" w:lineRule="auto"/>
        <w:outlineLvl w:val="0"/>
        <w:rPr>
          <w:noProof/>
          <w:szCs w:val="22"/>
          <w:lang w:val="en-US"/>
        </w:rPr>
      </w:pPr>
      <w:r>
        <w:rPr>
          <w:noProof/>
          <w:szCs w:val="22"/>
        </w:rPr>
        <w:t>EU/1/17/1262/003</w:t>
      </w:r>
    </w:p>
    <w:p w14:paraId="7A7CA8F7" w14:textId="77777777" w:rsidR="001118F7" w:rsidRPr="00FF49A3" w:rsidRDefault="001118F7" w:rsidP="001118F7">
      <w:pPr>
        <w:spacing w:line="240" w:lineRule="auto"/>
        <w:rPr>
          <w:noProof/>
          <w:szCs w:val="22"/>
          <w:lang w:val="en-US"/>
        </w:rPr>
      </w:pPr>
    </w:p>
    <w:p w14:paraId="1B6B166D" w14:textId="77777777" w:rsidR="001118F7" w:rsidRPr="00FF49A3" w:rsidRDefault="001118F7" w:rsidP="001118F7">
      <w:pPr>
        <w:spacing w:line="240" w:lineRule="auto"/>
        <w:rPr>
          <w:noProof/>
          <w:szCs w:val="22"/>
          <w:lang w:val="en-US"/>
        </w:rPr>
      </w:pPr>
    </w:p>
    <w:p w14:paraId="76480F76" w14:textId="77777777" w:rsidR="001118F7" w:rsidRPr="00FF49A3" w:rsidRDefault="001D0951" w:rsidP="001118F7">
      <w:pPr>
        <w:pBdr>
          <w:top w:val="single" w:sz="4" w:space="1" w:color="auto"/>
          <w:left w:val="single" w:sz="4" w:space="4" w:color="auto"/>
          <w:bottom w:val="single" w:sz="4" w:space="1" w:color="auto"/>
          <w:right w:val="single" w:sz="4" w:space="4" w:color="auto"/>
        </w:pBdr>
        <w:spacing w:line="240" w:lineRule="auto"/>
        <w:outlineLvl w:val="0"/>
        <w:rPr>
          <w:noProof/>
          <w:szCs w:val="22"/>
          <w:lang w:val="en-US"/>
        </w:rPr>
      </w:pPr>
      <w:r w:rsidRPr="00FF49A3">
        <w:rPr>
          <w:b/>
          <w:noProof/>
          <w:szCs w:val="22"/>
          <w:lang w:val="en-US"/>
        </w:rPr>
        <w:t>13.</w:t>
      </w:r>
      <w:r w:rsidRPr="00FF49A3">
        <w:rPr>
          <w:b/>
          <w:noProof/>
          <w:szCs w:val="22"/>
          <w:lang w:val="en-US"/>
        </w:rPr>
        <w:tab/>
        <w:t>BATCH NUMBER</w:t>
      </w:r>
    </w:p>
    <w:p w14:paraId="45862717" w14:textId="77777777" w:rsidR="001118F7" w:rsidRPr="00FF49A3" w:rsidRDefault="001118F7" w:rsidP="001118F7">
      <w:pPr>
        <w:spacing w:line="240" w:lineRule="auto"/>
        <w:rPr>
          <w:noProof/>
          <w:szCs w:val="22"/>
          <w:lang w:val="en-US"/>
        </w:rPr>
      </w:pPr>
    </w:p>
    <w:p w14:paraId="469675B2" w14:textId="77777777" w:rsidR="001118F7" w:rsidRPr="00FF49A3" w:rsidRDefault="001D0951" w:rsidP="001118F7">
      <w:pPr>
        <w:spacing w:line="240" w:lineRule="auto"/>
        <w:rPr>
          <w:noProof/>
          <w:szCs w:val="22"/>
          <w:lang w:val="en-US"/>
        </w:rPr>
      </w:pPr>
      <w:r w:rsidRPr="00FF49A3">
        <w:rPr>
          <w:noProof/>
          <w:szCs w:val="22"/>
          <w:lang w:val="en-US"/>
        </w:rPr>
        <w:t>Lot</w:t>
      </w:r>
    </w:p>
    <w:p w14:paraId="152E0D6D" w14:textId="77777777" w:rsidR="001118F7" w:rsidRPr="00FF49A3" w:rsidRDefault="001118F7" w:rsidP="001118F7">
      <w:pPr>
        <w:spacing w:line="240" w:lineRule="auto"/>
        <w:rPr>
          <w:noProof/>
          <w:szCs w:val="22"/>
          <w:lang w:val="en-US"/>
        </w:rPr>
      </w:pPr>
    </w:p>
    <w:p w14:paraId="22C5C752" w14:textId="77777777" w:rsidR="001118F7" w:rsidRPr="00FF49A3" w:rsidRDefault="001118F7" w:rsidP="001118F7">
      <w:pPr>
        <w:spacing w:line="240" w:lineRule="auto"/>
        <w:rPr>
          <w:noProof/>
          <w:szCs w:val="22"/>
          <w:lang w:val="en-US"/>
        </w:rPr>
      </w:pPr>
    </w:p>
    <w:p w14:paraId="187C5B86" w14:textId="77777777" w:rsidR="001118F7" w:rsidRPr="00C56B34" w:rsidRDefault="001D0951" w:rsidP="001118F7">
      <w:pPr>
        <w:pBdr>
          <w:top w:val="single" w:sz="4" w:space="1" w:color="auto"/>
          <w:left w:val="single" w:sz="4" w:space="4" w:color="auto"/>
          <w:bottom w:val="single" w:sz="4" w:space="1" w:color="auto"/>
          <w:right w:val="single" w:sz="4" w:space="4" w:color="auto"/>
        </w:pBdr>
        <w:spacing w:line="240" w:lineRule="auto"/>
        <w:outlineLvl w:val="0"/>
        <w:rPr>
          <w:noProof/>
          <w:szCs w:val="22"/>
        </w:rPr>
      </w:pPr>
      <w:r w:rsidRPr="00C56B34">
        <w:rPr>
          <w:b/>
          <w:noProof/>
          <w:szCs w:val="22"/>
        </w:rPr>
        <w:t>14.</w:t>
      </w:r>
      <w:r w:rsidRPr="00C56B34">
        <w:rPr>
          <w:b/>
          <w:noProof/>
          <w:szCs w:val="22"/>
        </w:rPr>
        <w:tab/>
        <w:t>GENERAL CLASSIFICATION FOR SUPPLY</w:t>
      </w:r>
    </w:p>
    <w:p w14:paraId="75CFE923" w14:textId="77777777" w:rsidR="001118F7" w:rsidRPr="00C56B34" w:rsidRDefault="001118F7" w:rsidP="001118F7">
      <w:pPr>
        <w:spacing w:line="240" w:lineRule="auto"/>
        <w:rPr>
          <w:i/>
          <w:noProof/>
          <w:szCs w:val="22"/>
        </w:rPr>
      </w:pPr>
    </w:p>
    <w:p w14:paraId="442FCC2A" w14:textId="77777777" w:rsidR="001118F7" w:rsidRPr="00C56B34" w:rsidRDefault="001118F7" w:rsidP="001118F7">
      <w:pPr>
        <w:spacing w:line="240" w:lineRule="auto"/>
        <w:rPr>
          <w:noProof/>
          <w:szCs w:val="22"/>
        </w:rPr>
      </w:pPr>
    </w:p>
    <w:p w14:paraId="78B84930" w14:textId="77777777" w:rsidR="001118F7" w:rsidRPr="00C56B34" w:rsidRDefault="001D0951" w:rsidP="001118F7">
      <w:pPr>
        <w:pBdr>
          <w:top w:val="single" w:sz="4" w:space="2" w:color="auto"/>
          <w:left w:val="single" w:sz="4" w:space="4" w:color="auto"/>
          <w:bottom w:val="single" w:sz="4" w:space="1" w:color="auto"/>
          <w:right w:val="single" w:sz="4" w:space="4" w:color="auto"/>
        </w:pBdr>
        <w:spacing w:line="240" w:lineRule="auto"/>
        <w:outlineLvl w:val="0"/>
        <w:rPr>
          <w:noProof/>
          <w:szCs w:val="22"/>
        </w:rPr>
      </w:pPr>
      <w:r w:rsidRPr="00C56B34">
        <w:rPr>
          <w:b/>
          <w:noProof/>
          <w:szCs w:val="22"/>
        </w:rPr>
        <w:t>15.</w:t>
      </w:r>
      <w:r w:rsidRPr="00C56B34">
        <w:rPr>
          <w:b/>
          <w:noProof/>
          <w:szCs w:val="22"/>
        </w:rPr>
        <w:tab/>
        <w:t>INSTRUCTIONS ON USE</w:t>
      </w:r>
    </w:p>
    <w:p w14:paraId="50DC9FC9" w14:textId="77777777" w:rsidR="001118F7" w:rsidRPr="00C56B34" w:rsidRDefault="001118F7" w:rsidP="001118F7">
      <w:pPr>
        <w:spacing w:line="240" w:lineRule="auto"/>
        <w:rPr>
          <w:noProof/>
          <w:szCs w:val="22"/>
        </w:rPr>
      </w:pPr>
    </w:p>
    <w:p w14:paraId="3AEACAD8" w14:textId="77777777" w:rsidR="001118F7" w:rsidRPr="00C56B34" w:rsidRDefault="001118F7" w:rsidP="001118F7">
      <w:pPr>
        <w:spacing w:line="240" w:lineRule="auto"/>
        <w:rPr>
          <w:noProof/>
          <w:szCs w:val="22"/>
        </w:rPr>
      </w:pPr>
    </w:p>
    <w:p w14:paraId="5C749EBA" w14:textId="77777777" w:rsidR="001118F7" w:rsidRPr="00C56B34" w:rsidRDefault="001D0951" w:rsidP="001118F7">
      <w:pPr>
        <w:pBdr>
          <w:top w:val="single" w:sz="4" w:space="1" w:color="auto"/>
          <w:left w:val="single" w:sz="4" w:space="4" w:color="auto"/>
          <w:bottom w:val="single" w:sz="4" w:space="0" w:color="auto"/>
          <w:right w:val="single" w:sz="4" w:space="4" w:color="auto"/>
        </w:pBdr>
        <w:spacing w:line="240" w:lineRule="auto"/>
        <w:rPr>
          <w:noProof/>
          <w:szCs w:val="22"/>
        </w:rPr>
      </w:pPr>
      <w:r w:rsidRPr="00C56B34">
        <w:rPr>
          <w:b/>
          <w:noProof/>
          <w:szCs w:val="22"/>
        </w:rPr>
        <w:t>16.</w:t>
      </w:r>
      <w:r w:rsidRPr="00C56B34">
        <w:rPr>
          <w:b/>
          <w:noProof/>
          <w:szCs w:val="22"/>
        </w:rPr>
        <w:tab/>
        <w:t>INFORMATION IN BRAILLE</w:t>
      </w:r>
    </w:p>
    <w:p w14:paraId="00FA32BF" w14:textId="77777777" w:rsidR="001118F7" w:rsidRPr="00C56B34" w:rsidRDefault="001118F7" w:rsidP="001118F7">
      <w:pPr>
        <w:spacing w:line="240" w:lineRule="auto"/>
        <w:rPr>
          <w:noProof/>
          <w:szCs w:val="22"/>
        </w:rPr>
      </w:pPr>
    </w:p>
    <w:p w14:paraId="19796F74" w14:textId="77777777" w:rsidR="001118F7" w:rsidRPr="00C56B34" w:rsidRDefault="001D0951" w:rsidP="001118F7">
      <w:pPr>
        <w:spacing w:line="240" w:lineRule="auto"/>
        <w:rPr>
          <w:noProof/>
          <w:szCs w:val="22"/>
          <w:shd w:val="clear" w:color="auto" w:fill="CCCCCC"/>
        </w:rPr>
      </w:pPr>
      <w:r w:rsidRPr="00C56B34">
        <w:rPr>
          <w:noProof/>
          <w:szCs w:val="22"/>
          <w:shd w:val="clear" w:color="auto" w:fill="CCCCCC"/>
        </w:rPr>
        <w:t>Justification for not including Braille accepted.</w:t>
      </w:r>
    </w:p>
    <w:p w14:paraId="62B5731B" w14:textId="77777777" w:rsidR="001118F7" w:rsidRPr="00C56B34" w:rsidRDefault="001118F7" w:rsidP="001118F7">
      <w:pPr>
        <w:spacing w:line="240" w:lineRule="auto"/>
        <w:rPr>
          <w:noProof/>
          <w:szCs w:val="22"/>
          <w:shd w:val="clear" w:color="auto" w:fill="CCCCCC"/>
        </w:rPr>
      </w:pPr>
    </w:p>
    <w:p w14:paraId="660DC077" w14:textId="77777777" w:rsidR="001118F7" w:rsidRPr="00C56B34" w:rsidRDefault="001118F7" w:rsidP="001118F7">
      <w:pPr>
        <w:spacing w:line="240" w:lineRule="auto"/>
        <w:rPr>
          <w:noProof/>
          <w:szCs w:val="22"/>
          <w:shd w:val="clear" w:color="auto" w:fill="CCCCCC"/>
        </w:rPr>
      </w:pPr>
    </w:p>
    <w:p w14:paraId="389D7BBC" w14:textId="77777777" w:rsidR="001118F7" w:rsidRPr="00662578" w:rsidRDefault="001D0951" w:rsidP="001118F7">
      <w:pPr>
        <w:pBdr>
          <w:top w:val="single" w:sz="4" w:space="1" w:color="auto"/>
          <w:left w:val="single" w:sz="4" w:space="4" w:color="auto"/>
          <w:bottom w:val="single" w:sz="4" w:space="0" w:color="auto"/>
          <w:right w:val="single" w:sz="4" w:space="4" w:color="auto"/>
        </w:pBdr>
        <w:tabs>
          <w:tab w:val="clear" w:pos="567"/>
        </w:tabs>
        <w:spacing w:line="240" w:lineRule="auto"/>
        <w:rPr>
          <w:i/>
          <w:noProof/>
          <w:szCs w:val="22"/>
        </w:rPr>
      </w:pPr>
      <w:r w:rsidRPr="00662578">
        <w:rPr>
          <w:b/>
          <w:noProof/>
          <w:szCs w:val="22"/>
        </w:rPr>
        <w:t>17.</w:t>
      </w:r>
      <w:r w:rsidRPr="00662578">
        <w:rPr>
          <w:b/>
          <w:noProof/>
          <w:szCs w:val="22"/>
        </w:rPr>
        <w:tab/>
        <w:t>UNIQUE IDENTIFIER – 2D BARCODE</w:t>
      </w:r>
    </w:p>
    <w:p w14:paraId="0CA0A15C" w14:textId="77777777" w:rsidR="001118F7" w:rsidRPr="00662578" w:rsidRDefault="001118F7" w:rsidP="001118F7">
      <w:pPr>
        <w:tabs>
          <w:tab w:val="clear" w:pos="567"/>
        </w:tabs>
        <w:spacing w:line="240" w:lineRule="auto"/>
        <w:rPr>
          <w:noProof/>
          <w:szCs w:val="22"/>
        </w:rPr>
      </w:pPr>
    </w:p>
    <w:p w14:paraId="095AF388" w14:textId="77777777" w:rsidR="001118F7" w:rsidRPr="00C56B34" w:rsidRDefault="001D0951" w:rsidP="001118F7">
      <w:pPr>
        <w:spacing w:line="240" w:lineRule="auto"/>
        <w:rPr>
          <w:noProof/>
          <w:szCs w:val="22"/>
          <w:shd w:val="clear" w:color="auto" w:fill="CCCCCC"/>
        </w:rPr>
      </w:pPr>
      <w:r w:rsidRPr="00662578">
        <w:rPr>
          <w:noProof/>
          <w:szCs w:val="22"/>
          <w:highlight w:val="lightGray"/>
        </w:rPr>
        <w:t>2D barcode carrying the unique identifier included.</w:t>
      </w:r>
    </w:p>
    <w:p w14:paraId="013D6939" w14:textId="77777777" w:rsidR="001118F7" w:rsidRPr="00662578" w:rsidRDefault="001118F7" w:rsidP="001118F7">
      <w:pPr>
        <w:tabs>
          <w:tab w:val="clear" w:pos="567"/>
        </w:tabs>
        <w:spacing w:line="240" w:lineRule="auto"/>
        <w:rPr>
          <w:noProof/>
          <w:szCs w:val="22"/>
        </w:rPr>
      </w:pPr>
    </w:p>
    <w:p w14:paraId="2BFA67C1" w14:textId="77777777" w:rsidR="001118F7" w:rsidRPr="00662578" w:rsidRDefault="001118F7" w:rsidP="001118F7">
      <w:pPr>
        <w:tabs>
          <w:tab w:val="clear" w:pos="567"/>
        </w:tabs>
        <w:spacing w:line="240" w:lineRule="auto"/>
        <w:rPr>
          <w:noProof/>
          <w:szCs w:val="22"/>
        </w:rPr>
      </w:pPr>
    </w:p>
    <w:p w14:paraId="406B2BDC" w14:textId="77777777" w:rsidR="001118F7" w:rsidRPr="00662578" w:rsidRDefault="001D0951" w:rsidP="001118F7">
      <w:pPr>
        <w:keepNext/>
        <w:keepLines/>
        <w:pBdr>
          <w:top w:val="single" w:sz="4" w:space="1" w:color="auto"/>
          <w:left w:val="single" w:sz="4" w:space="4" w:color="auto"/>
          <w:bottom w:val="single" w:sz="4" w:space="0" w:color="auto"/>
          <w:right w:val="single" w:sz="4" w:space="4" w:color="auto"/>
        </w:pBdr>
        <w:tabs>
          <w:tab w:val="clear" w:pos="567"/>
        </w:tabs>
        <w:spacing w:line="240" w:lineRule="auto"/>
        <w:rPr>
          <w:i/>
          <w:noProof/>
          <w:szCs w:val="22"/>
        </w:rPr>
      </w:pPr>
      <w:r w:rsidRPr="00662578">
        <w:rPr>
          <w:b/>
          <w:noProof/>
          <w:szCs w:val="22"/>
        </w:rPr>
        <w:t>18.</w:t>
      </w:r>
      <w:r w:rsidRPr="00662578">
        <w:rPr>
          <w:b/>
          <w:noProof/>
          <w:szCs w:val="22"/>
        </w:rPr>
        <w:tab/>
        <w:t>UNIQUE IDENTIFIER - HUMAN READABLE DATA</w:t>
      </w:r>
    </w:p>
    <w:p w14:paraId="6A7E669B" w14:textId="77777777" w:rsidR="001118F7" w:rsidRPr="00B96FD0" w:rsidRDefault="001118F7" w:rsidP="003C65AC">
      <w:pPr>
        <w:tabs>
          <w:tab w:val="clear" w:pos="567"/>
        </w:tabs>
        <w:spacing w:line="240" w:lineRule="auto"/>
        <w:rPr>
          <w:noProof/>
          <w:szCs w:val="22"/>
        </w:rPr>
      </w:pPr>
    </w:p>
    <w:p w14:paraId="0E333C00" w14:textId="190C5D38" w:rsidR="001118F7" w:rsidRPr="00BA4BF5" w:rsidRDefault="001D0951" w:rsidP="5F2EC82B">
      <w:pPr>
        <w:keepNext/>
        <w:keepLines/>
        <w:spacing w:line="240" w:lineRule="auto"/>
        <w:rPr>
          <w:highlight w:val="lightGray"/>
        </w:rPr>
      </w:pPr>
      <w:r w:rsidRPr="5F2EC82B">
        <w:rPr>
          <w:highlight w:val="lightGray"/>
        </w:rPr>
        <w:t xml:space="preserve">PC </w:t>
      </w:r>
    </w:p>
    <w:p w14:paraId="5E9190DC" w14:textId="0A60ED43" w:rsidR="001118F7" w:rsidRPr="00BA4BF5" w:rsidRDefault="001D0951" w:rsidP="5F2EC82B">
      <w:pPr>
        <w:keepNext/>
        <w:keepLines/>
        <w:spacing w:line="240" w:lineRule="auto"/>
        <w:rPr>
          <w:highlight w:val="lightGray"/>
        </w:rPr>
      </w:pPr>
      <w:r w:rsidRPr="5F2EC82B">
        <w:rPr>
          <w:highlight w:val="lightGray"/>
        </w:rPr>
        <w:t xml:space="preserve">SN </w:t>
      </w:r>
    </w:p>
    <w:p w14:paraId="116F1EFE" w14:textId="437AD47E" w:rsidR="001118F7" w:rsidRPr="00C56B34" w:rsidRDefault="001D0951" w:rsidP="50BD9E82">
      <w:pPr>
        <w:keepNext/>
        <w:keepLines/>
        <w:spacing w:line="240" w:lineRule="auto"/>
        <w:rPr>
          <w:szCs w:val="22"/>
        </w:rPr>
      </w:pPr>
      <w:r w:rsidRPr="5F2EC82B">
        <w:rPr>
          <w:highlight w:val="lightGray"/>
        </w:rPr>
        <w:t xml:space="preserve">NN </w:t>
      </w:r>
    </w:p>
    <w:p w14:paraId="6F04AC4B" w14:textId="77777777" w:rsidR="001118F7" w:rsidRPr="003C65AC" w:rsidRDefault="001118F7" w:rsidP="003C65AC">
      <w:pPr>
        <w:tabs>
          <w:tab w:val="clear" w:pos="567"/>
        </w:tabs>
        <w:spacing w:line="240" w:lineRule="auto"/>
        <w:rPr>
          <w:noProof/>
          <w:szCs w:val="22"/>
        </w:rPr>
      </w:pPr>
    </w:p>
    <w:p w14:paraId="2152B807" w14:textId="77777777" w:rsidR="00E27790" w:rsidRPr="00C56B34" w:rsidRDefault="001D0951" w:rsidP="00E27790">
      <w:pPr>
        <w:pBdr>
          <w:top w:val="single" w:sz="4" w:space="1" w:color="auto"/>
          <w:left w:val="single" w:sz="4" w:space="4" w:color="auto"/>
          <w:bottom w:val="single" w:sz="4" w:space="1" w:color="auto"/>
          <w:right w:val="single" w:sz="4" w:space="4" w:color="auto"/>
        </w:pBdr>
        <w:spacing w:line="240" w:lineRule="auto"/>
        <w:rPr>
          <w:b/>
          <w:noProof/>
          <w:szCs w:val="22"/>
        </w:rPr>
      </w:pPr>
      <w:r>
        <w:rPr>
          <w:noProof/>
          <w:szCs w:val="22"/>
        </w:rPr>
        <w:br w:type="page"/>
      </w:r>
      <w:r w:rsidRPr="00C56B34">
        <w:rPr>
          <w:b/>
          <w:noProof/>
          <w:szCs w:val="22"/>
        </w:rPr>
        <w:lastRenderedPageBreak/>
        <w:t>MINIMUM PARTICULARS TO APPEAR ON SMALL IMMEDIATE PACKAGING UNITS</w:t>
      </w:r>
    </w:p>
    <w:p w14:paraId="7D6AA4E7" w14:textId="77777777" w:rsidR="00E27790" w:rsidRPr="00C56B34" w:rsidRDefault="00E27790" w:rsidP="00E27790">
      <w:pPr>
        <w:pBdr>
          <w:top w:val="single" w:sz="4" w:space="1" w:color="auto"/>
          <w:left w:val="single" w:sz="4" w:space="4" w:color="auto"/>
          <w:bottom w:val="single" w:sz="4" w:space="1" w:color="auto"/>
          <w:right w:val="single" w:sz="4" w:space="4" w:color="auto"/>
        </w:pBdr>
        <w:spacing w:line="240" w:lineRule="auto"/>
        <w:rPr>
          <w:b/>
          <w:noProof/>
          <w:szCs w:val="22"/>
        </w:rPr>
      </w:pPr>
    </w:p>
    <w:p w14:paraId="7F45333E" w14:textId="77777777" w:rsidR="00E27790" w:rsidRPr="00C56B34" w:rsidRDefault="001D0951" w:rsidP="00E27790">
      <w:pPr>
        <w:pBdr>
          <w:top w:val="single" w:sz="4" w:space="1" w:color="auto"/>
          <w:left w:val="single" w:sz="4" w:space="4" w:color="auto"/>
          <w:bottom w:val="single" w:sz="4" w:space="1" w:color="auto"/>
          <w:right w:val="single" w:sz="4" w:space="4" w:color="auto"/>
        </w:pBdr>
        <w:spacing w:line="240" w:lineRule="auto"/>
        <w:rPr>
          <w:b/>
          <w:noProof/>
          <w:szCs w:val="22"/>
        </w:rPr>
      </w:pPr>
      <w:r>
        <w:rPr>
          <w:b/>
          <w:noProof/>
          <w:szCs w:val="22"/>
        </w:rPr>
        <w:t>3</w:t>
      </w:r>
      <w:r w:rsidRPr="00C56B34">
        <w:rPr>
          <w:b/>
          <w:noProof/>
          <w:szCs w:val="22"/>
        </w:rPr>
        <w:t xml:space="preserve">0 mg VIAL </w:t>
      </w:r>
    </w:p>
    <w:p w14:paraId="1CCBBF25" w14:textId="77777777" w:rsidR="00E27790" w:rsidRPr="00C56B34" w:rsidRDefault="00E27790" w:rsidP="00E27790">
      <w:pPr>
        <w:spacing w:line="240" w:lineRule="auto"/>
        <w:rPr>
          <w:noProof/>
          <w:szCs w:val="22"/>
        </w:rPr>
      </w:pPr>
    </w:p>
    <w:p w14:paraId="4F70BE64" w14:textId="77777777" w:rsidR="00E27790" w:rsidRPr="00C56B34" w:rsidRDefault="00E27790" w:rsidP="00E27790">
      <w:pPr>
        <w:spacing w:line="240" w:lineRule="auto"/>
        <w:rPr>
          <w:noProof/>
          <w:szCs w:val="22"/>
        </w:rPr>
      </w:pPr>
    </w:p>
    <w:p w14:paraId="3344D4E6" w14:textId="77777777" w:rsidR="00E27790" w:rsidRPr="00C56B34" w:rsidRDefault="001D0951" w:rsidP="00E27790">
      <w:pPr>
        <w:pBdr>
          <w:top w:val="single" w:sz="4" w:space="1" w:color="auto"/>
          <w:left w:val="single" w:sz="4" w:space="4" w:color="auto"/>
          <w:bottom w:val="single" w:sz="4" w:space="1" w:color="auto"/>
          <w:right w:val="single" w:sz="4" w:space="4" w:color="auto"/>
        </w:pBdr>
        <w:spacing w:line="240" w:lineRule="auto"/>
        <w:outlineLvl w:val="0"/>
        <w:rPr>
          <w:b/>
          <w:noProof/>
          <w:szCs w:val="22"/>
        </w:rPr>
      </w:pPr>
      <w:r w:rsidRPr="00C56B34">
        <w:rPr>
          <w:b/>
          <w:noProof/>
          <w:szCs w:val="22"/>
        </w:rPr>
        <w:t>1.</w:t>
      </w:r>
      <w:r w:rsidRPr="00C56B34">
        <w:rPr>
          <w:b/>
          <w:noProof/>
          <w:szCs w:val="22"/>
        </w:rPr>
        <w:tab/>
        <w:t>NAME OF THE MEDICINAL PRODUCT AND ROUTE(S) OF ADMINISTRATION</w:t>
      </w:r>
    </w:p>
    <w:p w14:paraId="72A85BD6" w14:textId="77777777" w:rsidR="00E27790" w:rsidRPr="00C56B34" w:rsidRDefault="00E27790" w:rsidP="00E27790">
      <w:pPr>
        <w:spacing w:line="240" w:lineRule="auto"/>
        <w:ind w:left="567" w:hanging="567"/>
        <w:rPr>
          <w:noProof/>
          <w:szCs w:val="22"/>
        </w:rPr>
      </w:pPr>
    </w:p>
    <w:p w14:paraId="3FD80A3E" w14:textId="77777777" w:rsidR="00E27790" w:rsidRPr="00BA4BF5" w:rsidRDefault="001D0951" w:rsidP="00E27790">
      <w:pPr>
        <w:spacing w:line="240" w:lineRule="auto"/>
        <w:rPr>
          <w:noProof/>
        </w:rPr>
      </w:pPr>
      <w:r>
        <w:t xml:space="preserve">CRYSVITA 30 mg </w:t>
      </w:r>
      <w:r w:rsidRPr="5F2EC82B">
        <w:rPr>
          <w:noProof/>
        </w:rPr>
        <w:t>injection</w:t>
      </w:r>
    </w:p>
    <w:p w14:paraId="5E0DBCC5" w14:textId="77777777" w:rsidR="00E27790" w:rsidRPr="00BA4BF5" w:rsidRDefault="001D0951" w:rsidP="00E27790">
      <w:pPr>
        <w:spacing w:line="240" w:lineRule="auto"/>
        <w:rPr>
          <w:noProof/>
        </w:rPr>
      </w:pPr>
      <w:proofErr w:type="spellStart"/>
      <w:r>
        <w:t>burosumab</w:t>
      </w:r>
      <w:proofErr w:type="spellEnd"/>
    </w:p>
    <w:p w14:paraId="500FC003" w14:textId="77777777" w:rsidR="00E27790" w:rsidRPr="00C56B34" w:rsidRDefault="001D0951" w:rsidP="00E27790">
      <w:pPr>
        <w:spacing w:line="240" w:lineRule="auto"/>
        <w:rPr>
          <w:noProof/>
          <w:szCs w:val="22"/>
        </w:rPr>
      </w:pPr>
      <w:r>
        <w:rPr>
          <w:noProof/>
          <w:szCs w:val="22"/>
        </w:rPr>
        <w:t>SC</w:t>
      </w:r>
    </w:p>
    <w:p w14:paraId="074602E4" w14:textId="77777777" w:rsidR="00E27790" w:rsidRPr="00C56B34" w:rsidRDefault="00E27790" w:rsidP="00E27790">
      <w:pPr>
        <w:spacing w:line="240" w:lineRule="auto"/>
        <w:rPr>
          <w:noProof/>
          <w:szCs w:val="22"/>
        </w:rPr>
      </w:pPr>
    </w:p>
    <w:p w14:paraId="23E9A977" w14:textId="77777777" w:rsidR="00E27790" w:rsidRPr="00C56B34" w:rsidRDefault="00E27790" w:rsidP="00E27790">
      <w:pPr>
        <w:spacing w:line="240" w:lineRule="auto"/>
        <w:rPr>
          <w:noProof/>
          <w:szCs w:val="22"/>
        </w:rPr>
      </w:pPr>
    </w:p>
    <w:p w14:paraId="5616FC64" w14:textId="77777777" w:rsidR="00E27790" w:rsidRPr="00C56B34" w:rsidRDefault="001D0951" w:rsidP="00E27790">
      <w:pPr>
        <w:pBdr>
          <w:top w:val="single" w:sz="4" w:space="1" w:color="auto"/>
          <w:left w:val="single" w:sz="4" w:space="4" w:color="auto"/>
          <w:bottom w:val="single" w:sz="4" w:space="1" w:color="auto"/>
          <w:right w:val="single" w:sz="4" w:space="4" w:color="auto"/>
        </w:pBdr>
        <w:spacing w:line="240" w:lineRule="auto"/>
        <w:outlineLvl w:val="0"/>
        <w:rPr>
          <w:b/>
          <w:noProof/>
          <w:szCs w:val="22"/>
        </w:rPr>
      </w:pPr>
      <w:r w:rsidRPr="00C56B34">
        <w:rPr>
          <w:b/>
          <w:noProof/>
          <w:szCs w:val="22"/>
        </w:rPr>
        <w:t>2.</w:t>
      </w:r>
      <w:r w:rsidRPr="00C56B34">
        <w:rPr>
          <w:b/>
          <w:noProof/>
          <w:szCs w:val="22"/>
        </w:rPr>
        <w:tab/>
        <w:t>METHOD OF ADMINISTRATION</w:t>
      </w:r>
    </w:p>
    <w:p w14:paraId="4ADD7114" w14:textId="77777777" w:rsidR="00E27790" w:rsidRPr="00C56B34" w:rsidRDefault="00E27790" w:rsidP="00E27790">
      <w:pPr>
        <w:spacing w:line="240" w:lineRule="auto"/>
        <w:rPr>
          <w:noProof/>
          <w:szCs w:val="22"/>
        </w:rPr>
      </w:pPr>
    </w:p>
    <w:p w14:paraId="2C47E38F" w14:textId="77777777" w:rsidR="00E27790" w:rsidRPr="00C56B34" w:rsidRDefault="00E27790" w:rsidP="00E27790">
      <w:pPr>
        <w:spacing w:line="240" w:lineRule="auto"/>
        <w:rPr>
          <w:noProof/>
          <w:szCs w:val="22"/>
        </w:rPr>
      </w:pPr>
    </w:p>
    <w:p w14:paraId="5CF1AFE0" w14:textId="77777777" w:rsidR="00E27790" w:rsidRPr="00C56B34" w:rsidRDefault="001D0951" w:rsidP="00E27790">
      <w:pPr>
        <w:pBdr>
          <w:top w:val="single" w:sz="4" w:space="1" w:color="auto"/>
          <w:left w:val="single" w:sz="4" w:space="4" w:color="auto"/>
          <w:bottom w:val="single" w:sz="4" w:space="1" w:color="auto"/>
          <w:right w:val="single" w:sz="4" w:space="4" w:color="auto"/>
        </w:pBdr>
        <w:spacing w:line="240" w:lineRule="auto"/>
        <w:outlineLvl w:val="0"/>
        <w:rPr>
          <w:b/>
          <w:noProof/>
          <w:szCs w:val="22"/>
        </w:rPr>
      </w:pPr>
      <w:r w:rsidRPr="00C56B34">
        <w:rPr>
          <w:b/>
          <w:noProof/>
          <w:szCs w:val="22"/>
        </w:rPr>
        <w:t>3.</w:t>
      </w:r>
      <w:r w:rsidRPr="00C56B34">
        <w:rPr>
          <w:b/>
          <w:noProof/>
          <w:szCs w:val="22"/>
        </w:rPr>
        <w:tab/>
        <w:t>EXPIRY DATE</w:t>
      </w:r>
    </w:p>
    <w:p w14:paraId="3EF516CA" w14:textId="77777777" w:rsidR="00E27790" w:rsidRPr="00662578" w:rsidRDefault="00E27790" w:rsidP="00E27790">
      <w:pPr>
        <w:spacing w:line="240" w:lineRule="auto"/>
        <w:rPr>
          <w:szCs w:val="22"/>
        </w:rPr>
      </w:pPr>
    </w:p>
    <w:p w14:paraId="5B782B3B" w14:textId="77777777" w:rsidR="00E27790" w:rsidRPr="00B96FD0" w:rsidRDefault="001D0951" w:rsidP="00E27790">
      <w:pPr>
        <w:spacing w:line="240" w:lineRule="auto"/>
        <w:rPr>
          <w:szCs w:val="22"/>
        </w:rPr>
      </w:pPr>
      <w:r>
        <w:t>EXP</w:t>
      </w:r>
    </w:p>
    <w:p w14:paraId="2C1F6D32" w14:textId="77777777" w:rsidR="00E27790" w:rsidRPr="00B96FD0" w:rsidRDefault="00E27790" w:rsidP="00E27790">
      <w:pPr>
        <w:spacing w:line="240" w:lineRule="auto"/>
        <w:rPr>
          <w:szCs w:val="22"/>
        </w:rPr>
      </w:pPr>
    </w:p>
    <w:p w14:paraId="4CACED2E" w14:textId="77777777" w:rsidR="00E27790" w:rsidRPr="00B96FD0" w:rsidRDefault="00E27790" w:rsidP="00E27790">
      <w:pPr>
        <w:spacing w:line="240" w:lineRule="auto"/>
        <w:rPr>
          <w:szCs w:val="22"/>
        </w:rPr>
      </w:pPr>
    </w:p>
    <w:p w14:paraId="2113EBA2" w14:textId="77777777" w:rsidR="00E27790" w:rsidRPr="00BA4BF5" w:rsidRDefault="001D0951" w:rsidP="00E27790">
      <w:pPr>
        <w:pBdr>
          <w:top w:val="single" w:sz="4" w:space="1" w:color="auto"/>
          <w:left w:val="single" w:sz="4" w:space="4" w:color="auto"/>
          <w:bottom w:val="single" w:sz="4" w:space="1" w:color="auto"/>
          <w:right w:val="single" w:sz="4" w:space="4" w:color="auto"/>
        </w:pBdr>
        <w:spacing w:line="240" w:lineRule="auto"/>
        <w:outlineLvl w:val="0"/>
        <w:rPr>
          <w:b/>
          <w:bCs/>
        </w:rPr>
      </w:pPr>
      <w:r w:rsidRPr="00595956">
        <w:rPr>
          <w:b/>
          <w:bCs/>
        </w:rPr>
        <w:t>4.</w:t>
      </w:r>
      <w:r w:rsidRPr="00B96FD0">
        <w:rPr>
          <w:b/>
          <w:szCs w:val="22"/>
        </w:rPr>
        <w:tab/>
      </w:r>
      <w:r w:rsidRPr="00595956">
        <w:rPr>
          <w:b/>
          <w:bCs/>
        </w:rPr>
        <w:t>BATCH NUMBER</w:t>
      </w:r>
    </w:p>
    <w:p w14:paraId="14436B3D" w14:textId="77777777" w:rsidR="00E27790" w:rsidRPr="00B96FD0" w:rsidRDefault="00E27790" w:rsidP="00E27790">
      <w:pPr>
        <w:spacing w:line="240" w:lineRule="auto"/>
        <w:ind w:right="113"/>
        <w:rPr>
          <w:szCs w:val="22"/>
        </w:rPr>
      </w:pPr>
    </w:p>
    <w:p w14:paraId="7975BE47" w14:textId="77777777" w:rsidR="00E27790" w:rsidRPr="00B96FD0" w:rsidRDefault="001D0951" w:rsidP="00E27790">
      <w:pPr>
        <w:spacing w:line="240" w:lineRule="auto"/>
        <w:ind w:right="113"/>
        <w:rPr>
          <w:szCs w:val="22"/>
        </w:rPr>
      </w:pPr>
      <w:r>
        <w:t>Lot</w:t>
      </w:r>
    </w:p>
    <w:p w14:paraId="35118FB2" w14:textId="77777777" w:rsidR="00E27790" w:rsidRPr="00B96FD0" w:rsidRDefault="00E27790" w:rsidP="00E27790">
      <w:pPr>
        <w:spacing w:line="240" w:lineRule="auto"/>
        <w:ind w:right="113"/>
        <w:rPr>
          <w:szCs w:val="22"/>
        </w:rPr>
      </w:pPr>
    </w:p>
    <w:p w14:paraId="7DC27AB3" w14:textId="77777777" w:rsidR="00E27790" w:rsidRPr="00B96FD0" w:rsidRDefault="00E27790" w:rsidP="00E27790">
      <w:pPr>
        <w:spacing w:line="240" w:lineRule="auto"/>
        <w:ind w:right="113"/>
        <w:rPr>
          <w:szCs w:val="22"/>
        </w:rPr>
      </w:pPr>
    </w:p>
    <w:p w14:paraId="28EA1978" w14:textId="77777777" w:rsidR="00E27790" w:rsidRPr="00C56B34" w:rsidRDefault="001D0951" w:rsidP="00E27790">
      <w:pPr>
        <w:pBdr>
          <w:top w:val="single" w:sz="4" w:space="1" w:color="auto"/>
          <w:left w:val="single" w:sz="4" w:space="4" w:color="auto"/>
          <w:bottom w:val="single" w:sz="4" w:space="1" w:color="auto"/>
          <w:right w:val="single" w:sz="4" w:space="4" w:color="auto"/>
        </w:pBdr>
        <w:spacing w:line="240" w:lineRule="auto"/>
        <w:outlineLvl w:val="0"/>
        <w:rPr>
          <w:b/>
          <w:noProof/>
          <w:szCs w:val="22"/>
        </w:rPr>
      </w:pPr>
      <w:r w:rsidRPr="00C56B34">
        <w:rPr>
          <w:b/>
          <w:noProof/>
          <w:szCs w:val="22"/>
        </w:rPr>
        <w:t>5.</w:t>
      </w:r>
      <w:r w:rsidRPr="00C56B34">
        <w:rPr>
          <w:b/>
          <w:noProof/>
          <w:szCs w:val="22"/>
        </w:rPr>
        <w:tab/>
        <w:t>CONTENTS BY WEIGHT, BY VOLUME OR BY UNIT</w:t>
      </w:r>
    </w:p>
    <w:p w14:paraId="37DFCE8F" w14:textId="77777777" w:rsidR="00E27790" w:rsidRPr="00C56B34" w:rsidRDefault="00E27790" w:rsidP="00E27790">
      <w:pPr>
        <w:spacing w:line="240" w:lineRule="auto"/>
        <w:ind w:right="113"/>
        <w:rPr>
          <w:noProof/>
          <w:szCs w:val="22"/>
        </w:rPr>
      </w:pPr>
    </w:p>
    <w:p w14:paraId="2004261C" w14:textId="77777777" w:rsidR="00E27790" w:rsidRPr="00C56B34" w:rsidRDefault="001D0951" w:rsidP="00E27790">
      <w:pPr>
        <w:spacing w:line="240" w:lineRule="auto"/>
        <w:ind w:right="113"/>
        <w:rPr>
          <w:noProof/>
          <w:szCs w:val="22"/>
        </w:rPr>
      </w:pPr>
      <w:r w:rsidRPr="00C56B34">
        <w:rPr>
          <w:noProof/>
          <w:szCs w:val="22"/>
        </w:rPr>
        <w:t>1 ml</w:t>
      </w:r>
    </w:p>
    <w:p w14:paraId="5A36B1B3" w14:textId="77777777" w:rsidR="00E27790" w:rsidRPr="00C56B34" w:rsidRDefault="00E27790" w:rsidP="00E27790">
      <w:pPr>
        <w:spacing w:line="240" w:lineRule="auto"/>
        <w:ind w:right="113"/>
        <w:rPr>
          <w:noProof/>
          <w:szCs w:val="22"/>
        </w:rPr>
      </w:pPr>
    </w:p>
    <w:p w14:paraId="7F4BFC56" w14:textId="77777777" w:rsidR="00E27790" w:rsidRPr="00C56B34" w:rsidRDefault="00E27790" w:rsidP="00E27790">
      <w:pPr>
        <w:spacing w:line="240" w:lineRule="auto"/>
        <w:ind w:right="113"/>
        <w:rPr>
          <w:noProof/>
          <w:szCs w:val="22"/>
        </w:rPr>
      </w:pPr>
    </w:p>
    <w:p w14:paraId="211C670E" w14:textId="77777777" w:rsidR="00E27790" w:rsidRPr="00C56B34" w:rsidRDefault="001D0951" w:rsidP="00E27790">
      <w:pPr>
        <w:pBdr>
          <w:top w:val="single" w:sz="4" w:space="1" w:color="auto"/>
          <w:left w:val="single" w:sz="4" w:space="4" w:color="auto"/>
          <w:bottom w:val="single" w:sz="4" w:space="1" w:color="auto"/>
          <w:right w:val="single" w:sz="4" w:space="4" w:color="auto"/>
        </w:pBdr>
        <w:spacing w:line="240" w:lineRule="auto"/>
        <w:outlineLvl w:val="0"/>
        <w:rPr>
          <w:b/>
          <w:noProof/>
          <w:szCs w:val="22"/>
        </w:rPr>
      </w:pPr>
      <w:r w:rsidRPr="00C56B34">
        <w:rPr>
          <w:b/>
          <w:noProof/>
          <w:szCs w:val="22"/>
        </w:rPr>
        <w:t>6.</w:t>
      </w:r>
      <w:r w:rsidRPr="00C56B34">
        <w:rPr>
          <w:b/>
          <w:noProof/>
          <w:szCs w:val="22"/>
        </w:rPr>
        <w:tab/>
        <w:t>OTHER</w:t>
      </w:r>
    </w:p>
    <w:p w14:paraId="59AA48A5" w14:textId="77777777" w:rsidR="00E27790" w:rsidRPr="00C56B34" w:rsidRDefault="00E27790" w:rsidP="00E27790">
      <w:pPr>
        <w:spacing w:line="240" w:lineRule="auto"/>
        <w:ind w:right="113"/>
        <w:rPr>
          <w:noProof/>
          <w:szCs w:val="22"/>
        </w:rPr>
      </w:pPr>
    </w:p>
    <w:p w14:paraId="74B1C37F" w14:textId="77777777" w:rsidR="00E27790" w:rsidRDefault="00E27790" w:rsidP="00E27790">
      <w:pPr>
        <w:tabs>
          <w:tab w:val="clear" w:pos="567"/>
        </w:tabs>
        <w:spacing w:line="240" w:lineRule="auto"/>
        <w:rPr>
          <w:szCs w:val="22"/>
        </w:rPr>
      </w:pPr>
    </w:p>
    <w:p w14:paraId="62A5CC01" w14:textId="77777777" w:rsidR="00E27790" w:rsidRPr="00662578" w:rsidRDefault="001D0951" w:rsidP="00E27790">
      <w:pPr>
        <w:spacing w:line="240" w:lineRule="auto"/>
        <w:ind w:right="113"/>
        <w:rPr>
          <w:szCs w:val="22"/>
        </w:rPr>
      </w:pPr>
      <w:r w:rsidRPr="00662578">
        <w:rPr>
          <w:szCs w:val="22"/>
        </w:rPr>
        <w:br w:type="page"/>
      </w:r>
    </w:p>
    <w:p w14:paraId="0D903FB9" w14:textId="77777777" w:rsidR="001118F7" w:rsidRDefault="001118F7">
      <w:pPr>
        <w:tabs>
          <w:tab w:val="clear" w:pos="567"/>
        </w:tabs>
        <w:spacing w:line="240" w:lineRule="auto"/>
        <w:rPr>
          <w:noProof/>
          <w:szCs w:val="22"/>
        </w:rPr>
      </w:pPr>
    </w:p>
    <w:p w14:paraId="71E94B42" w14:textId="77777777" w:rsidR="001118F7" w:rsidRDefault="001118F7" w:rsidP="00E27790">
      <w:pPr>
        <w:tabs>
          <w:tab w:val="clear" w:pos="567"/>
        </w:tabs>
        <w:spacing w:line="240" w:lineRule="auto"/>
        <w:rPr>
          <w:szCs w:val="22"/>
        </w:rPr>
      </w:pPr>
    </w:p>
    <w:p w14:paraId="1DF925E1" w14:textId="77777777" w:rsidR="00124AD4" w:rsidRPr="00B96FD0" w:rsidRDefault="00124AD4">
      <w:pPr>
        <w:spacing w:line="240" w:lineRule="auto"/>
        <w:ind w:right="113"/>
        <w:rPr>
          <w:szCs w:val="22"/>
        </w:rPr>
      </w:pPr>
    </w:p>
    <w:p w14:paraId="7A2EE8CC" w14:textId="77777777" w:rsidR="00124AD4" w:rsidRPr="00B96FD0" w:rsidRDefault="00124AD4">
      <w:pPr>
        <w:spacing w:line="240" w:lineRule="auto"/>
        <w:outlineLvl w:val="0"/>
        <w:rPr>
          <w:b/>
          <w:szCs w:val="22"/>
        </w:rPr>
      </w:pPr>
    </w:p>
    <w:p w14:paraId="74A5E5EC" w14:textId="77777777" w:rsidR="00124AD4" w:rsidRPr="00B96FD0" w:rsidRDefault="00124AD4">
      <w:pPr>
        <w:spacing w:line="240" w:lineRule="auto"/>
        <w:outlineLvl w:val="0"/>
        <w:rPr>
          <w:b/>
          <w:noProof/>
          <w:szCs w:val="22"/>
        </w:rPr>
      </w:pPr>
    </w:p>
    <w:p w14:paraId="1B728CD7" w14:textId="77777777" w:rsidR="00124AD4" w:rsidRPr="00B96FD0" w:rsidRDefault="00124AD4">
      <w:pPr>
        <w:spacing w:line="240" w:lineRule="auto"/>
        <w:outlineLvl w:val="0"/>
        <w:rPr>
          <w:b/>
          <w:noProof/>
          <w:szCs w:val="22"/>
        </w:rPr>
      </w:pPr>
    </w:p>
    <w:p w14:paraId="1491E28F" w14:textId="77777777" w:rsidR="00124AD4" w:rsidRPr="00B96FD0" w:rsidRDefault="00124AD4">
      <w:pPr>
        <w:spacing w:line="240" w:lineRule="auto"/>
        <w:outlineLvl w:val="0"/>
        <w:rPr>
          <w:b/>
          <w:noProof/>
          <w:szCs w:val="22"/>
        </w:rPr>
      </w:pPr>
    </w:p>
    <w:p w14:paraId="3BAD423E" w14:textId="77777777" w:rsidR="00124AD4" w:rsidRPr="00B96FD0" w:rsidRDefault="00124AD4">
      <w:pPr>
        <w:spacing w:line="240" w:lineRule="auto"/>
        <w:outlineLvl w:val="0"/>
        <w:rPr>
          <w:b/>
          <w:noProof/>
          <w:szCs w:val="22"/>
        </w:rPr>
      </w:pPr>
    </w:p>
    <w:p w14:paraId="00D32A81" w14:textId="77777777" w:rsidR="00124AD4" w:rsidRPr="00B96FD0" w:rsidRDefault="00124AD4">
      <w:pPr>
        <w:spacing w:line="240" w:lineRule="auto"/>
        <w:outlineLvl w:val="0"/>
        <w:rPr>
          <w:b/>
          <w:noProof/>
          <w:szCs w:val="22"/>
        </w:rPr>
      </w:pPr>
    </w:p>
    <w:p w14:paraId="40125282" w14:textId="77777777" w:rsidR="00124AD4" w:rsidRPr="00B96FD0" w:rsidRDefault="00124AD4">
      <w:pPr>
        <w:spacing w:line="240" w:lineRule="auto"/>
        <w:outlineLvl w:val="0"/>
        <w:rPr>
          <w:b/>
          <w:noProof/>
          <w:szCs w:val="22"/>
        </w:rPr>
      </w:pPr>
    </w:p>
    <w:p w14:paraId="19F40F2F" w14:textId="77777777" w:rsidR="00124AD4" w:rsidRPr="00B96FD0" w:rsidRDefault="00124AD4">
      <w:pPr>
        <w:spacing w:line="240" w:lineRule="auto"/>
        <w:outlineLvl w:val="0"/>
        <w:rPr>
          <w:b/>
          <w:noProof/>
          <w:szCs w:val="22"/>
        </w:rPr>
      </w:pPr>
    </w:p>
    <w:p w14:paraId="42F747BB" w14:textId="77777777" w:rsidR="00124AD4" w:rsidRPr="00B96FD0" w:rsidRDefault="00124AD4">
      <w:pPr>
        <w:spacing w:line="240" w:lineRule="auto"/>
        <w:outlineLvl w:val="0"/>
        <w:rPr>
          <w:b/>
          <w:noProof/>
          <w:szCs w:val="22"/>
        </w:rPr>
      </w:pPr>
    </w:p>
    <w:p w14:paraId="2387999E" w14:textId="77777777" w:rsidR="00124AD4" w:rsidRPr="00B96FD0" w:rsidRDefault="00124AD4">
      <w:pPr>
        <w:spacing w:line="240" w:lineRule="auto"/>
        <w:outlineLvl w:val="0"/>
        <w:rPr>
          <w:b/>
          <w:noProof/>
          <w:szCs w:val="22"/>
        </w:rPr>
      </w:pPr>
    </w:p>
    <w:p w14:paraId="241CFD38" w14:textId="77777777" w:rsidR="00124AD4" w:rsidRPr="00B96FD0" w:rsidRDefault="00124AD4">
      <w:pPr>
        <w:spacing w:line="240" w:lineRule="auto"/>
        <w:outlineLvl w:val="0"/>
        <w:rPr>
          <w:b/>
          <w:noProof/>
          <w:szCs w:val="22"/>
        </w:rPr>
      </w:pPr>
    </w:p>
    <w:p w14:paraId="072B1760" w14:textId="77777777" w:rsidR="00124AD4" w:rsidRPr="00B96FD0" w:rsidRDefault="00124AD4">
      <w:pPr>
        <w:spacing w:line="240" w:lineRule="auto"/>
        <w:outlineLvl w:val="0"/>
        <w:rPr>
          <w:b/>
          <w:noProof/>
          <w:szCs w:val="22"/>
        </w:rPr>
      </w:pPr>
    </w:p>
    <w:p w14:paraId="1B2C8309" w14:textId="77777777" w:rsidR="00124AD4" w:rsidRPr="00B96FD0" w:rsidRDefault="00124AD4">
      <w:pPr>
        <w:spacing w:line="240" w:lineRule="auto"/>
        <w:outlineLvl w:val="0"/>
        <w:rPr>
          <w:b/>
          <w:noProof/>
          <w:szCs w:val="22"/>
        </w:rPr>
      </w:pPr>
    </w:p>
    <w:p w14:paraId="15ABBCD9" w14:textId="77777777" w:rsidR="00124AD4" w:rsidRPr="00B96FD0" w:rsidRDefault="00124AD4">
      <w:pPr>
        <w:spacing w:line="240" w:lineRule="auto"/>
        <w:outlineLvl w:val="0"/>
        <w:rPr>
          <w:b/>
          <w:noProof/>
          <w:szCs w:val="22"/>
        </w:rPr>
      </w:pPr>
    </w:p>
    <w:p w14:paraId="78789CBB" w14:textId="77777777" w:rsidR="00124AD4" w:rsidRPr="00B96FD0" w:rsidRDefault="00124AD4">
      <w:pPr>
        <w:spacing w:line="240" w:lineRule="auto"/>
        <w:outlineLvl w:val="0"/>
        <w:rPr>
          <w:b/>
          <w:noProof/>
          <w:szCs w:val="22"/>
        </w:rPr>
      </w:pPr>
    </w:p>
    <w:p w14:paraId="4621B236" w14:textId="77777777" w:rsidR="00124AD4" w:rsidRPr="00B96FD0" w:rsidRDefault="00124AD4">
      <w:pPr>
        <w:spacing w:line="240" w:lineRule="auto"/>
        <w:outlineLvl w:val="0"/>
        <w:rPr>
          <w:b/>
          <w:noProof/>
          <w:szCs w:val="22"/>
        </w:rPr>
      </w:pPr>
    </w:p>
    <w:p w14:paraId="15BE9A43" w14:textId="77777777" w:rsidR="00124AD4" w:rsidRPr="00B96FD0" w:rsidRDefault="00124AD4">
      <w:pPr>
        <w:spacing w:line="240" w:lineRule="auto"/>
        <w:outlineLvl w:val="0"/>
        <w:rPr>
          <w:b/>
          <w:noProof/>
          <w:szCs w:val="22"/>
        </w:rPr>
      </w:pPr>
    </w:p>
    <w:p w14:paraId="4C30AB3F" w14:textId="77777777" w:rsidR="00124AD4" w:rsidRPr="00B96FD0" w:rsidRDefault="00124AD4">
      <w:pPr>
        <w:spacing w:line="240" w:lineRule="auto"/>
        <w:outlineLvl w:val="0"/>
        <w:rPr>
          <w:b/>
          <w:noProof/>
          <w:szCs w:val="22"/>
        </w:rPr>
      </w:pPr>
    </w:p>
    <w:p w14:paraId="02265E7E" w14:textId="77777777" w:rsidR="00124AD4" w:rsidRPr="00B96FD0" w:rsidRDefault="00124AD4">
      <w:pPr>
        <w:spacing w:line="240" w:lineRule="auto"/>
        <w:outlineLvl w:val="0"/>
        <w:rPr>
          <w:b/>
          <w:noProof/>
          <w:szCs w:val="22"/>
        </w:rPr>
      </w:pPr>
    </w:p>
    <w:p w14:paraId="1503A9A5" w14:textId="77777777" w:rsidR="00124AD4" w:rsidRPr="00B96FD0" w:rsidRDefault="00124AD4">
      <w:pPr>
        <w:spacing w:line="240" w:lineRule="auto"/>
        <w:outlineLvl w:val="0"/>
        <w:rPr>
          <w:b/>
          <w:noProof/>
          <w:szCs w:val="22"/>
        </w:rPr>
      </w:pPr>
    </w:p>
    <w:p w14:paraId="488FD651" w14:textId="77777777" w:rsidR="00124AD4" w:rsidRPr="00B96FD0" w:rsidRDefault="00124AD4">
      <w:pPr>
        <w:spacing w:line="240" w:lineRule="auto"/>
        <w:outlineLvl w:val="0"/>
        <w:rPr>
          <w:b/>
          <w:noProof/>
          <w:szCs w:val="22"/>
        </w:rPr>
      </w:pPr>
    </w:p>
    <w:p w14:paraId="511DB4D2" w14:textId="77777777" w:rsidR="00124AD4" w:rsidRPr="00B96FD0" w:rsidRDefault="00124AD4">
      <w:pPr>
        <w:spacing w:line="240" w:lineRule="auto"/>
        <w:outlineLvl w:val="0"/>
        <w:rPr>
          <w:b/>
          <w:noProof/>
          <w:szCs w:val="22"/>
        </w:rPr>
      </w:pPr>
    </w:p>
    <w:p w14:paraId="7BAEBC7E" w14:textId="77777777" w:rsidR="00124AD4" w:rsidRPr="00B96FD0" w:rsidRDefault="001D0951" w:rsidP="00AC5B5D">
      <w:pPr>
        <w:pStyle w:val="TitleA"/>
        <w:rPr>
          <w:noProof/>
        </w:rPr>
      </w:pPr>
      <w:r w:rsidRPr="00B96FD0">
        <w:rPr>
          <w:noProof/>
        </w:rPr>
        <w:t>B. PACKAGE LEAFLET</w:t>
      </w:r>
    </w:p>
    <w:p w14:paraId="798236AA" w14:textId="77777777" w:rsidR="00124AD4" w:rsidRPr="00662578" w:rsidRDefault="001D0951">
      <w:pPr>
        <w:tabs>
          <w:tab w:val="clear" w:pos="567"/>
        </w:tabs>
        <w:spacing w:line="240" w:lineRule="auto"/>
        <w:jc w:val="center"/>
        <w:outlineLvl w:val="0"/>
        <w:rPr>
          <w:b/>
          <w:noProof/>
          <w:szCs w:val="22"/>
        </w:rPr>
      </w:pPr>
      <w:r w:rsidRPr="00C56B34">
        <w:rPr>
          <w:noProof/>
          <w:szCs w:val="22"/>
        </w:rPr>
        <w:br w:type="page"/>
      </w:r>
    </w:p>
    <w:p w14:paraId="13781291" w14:textId="77777777" w:rsidR="00124AD4" w:rsidRPr="00662578" w:rsidRDefault="001D0951">
      <w:pPr>
        <w:tabs>
          <w:tab w:val="clear" w:pos="567"/>
        </w:tabs>
        <w:spacing w:line="240" w:lineRule="auto"/>
        <w:jc w:val="center"/>
        <w:outlineLvl w:val="0"/>
        <w:rPr>
          <w:noProof/>
          <w:szCs w:val="22"/>
        </w:rPr>
      </w:pPr>
      <w:r w:rsidRPr="00662578">
        <w:rPr>
          <w:b/>
          <w:noProof/>
          <w:szCs w:val="22"/>
        </w:rPr>
        <w:lastRenderedPageBreak/>
        <w:t>Package leaflet: Information for the user</w:t>
      </w:r>
    </w:p>
    <w:p w14:paraId="006D136E" w14:textId="77777777" w:rsidR="00124AD4" w:rsidRPr="00B96FD0" w:rsidRDefault="00124AD4">
      <w:pPr>
        <w:numPr>
          <w:ilvl w:val="12"/>
          <w:numId w:val="0"/>
        </w:numPr>
        <w:shd w:val="clear" w:color="auto" w:fill="FFFFFF"/>
        <w:tabs>
          <w:tab w:val="clear" w:pos="567"/>
        </w:tabs>
        <w:spacing w:line="240" w:lineRule="auto"/>
        <w:jc w:val="center"/>
        <w:rPr>
          <w:noProof/>
          <w:szCs w:val="22"/>
        </w:rPr>
      </w:pPr>
    </w:p>
    <w:p w14:paraId="738F12C3" w14:textId="77777777" w:rsidR="00124AD4" w:rsidRDefault="001D0951" w:rsidP="5F2EC82B">
      <w:pPr>
        <w:tabs>
          <w:tab w:val="left" w:pos="993"/>
        </w:tabs>
        <w:spacing w:line="240" w:lineRule="auto"/>
        <w:jc w:val="center"/>
        <w:outlineLvl w:val="0"/>
        <w:rPr>
          <w:b/>
          <w:bCs/>
          <w:noProof/>
        </w:rPr>
      </w:pPr>
      <w:r w:rsidRPr="5F2EC82B">
        <w:rPr>
          <w:b/>
          <w:bCs/>
        </w:rPr>
        <w:t xml:space="preserve">CRYSVITA </w:t>
      </w:r>
      <w:r w:rsidRPr="5F2EC82B">
        <w:rPr>
          <w:b/>
          <w:bCs/>
          <w:noProof/>
        </w:rPr>
        <w:t>10</w:t>
      </w:r>
      <w:r w:rsidR="00D10AD0">
        <w:rPr>
          <w:b/>
          <w:bCs/>
          <w:noProof/>
        </w:rPr>
        <w:t> </w:t>
      </w:r>
      <w:r w:rsidRPr="5F2EC82B">
        <w:rPr>
          <w:b/>
          <w:bCs/>
          <w:noProof/>
        </w:rPr>
        <w:t>mg solution for injection</w:t>
      </w:r>
    </w:p>
    <w:p w14:paraId="52CFBEB2" w14:textId="77777777" w:rsidR="00D10AD0" w:rsidRPr="00BA4BF5" w:rsidRDefault="001D0951" w:rsidP="00D10AD0">
      <w:pPr>
        <w:tabs>
          <w:tab w:val="left" w:pos="993"/>
        </w:tabs>
        <w:spacing w:line="240" w:lineRule="auto"/>
        <w:jc w:val="center"/>
        <w:outlineLvl w:val="0"/>
        <w:rPr>
          <w:b/>
          <w:bCs/>
          <w:noProof/>
        </w:rPr>
      </w:pPr>
      <w:r w:rsidRPr="5F2EC82B">
        <w:rPr>
          <w:b/>
          <w:bCs/>
        </w:rPr>
        <w:t xml:space="preserve">CRYSVITA </w:t>
      </w:r>
      <w:r w:rsidRPr="5F2EC82B">
        <w:rPr>
          <w:b/>
          <w:bCs/>
          <w:noProof/>
        </w:rPr>
        <w:t>20</w:t>
      </w:r>
      <w:r>
        <w:rPr>
          <w:b/>
          <w:bCs/>
          <w:noProof/>
        </w:rPr>
        <w:t> </w:t>
      </w:r>
      <w:r w:rsidRPr="5F2EC82B">
        <w:rPr>
          <w:b/>
          <w:bCs/>
          <w:noProof/>
        </w:rPr>
        <w:t>mg solution for injection</w:t>
      </w:r>
    </w:p>
    <w:p w14:paraId="06D3A1C9" w14:textId="77777777" w:rsidR="00D10AD0" w:rsidRPr="00BA4BF5" w:rsidRDefault="001D0951" w:rsidP="00D10AD0">
      <w:pPr>
        <w:tabs>
          <w:tab w:val="left" w:pos="993"/>
        </w:tabs>
        <w:spacing w:line="240" w:lineRule="auto"/>
        <w:jc w:val="center"/>
        <w:outlineLvl w:val="0"/>
        <w:rPr>
          <w:b/>
          <w:bCs/>
          <w:noProof/>
        </w:rPr>
      </w:pPr>
      <w:r w:rsidRPr="5F2EC82B">
        <w:rPr>
          <w:b/>
          <w:bCs/>
        </w:rPr>
        <w:t xml:space="preserve">CRYSVITA </w:t>
      </w:r>
      <w:r w:rsidRPr="5F2EC82B">
        <w:rPr>
          <w:b/>
          <w:bCs/>
          <w:noProof/>
        </w:rPr>
        <w:t>30</w:t>
      </w:r>
      <w:r>
        <w:rPr>
          <w:b/>
          <w:bCs/>
          <w:noProof/>
        </w:rPr>
        <w:t> </w:t>
      </w:r>
      <w:r w:rsidRPr="5F2EC82B">
        <w:rPr>
          <w:b/>
          <w:bCs/>
          <w:noProof/>
        </w:rPr>
        <w:t>mg solution for injection</w:t>
      </w:r>
    </w:p>
    <w:p w14:paraId="7FF25DCE" w14:textId="77777777" w:rsidR="00D10AD0" w:rsidRPr="00BA4BF5" w:rsidRDefault="00D10AD0" w:rsidP="5F2EC82B">
      <w:pPr>
        <w:tabs>
          <w:tab w:val="left" w:pos="993"/>
        </w:tabs>
        <w:spacing w:line="240" w:lineRule="auto"/>
        <w:jc w:val="center"/>
        <w:outlineLvl w:val="0"/>
        <w:rPr>
          <w:b/>
          <w:bCs/>
          <w:noProof/>
        </w:rPr>
      </w:pPr>
    </w:p>
    <w:p w14:paraId="1005941C" w14:textId="77777777" w:rsidR="00124AD4" w:rsidRPr="00BA4BF5" w:rsidRDefault="001D0951" w:rsidP="07120F5B">
      <w:pPr>
        <w:spacing w:line="240" w:lineRule="auto"/>
        <w:jc w:val="center"/>
        <w:rPr>
          <w:noProof/>
        </w:rPr>
      </w:pPr>
      <w:proofErr w:type="spellStart"/>
      <w:r>
        <w:t>b</w:t>
      </w:r>
      <w:r w:rsidR="07120F5B">
        <w:t>urosumab</w:t>
      </w:r>
      <w:proofErr w:type="spellEnd"/>
    </w:p>
    <w:p w14:paraId="410FBBC8" w14:textId="77777777" w:rsidR="00124AD4" w:rsidRPr="00B96FD0" w:rsidRDefault="00124AD4">
      <w:pPr>
        <w:tabs>
          <w:tab w:val="clear" w:pos="567"/>
        </w:tabs>
        <w:spacing w:line="240" w:lineRule="auto"/>
        <w:rPr>
          <w:noProof/>
          <w:szCs w:val="22"/>
        </w:rPr>
      </w:pPr>
    </w:p>
    <w:p w14:paraId="13A3B7AF" w14:textId="77777777" w:rsidR="00124AD4" w:rsidRPr="00B96FD0" w:rsidRDefault="001D0951" w:rsidP="50BD9E82">
      <w:pPr>
        <w:spacing w:line="240" w:lineRule="auto"/>
        <w:rPr>
          <w:szCs w:val="22"/>
        </w:rPr>
      </w:pPr>
      <w:r>
        <w:rPr>
          <w:noProof/>
          <w:lang w:val="en-US" w:eastAsia="zh-CN"/>
        </w:rPr>
        <w:drawing>
          <wp:inline distT="0" distB="0" distL="0" distR="0" wp14:anchorId="4D1FC1A4" wp14:editId="56548865">
            <wp:extent cx="200025" cy="171450"/>
            <wp:effectExtent l="0" t="0" r="0" b="0"/>
            <wp:docPr id="469995982" name="picture" descr="BT_1000x85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61753" name="picture"/>
                    <pic:cNvPicPr/>
                  </pic:nvPicPr>
                  <pic:blipFill>
                    <a:blip r:embed="rId11">
                      <a:extLst>
                        <a:ext uri="{28A0092B-C50C-407E-A947-70E740481C1C}">
                          <a14:useLocalDpi xmlns:a14="http://schemas.microsoft.com/office/drawing/2010/main" val="0"/>
                        </a:ext>
                      </a:extLst>
                    </a:blip>
                    <a:stretch>
                      <a:fillRect/>
                    </a:stretch>
                  </pic:blipFill>
                  <pic:spPr>
                    <a:xfrm>
                      <a:off x="0" y="0"/>
                      <a:ext cx="200025" cy="171450"/>
                    </a:xfrm>
                    <a:prstGeom prst="rect">
                      <a:avLst/>
                    </a:prstGeom>
                  </pic:spPr>
                </pic:pic>
              </a:graphicData>
            </a:graphic>
          </wp:inline>
        </w:drawing>
      </w:r>
      <w:r w:rsidR="07120F5B">
        <w:t xml:space="preserve">This medicine is subject to additional monitoring. This will allow quick identification of new safety information. You can help by reporting any side </w:t>
      </w:r>
      <w:proofErr w:type="spellStart"/>
      <w:r w:rsidR="07120F5B">
        <w:t>effects you</w:t>
      </w:r>
      <w:proofErr w:type="spellEnd"/>
      <w:r w:rsidR="07120F5B">
        <w:t xml:space="preserve"> may get. See the end of section 4 for how to report side effects.</w:t>
      </w:r>
    </w:p>
    <w:p w14:paraId="0ACA67C1" w14:textId="77777777" w:rsidR="00124AD4" w:rsidRPr="00B96FD0" w:rsidRDefault="00124AD4">
      <w:pPr>
        <w:tabs>
          <w:tab w:val="clear" w:pos="567"/>
        </w:tabs>
        <w:spacing w:line="240" w:lineRule="auto"/>
        <w:rPr>
          <w:noProof/>
          <w:szCs w:val="22"/>
        </w:rPr>
      </w:pPr>
    </w:p>
    <w:p w14:paraId="11FB0CEA" w14:textId="77777777" w:rsidR="00124AD4" w:rsidRPr="00B96FD0" w:rsidRDefault="001D0951">
      <w:pPr>
        <w:tabs>
          <w:tab w:val="clear" w:pos="567"/>
        </w:tabs>
        <w:suppressAutoHyphens/>
        <w:spacing w:line="240" w:lineRule="auto"/>
        <w:rPr>
          <w:b/>
          <w:noProof/>
          <w:szCs w:val="22"/>
        </w:rPr>
      </w:pPr>
      <w:r w:rsidRPr="00B96FD0">
        <w:rPr>
          <w:b/>
          <w:noProof/>
          <w:szCs w:val="22"/>
        </w:rPr>
        <w:t>Read all of this leaflet carefully before you start using this medicine because it contains important information for you.</w:t>
      </w:r>
    </w:p>
    <w:p w14:paraId="672B3084" w14:textId="77777777" w:rsidR="00124AD4" w:rsidRPr="00C56B34" w:rsidRDefault="001D0951" w:rsidP="00944C96">
      <w:pPr>
        <w:numPr>
          <w:ilvl w:val="0"/>
          <w:numId w:val="1"/>
        </w:numPr>
        <w:tabs>
          <w:tab w:val="clear" w:pos="567"/>
        </w:tabs>
        <w:spacing w:line="240" w:lineRule="auto"/>
        <w:ind w:left="567" w:hanging="567"/>
        <w:rPr>
          <w:noProof/>
          <w:szCs w:val="22"/>
        </w:rPr>
      </w:pPr>
      <w:r w:rsidRPr="00C56B34">
        <w:rPr>
          <w:noProof/>
          <w:szCs w:val="22"/>
        </w:rPr>
        <w:t xml:space="preserve">Keep this leaflet. You may need to read it again. </w:t>
      </w:r>
    </w:p>
    <w:p w14:paraId="7EF12B0A" w14:textId="77777777" w:rsidR="00124AD4" w:rsidRPr="00C56B34" w:rsidRDefault="001D0951" w:rsidP="00944C96">
      <w:pPr>
        <w:numPr>
          <w:ilvl w:val="0"/>
          <w:numId w:val="1"/>
        </w:numPr>
        <w:tabs>
          <w:tab w:val="clear" w:pos="567"/>
        </w:tabs>
        <w:spacing w:line="240" w:lineRule="auto"/>
        <w:ind w:left="567" w:hanging="567"/>
        <w:rPr>
          <w:noProof/>
          <w:szCs w:val="22"/>
        </w:rPr>
      </w:pPr>
      <w:r w:rsidRPr="00C56B34">
        <w:rPr>
          <w:noProof/>
          <w:szCs w:val="22"/>
        </w:rPr>
        <w:t>If you have any further questions, ask your doctor.</w:t>
      </w:r>
    </w:p>
    <w:p w14:paraId="050D1ED7" w14:textId="77777777" w:rsidR="00124AD4" w:rsidRPr="00C56B34" w:rsidRDefault="001D0951" w:rsidP="00944C96">
      <w:pPr>
        <w:numPr>
          <w:ilvl w:val="0"/>
          <w:numId w:val="1"/>
        </w:numPr>
        <w:tabs>
          <w:tab w:val="clear" w:pos="567"/>
        </w:tabs>
        <w:spacing w:line="240" w:lineRule="auto"/>
        <w:ind w:left="567" w:hanging="567"/>
        <w:rPr>
          <w:noProof/>
          <w:szCs w:val="22"/>
        </w:rPr>
      </w:pPr>
      <w:r w:rsidRPr="00C56B34">
        <w:rPr>
          <w:noProof/>
          <w:szCs w:val="22"/>
        </w:rPr>
        <w:t>If you get any side effects, talk to your doctor. This includes any possible side effects not listed in this leaflet. See section 4.</w:t>
      </w:r>
    </w:p>
    <w:p w14:paraId="6364C97D" w14:textId="77777777" w:rsidR="00124AD4" w:rsidRPr="00662578" w:rsidRDefault="00124AD4">
      <w:pPr>
        <w:spacing w:line="240" w:lineRule="auto"/>
        <w:ind w:left="360"/>
        <w:rPr>
          <w:szCs w:val="22"/>
        </w:rPr>
      </w:pPr>
    </w:p>
    <w:p w14:paraId="2C92A0C5" w14:textId="77777777" w:rsidR="00124AD4" w:rsidRPr="00B96FD0" w:rsidRDefault="001D0951">
      <w:pPr>
        <w:numPr>
          <w:ilvl w:val="12"/>
          <w:numId w:val="0"/>
        </w:numPr>
        <w:tabs>
          <w:tab w:val="clear" w:pos="567"/>
        </w:tabs>
        <w:spacing w:line="240" w:lineRule="auto"/>
        <w:ind w:right="-2"/>
        <w:rPr>
          <w:b/>
          <w:noProof/>
          <w:szCs w:val="22"/>
        </w:rPr>
      </w:pPr>
      <w:r w:rsidRPr="00B96FD0">
        <w:rPr>
          <w:b/>
          <w:noProof/>
          <w:szCs w:val="22"/>
        </w:rPr>
        <w:t>What is in this leaflet</w:t>
      </w:r>
    </w:p>
    <w:p w14:paraId="102E6FAC" w14:textId="77777777" w:rsidR="00124AD4" w:rsidRPr="00AD7A15" w:rsidRDefault="001D0951" w:rsidP="5F2EC82B">
      <w:pPr>
        <w:spacing w:line="240" w:lineRule="auto"/>
        <w:ind w:right="-29"/>
        <w:rPr>
          <w:noProof/>
        </w:rPr>
      </w:pPr>
      <w:r w:rsidRPr="00595956">
        <w:rPr>
          <w:noProof/>
        </w:rPr>
        <w:t>1.</w:t>
      </w:r>
      <w:r w:rsidRPr="00B96FD0">
        <w:rPr>
          <w:noProof/>
          <w:szCs w:val="22"/>
        </w:rPr>
        <w:tab/>
      </w:r>
      <w:r w:rsidRPr="00595956">
        <w:rPr>
          <w:noProof/>
        </w:rPr>
        <w:t xml:space="preserve">What </w:t>
      </w:r>
      <w:r w:rsidR="00C0725A">
        <w:t>CRYSVITA</w:t>
      </w:r>
      <w:r>
        <w:rPr>
          <w:noProof/>
        </w:rPr>
        <w:t xml:space="preserve"> is and what it is used for</w:t>
      </w:r>
    </w:p>
    <w:p w14:paraId="607EE59C" w14:textId="77777777" w:rsidR="00124AD4" w:rsidRPr="00AD7A15" w:rsidRDefault="001D0951" w:rsidP="5F2EC82B">
      <w:pPr>
        <w:spacing w:line="240" w:lineRule="auto"/>
        <w:ind w:right="-29"/>
        <w:rPr>
          <w:noProof/>
        </w:rPr>
      </w:pPr>
      <w:r w:rsidRPr="00AD7A15">
        <w:rPr>
          <w:noProof/>
        </w:rPr>
        <w:t>2.</w:t>
      </w:r>
      <w:r w:rsidRPr="00B96FD0">
        <w:rPr>
          <w:noProof/>
          <w:szCs w:val="22"/>
        </w:rPr>
        <w:tab/>
      </w:r>
      <w:r w:rsidRPr="00595956">
        <w:rPr>
          <w:noProof/>
        </w:rPr>
        <w:t xml:space="preserve">What you need to know before you use </w:t>
      </w:r>
      <w:r w:rsidR="00C0725A">
        <w:t>CRYSVITA</w:t>
      </w:r>
    </w:p>
    <w:p w14:paraId="7F3B807D" w14:textId="77777777" w:rsidR="00124AD4" w:rsidRPr="00AD7A15" w:rsidRDefault="001D0951" w:rsidP="5F2EC82B">
      <w:pPr>
        <w:spacing w:line="240" w:lineRule="auto"/>
        <w:ind w:right="-29"/>
        <w:rPr>
          <w:noProof/>
        </w:rPr>
      </w:pPr>
      <w:r w:rsidRPr="00AD7A15">
        <w:rPr>
          <w:noProof/>
        </w:rPr>
        <w:t>3.</w:t>
      </w:r>
      <w:r w:rsidRPr="00B96FD0">
        <w:rPr>
          <w:noProof/>
          <w:szCs w:val="22"/>
        </w:rPr>
        <w:tab/>
      </w:r>
      <w:r w:rsidRPr="00595956">
        <w:rPr>
          <w:noProof/>
        </w:rPr>
        <w:t xml:space="preserve">How to use </w:t>
      </w:r>
      <w:r w:rsidR="00C0725A">
        <w:t>CRYSVITA</w:t>
      </w:r>
    </w:p>
    <w:p w14:paraId="28BD2E0D" w14:textId="77777777" w:rsidR="00124AD4" w:rsidRPr="00B96FD0" w:rsidRDefault="001D0951">
      <w:pPr>
        <w:numPr>
          <w:ilvl w:val="12"/>
          <w:numId w:val="0"/>
        </w:numPr>
        <w:spacing w:line="240" w:lineRule="auto"/>
        <w:ind w:right="-29"/>
        <w:rPr>
          <w:noProof/>
          <w:szCs w:val="22"/>
        </w:rPr>
      </w:pPr>
      <w:r>
        <w:rPr>
          <w:noProof/>
          <w:szCs w:val="22"/>
        </w:rPr>
        <w:t>4.</w:t>
      </w:r>
      <w:r>
        <w:rPr>
          <w:noProof/>
          <w:szCs w:val="22"/>
        </w:rPr>
        <w:tab/>
        <w:t>Possible side effects</w:t>
      </w:r>
    </w:p>
    <w:p w14:paraId="7C9C7F43" w14:textId="77777777" w:rsidR="00124AD4" w:rsidRPr="00AD7A15" w:rsidRDefault="001D0951" w:rsidP="5F2EC82B">
      <w:pPr>
        <w:spacing w:line="240" w:lineRule="auto"/>
        <w:ind w:right="-29"/>
        <w:rPr>
          <w:noProof/>
        </w:rPr>
      </w:pPr>
      <w:r w:rsidRPr="00595956">
        <w:rPr>
          <w:noProof/>
        </w:rPr>
        <w:t>5.</w:t>
      </w:r>
      <w:r w:rsidRPr="00B96FD0">
        <w:rPr>
          <w:noProof/>
          <w:szCs w:val="22"/>
        </w:rPr>
        <w:tab/>
      </w:r>
      <w:r w:rsidRPr="00595956">
        <w:rPr>
          <w:noProof/>
        </w:rPr>
        <w:t xml:space="preserve">How to store </w:t>
      </w:r>
      <w:r w:rsidR="00C0725A">
        <w:t>CRYSVITA</w:t>
      </w:r>
    </w:p>
    <w:p w14:paraId="1ACB25AD" w14:textId="77777777" w:rsidR="00124AD4" w:rsidRPr="00B96FD0" w:rsidRDefault="001D0951">
      <w:pPr>
        <w:numPr>
          <w:ilvl w:val="12"/>
          <w:numId w:val="0"/>
        </w:numPr>
        <w:spacing w:line="240" w:lineRule="auto"/>
        <w:ind w:right="-29"/>
        <w:rPr>
          <w:noProof/>
          <w:szCs w:val="22"/>
        </w:rPr>
      </w:pPr>
      <w:r w:rsidRPr="00B96FD0">
        <w:rPr>
          <w:noProof/>
          <w:szCs w:val="22"/>
        </w:rPr>
        <w:t>6.</w:t>
      </w:r>
      <w:r w:rsidRPr="00B96FD0">
        <w:rPr>
          <w:noProof/>
          <w:szCs w:val="22"/>
        </w:rPr>
        <w:tab/>
        <w:t>Contents of the pack and other information</w:t>
      </w:r>
    </w:p>
    <w:p w14:paraId="7E712CE5" w14:textId="77777777" w:rsidR="00124AD4" w:rsidRDefault="00124AD4">
      <w:pPr>
        <w:numPr>
          <w:ilvl w:val="12"/>
          <w:numId w:val="0"/>
        </w:numPr>
        <w:tabs>
          <w:tab w:val="clear" w:pos="567"/>
        </w:tabs>
        <w:spacing w:line="240" w:lineRule="auto"/>
        <w:rPr>
          <w:noProof/>
          <w:szCs w:val="22"/>
        </w:rPr>
      </w:pPr>
    </w:p>
    <w:p w14:paraId="56D43F3B" w14:textId="77777777" w:rsidR="00124AD4" w:rsidRPr="00C56B34" w:rsidRDefault="00124AD4">
      <w:pPr>
        <w:numPr>
          <w:ilvl w:val="12"/>
          <w:numId w:val="0"/>
        </w:numPr>
        <w:tabs>
          <w:tab w:val="clear" w:pos="567"/>
        </w:tabs>
        <w:spacing w:line="240" w:lineRule="auto"/>
        <w:rPr>
          <w:noProof/>
          <w:szCs w:val="22"/>
        </w:rPr>
      </w:pPr>
    </w:p>
    <w:p w14:paraId="278AA5F5" w14:textId="77777777" w:rsidR="00124AD4" w:rsidRPr="00AD7A15" w:rsidRDefault="001D0951" w:rsidP="5F2EC82B">
      <w:pPr>
        <w:pStyle w:val="ListParagraph"/>
        <w:numPr>
          <w:ilvl w:val="0"/>
          <w:numId w:val="4"/>
        </w:numPr>
        <w:spacing w:line="240" w:lineRule="auto"/>
        <w:rPr>
          <w:b/>
          <w:bCs/>
        </w:rPr>
      </w:pPr>
      <w:r w:rsidRPr="5F2EC82B">
        <w:rPr>
          <w:b/>
          <w:bCs/>
        </w:rPr>
        <w:t>What CRYSVITA is and what it is used for</w:t>
      </w:r>
    </w:p>
    <w:p w14:paraId="0D0D7496" w14:textId="77777777" w:rsidR="00124AD4" w:rsidRPr="00C55559" w:rsidRDefault="00124AD4" w:rsidP="00124AD4">
      <w:pPr>
        <w:numPr>
          <w:ilvl w:val="12"/>
          <w:numId w:val="0"/>
        </w:numPr>
        <w:tabs>
          <w:tab w:val="clear" w:pos="567"/>
        </w:tabs>
        <w:spacing w:line="240" w:lineRule="auto"/>
        <w:rPr>
          <w:noProof/>
          <w:szCs w:val="22"/>
        </w:rPr>
      </w:pPr>
    </w:p>
    <w:p w14:paraId="583E4408" w14:textId="77777777" w:rsidR="00124AD4" w:rsidRPr="00AD7A15" w:rsidRDefault="001D0951" w:rsidP="5F2EC82B">
      <w:pPr>
        <w:spacing w:line="240" w:lineRule="auto"/>
        <w:rPr>
          <w:b/>
          <w:bCs/>
        </w:rPr>
      </w:pPr>
      <w:r w:rsidRPr="5F2EC82B">
        <w:rPr>
          <w:b/>
          <w:bCs/>
          <w:noProof/>
        </w:rPr>
        <w:t xml:space="preserve">What </w:t>
      </w:r>
      <w:r w:rsidRPr="5F2EC82B">
        <w:rPr>
          <w:b/>
          <w:bCs/>
        </w:rPr>
        <w:t>CRYSVITA is</w:t>
      </w:r>
    </w:p>
    <w:p w14:paraId="67C4C0D1" w14:textId="77777777" w:rsidR="00124AD4" w:rsidRDefault="001D0951" w:rsidP="50BD9E82">
      <w:pPr>
        <w:spacing w:line="240" w:lineRule="auto"/>
        <w:rPr>
          <w:szCs w:val="22"/>
        </w:rPr>
      </w:pPr>
      <w:r>
        <w:t>CRYSVITA</w:t>
      </w:r>
      <w:r w:rsidRPr="07120F5B">
        <w:rPr>
          <w:noProof/>
        </w:rPr>
        <w:t xml:space="preserve"> </w:t>
      </w:r>
      <w:r>
        <w:t xml:space="preserve">contains the active substance </w:t>
      </w:r>
      <w:proofErr w:type="spellStart"/>
      <w:r>
        <w:t>burosumab</w:t>
      </w:r>
      <w:proofErr w:type="spellEnd"/>
      <w:r>
        <w:t xml:space="preserve">. This is a type of medicine called a human monoclonal antibody. </w:t>
      </w:r>
    </w:p>
    <w:p w14:paraId="022610EF" w14:textId="77777777" w:rsidR="00124AD4" w:rsidRPr="00662578" w:rsidRDefault="00124AD4" w:rsidP="00124AD4">
      <w:pPr>
        <w:spacing w:line="240" w:lineRule="auto"/>
        <w:rPr>
          <w:noProof/>
          <w:szCs w:val="22"/>
        </w:rPr>
      </w:pPr>
    </w:p>
    <w:p w14:paraId="09644FBC" w14:textId="77777777" w:rsidR="00124AD4" w:rsidRPr="00AD7A15" w:rsidRDefault="001D0951" w:rsidP="5F2EC82B">
      <w:pPr>
        <w:tabs>
          <w:tab w:val="clear" w:pos="567"/>
        </w:tabs>
        <w:spacing w:line="240" w:lineRule="auto"/>
        <w:ind w:right="-2"/>
        <w:rPr>
          <w:b/>
          <w:bCs/>
        </w:rPr>
      </w:pPr>
      <w:r w:rsidRPr="5F2EC82B">
        <w:rPr>
          <w:b/>
          <w:bCs/>
        </w:rPr>
        <w:t>What is CRYSVITA used for</w:t>
      </w:r>
    </w:p>
    <w:p w14:paraId="68538789" w14:textId="02799063" w:rsidR="00124AD4" w:rsidRDefault="001D0951" w:rsidP="00124AD4">
      <w:pPr>
        <w:spacing w:line="240" w:lineRule="auto"/>
      </w:pPr>
      <w:r w:rsidRPr="07120F5B">
        <w:rPr>
          <w:noProof/>
        </w:rPr>
        <w:t xml:space="preserve">CRYSVITA is used to treat X-linked hypophosphataemia (XLH). It is used in </w:t>
      </w:r>
      <w:r w:rsidRPr="005B4E3A">
        <w:rPr>
          <w:noProof/>
        </w:rPr>
        <w:t xml:space="preserve">children </w:t>
      </w:r>
      <w:r w:rsidR="00CB054E" w:rsidRPr="005B4E3A">
        <w:rPr>
          <w:noProof/>
        </w:rPr>
        <w:t>and adolescents aged</w:t>
      </w:r>
      <w:r w:rsidRPr="005B4E3A">
        <w:rPr>
          <w:noProof/>
        </w:rPr>
        <w:t xml:space="preserve"> 1 </w:t>
      </w:r>
      <w:r w:rsidR="00CB054E" w:rsidRPr="005B4E3A">
        <w:rPr>
          <w:noProof/>
        </w:rPr>
        <w:t xml:space="preserve">to </w:t>
      </w:r>
      <w:r w:rsidR="00EC040E" w:rsidRPr="005B4E3A">
        <w:rPr>
          <w:noProof/>
        </w:rPr>
        <w:t>17</w:t>
      </w:r>
      <w:r w:rsidR="006D1EBB" w:rsidRPr="005B4E3A">
        <w:rPr>
          <w:noProof/>
        </w:rPr>
        <w:t xml:space="preserve"> </w:t>
      </w:r>
      <w:r w:rsidRPr="005B4E3A">
        <w:rPr>
          <w:noProof/>
        </w:rPr>
        <w:t>year</w:t>
      </w:r>
      <w:r w:rsidR="00CB054E" w:rsidRPr="005B4E3A">
        <w:rPr>
          <w:noProof/>
        </w:rPr>
        <w:t xml:space="preserve">s, </w:t>
      </w:r>
      <w:r w:rsidR="009A12A5" w:rsidRPr="005B4E3A">
        <w:rPr>
          <w:noProof/>
        </w:rPr>
        <w:t xml:space="preserve">and </w:t>
      </w:r>
      <w:r w:rsidR="00CB054E" w:rsidRPr="005B4E3A">
        <w:rPr>
          <w:noProof/>
        </w:rPr>
        <w:t xml:space="preserve">in </w:t>
      </w:r>
      <w:r w:rsidR="009A12A5" w:rsidRPr="005B4E3A">
        <w:rPr>
          <w:noProof/>
        </w:rPr>
        <w:t>adults</w:t>
      </w:r>
      <w:r w:rsidRPr="005B4E3A">
        <w:t>.</w:t>
      </w:r>
    </w:p>
    <w:p w14:paraId="678371FE" w14:textId="77777777" w:rsidR="00124AD4" w:rsidRPr="00C56B34" w:rsidRDefault="00124AD4" w:rsidP="00124AD4">
      <w:pPr>
        <w:spacing w:line="240" w:lineRule="auto"/>
        <w:rPr>
          <w:noProof/>
          <w:szCs w:val="22"/>
        </w:rPr>
      </w:pPr>
    </w:p>
    <w:p w14:paraId="38B90905" w14:textId="77777777" w:rsidR="00124AD4" w:rsidRPr="00AD7A15" w:rsidRDefault="001D0951" w:rsidP="5F2EC82B">
      <w:pPr>
        <w:tabs>
          <w:tab w:val="clear" w:pos="567"/>
        </w:tabs>
        <w:spacing w:line="240" w:lineRule="auto"/>
        <w:ind w:right="-2"/>
        <w:rPr>
          <w:b/>
          <w:bCs/>
          <w:noProof/>
        </w:rPr>
      </w:pPr>
      <w:r w:rsidRPr="5F2EC82B">
        <w:rPr>
          <w:b/>
          <w:bCs/>
        </w:rPr>
        <w:t xml:space="preserve">What is </w:t>
      </w:r>
      <w:r w:rsidRPr="5F2EC82B">
        <w:rPr>
          <w:b/>
          <w:bCs/>
          <w:noProof/>
        </w:rPr>
        <w:t>X-Linked Hypophosphataemia (XLH)</w:t>
      </w:r>
    </w:p>
    <w:p w14:paraId="2D9BE64D" w14:textId="77777777" w:rsidR="00124AD4" w:rsidRPr="00C56B34" w:rsidRDefault="001D0951">
      <w:pPr>
        <w:tabs>
          <w:tab w:val="clear" w:pos="567"/>
        </w:tabs>
        <w:spacing w:line="240" w:lineRule="auto"/>
        <w:ind w:right="-2"/>
        <w:rPr>
          <w:b/>
          <w:szCs w:val="22"/>
        </w:rPr>
      </w:pPr>
      <w:r w:rsidRPr="00C56B34">
        <w:rPr>
          <w:noProof/>
          <w:szCs w:val="22"/>
        </w:rPr>
        <w:t>X-Linked Hypophosphataemia (XLH) is a genetic disease.</w:t>
      </w:r>
    </w:p>
    <w:p w14:paraId="50DED783" w14:textId="77777777" w:rsidR="00124AD4" w:rsidRPr="00B96FD0" w:rsidRDefault="001D0951" w:rsidP="00944C96">
      <w:pPr>
        <w:pStyle w:val="ListParagraph"/>
        <w:numPr>
          <w:ilvl w:val="0"/>
          <w:numId w:val="2"/>
        </w:numPr>
        <w:spacing w:line="240" w:lineRule="auto"/>
        <w:ind w:left="567" w:hanging="567"/>
      </w:pPr>
      <w:r>
        <w:t>People with XLH have higher levels of a hormone called fibroblast growth factor 23 (FGF23).</w:t>
      </w:r>
    </w:p>
    <w:p w14:paraId="0FFE97A2" w14:textId="77777777" w:rsidR="00154CE6" w:rsidRPr="00B96FD0" w:rsidRDefault="001D0951" w:rsidP="00154CE6">
      <w:pPr>
        <w:pStyle w:val="ListParagraph"/>
        <w:numPr>
          <w:ilvl w:val="0"/>
          <w:numId w:val="2"/>
        </w:numPr>
        <w:spacing w:line="240" w:lineRule="auto"/>
        <w:ind w:left="567" w:hanging="567"/>
      </w:pPr>
      <w:r>
        <w:t>FGF23 lowers the amount of phosphate in the blood</w:t>
      </w:r>
      <w:r w:rsidR="00D96D20">
        <w:t>.</w:t>
      </w:r>
    </w:p>
    <w:p w14:paraId="6BED8FAC" w14:textId="39CFB6B6" w:rsidR="000849F4" w:rsidRDefault="001D0951" w:rsidP="00D96D20">
      <w:pPr>
        <w:pStyle w:val="ListParagraph"/>
        <w:numPr>
          <w:ilvl w:val="0"/>
          <w:numId w:val="2"/>
        </w:numPr>
        <w:spacing w:line="240" w:lineRule="auto"/>
        <w:ind w:left="567" w:hanging="567"/>
      </w:pPr>
      <w:r w:rsidRPr="00645759">
        <w:t>The low level of phosphate may</w:t>
      </w:r>
      <w:r w:rsidR="001938CC">
        <w:t xml:space="preserve">: </w:t>
      </w:r>
    </w:p>
    <w:p w14:paraId="350BC991" w14:textId="2F204023" w:rsidR="00D96D20" w:rsidRDefault="001938CC" w:rsidP="00BA7A3F">
      <w:pPr>
        <w:pStyle w:val="ListParagraph"/>
        <w:numPr>
          <w:ilvl w:val="1"/>
          <w:numId w:val="27"/>
        </w:numPr>
        <w:spacing w:line="240" w:lineRule="auto"/>
      </w:pPr>
      <w:r w:rsidRPr="00645759">
        <w:t>lead to bones that</w:t>
      </w:r>
      <w:r>
        <w:t xml:space="preserve"> </w:t>
      </w:r>
      <w:r w:rsidR="00EC040E">
        <w:t xml:space="preserve">may not </w:t>
      </w:r>
      <w:r w:rsidR="001D0951" w:rsidRPr="00645759">
        <w:t>harden properly</w:t>
      </w:r>
      <w:r>
        <w:t xml:space="preserve"> and, in children and adolescents, </w:t>
      </w:r>
      <w:r w:rsidRPr="00645759">
        <w:t xml:space="preserve">cannot grow </w:t>
      </w:r>
      <w:r>
        <w:t>properly</w:t>
      </w:r>
    </w:p>
    <w:p w14:paraId="20407D7E" w14:textId="03494125" w:rsidR="009A12A5" w:rsidRPr="00B96FD0" w:rsidRDefault="009A12A5" w:rsidP="00BA7A3F">
      <w:pPr>
        <w:pStyle w:val="ListParagraph"/>
        <w:numPr>
          <w:ilvl w:val="1"/>
          <w:numId w:val="27"/>
        </w:numPr>
        <w:spacing w:line="240" w:lineRule="auto"/>
      </w:pPr>
      <w:r>
        <w:t>result in pain and stiffness in bones and joints</w:t>
      </w:r>
    </w:p>
    <w:p w14:paraId="651B1EFE" w14:textId="77777777" w:rsidR="00124AD4" w:rsidRPr="00C55559" w:rsidRDefault="00124AD4" w:rsidP="00124AD4">
      <w:pPr>
        <w:spacing w:line="240" w:lineRule="auto"/>
        <w:rPr>
          <w:noProof/>
          <w:szCs w:val="22"/>
        </w:rPr>
      </w:pPr>
    </w:p>
    <w:p w14:paraId="5C80D668" w14:textId="77777777" w:rsidR="00124AD4" w:rsidRPr="001F795B" w:rsidRDefault="001D0951" w:rsidP="5F2EC82B">
      <w:pPr>
        <w:tabs>
          <w:tab w:val="clear" w:pos="567"/>
        </w:tabs>
        <w:spacing w:line="240" w:lineRule="auto"/>
        <w:ind w:right="-2"/>
        <w:rPr>
          <w:b/>
          <w:bCs/>
        </w:rPr>
      </w:pPr>
      <w:r w:rsidRPr="5F2EC82B">
        <w:rPr>
          <w:b/>
          <w:bCs/>
        </w:rPr>
        <w:t>How CRYSVITA works</w:t>
      </w:r>
    </w:p>
    <w:p w14:paraId="55AE2F58" w14:textId="77777777" w:rsidR="00124AD4" w:rsidRPr="00C56B34" w:rsidRDefault="001D0951" w:rsidP="50BD9E82">
      <w:pPr>
        <w:spacing w:line="240" w:lineRule="auto"/>
        <w:rPr>
          <w:szCs w:val="22"/>
        </w:rPr>
      </w:pPr>
      <w:r w:rsidRPr="5F2EC82B">
        <w:rPr>
          <w:noProof/>
        </w:rPr>
        <w:t>CRYSVITA</w:t>
      </w:r>
      <w:r>
        <w:t xml:space="preserve"> attaches to FGF23 in the blood which stops FGF23 from working and</w:t>
      </w:r>
      <w:r w:rsidRPr="5F2EC82B">
        <w:rPr>
          <w:lang w:val="en-US"/>
        </w:rPr>
        <w:t xml:space="preserve"> increases the phosphate levels in the blood so that normal levels of phosphate can be achieved</w:t>
      </w:r>
      <w:r>
        <w:t>.</w:t>
      </w:r>
    </w:p>
    <w:p w14:paraId="165B1B76" w14:textId="77777777" w:rsidR="00124AD4" w:rsidRPr="00C56B34" w:rsidRDefault="00124AD4" w:rsidP="00D6280E">
      <w:pPr>
        <w:tabs>
          <w:tab w:val="clear" w:pos="567"/>
        </w:tabs>
        <w:spacing w:line="480" w:lineRule="auto"/>
        <w:rPr>
          <w:noProof/>
          <w:szCs w:val="22"/>
        </w:rPr>
      </w:pPr>
    </w:p>
    <w:p w14:paraId="40394533" w14:textId="77777777" w:rsidR="00124AD4" w:rsidRPr="00AD7A15" w:rsidRDefault="001D0951" w:rsidP="00123F7A">
      <w:pPr>
        <w:pStyle w:val="ListParagraph"/>
        <w:keepNext/>
        <w:keepLines/>
        <w:widowControl w:val="0"/>
        <w:numPr>
          <w:ilvl w:val="0"/>
          <w:numId w:val="4"/>
        </w:numPr>
        <w:spacing w:line="240" w:lineRule="auto"/>
        <w:ind w:left="576" w:hanging="576"/>
        <w:rPr>
          <w:b/>
          <w:bCs/>
        </w:rPr>
      </w:pPr>
      <w:r w:rsidRPr="5F2EC82B">
        <w:rPr>
          <w:b/>
          <w:bCs/>
        </w:rPr>
        <w:lastRenderedPageBreak/>
        <w:t xml:space="preserve">What you need to know before you use CRYSVITA </w:t>
      </w:r>
    </w:p>
    <w:p w14:paraId="70208C5E" w14:textId="77777777" w:rsidR="00124AD4" w:rsidRPr="00280D28" w:rsidRDefault="00124AD4" w:rsidP="00123F7A">
      <w:pPr>
        <w:pStyle w:val="ListParagraph"/>
        <w:keepNext/>
        <w:keepLines/>
        <w:spacing w:line="240" w:lineRule="auto"/>
        <w:ind w:left="570"/>
        <w:rPr>
          <w:b/>
          <w:bCs/>
          <w:szCs w:val="22"/>
        </w:rPr>
      </w:pPr>
    </w:p>
    <w:p w14:paraId="2BB5DFFF" w14:textId="2C54C9AC" w:rsidR="00124AD4" w:rsidRPr="00AD7A15" w:rsidRDefault="001D0951" w:rsidP="00123F7A">
      <w:pPr>
        <w:keepNext/>
        <w:keepLines/>
        <w:widowControl w:val="0"/>
        <w:tabs>
          <w:tab w:val="clear" w:pos="567"/>
        </w:tabs>
        <w:spacing w:line="240" w:lineRule="auto"/>
        <w:outlineLvl w:val="0"/>
        <w:rPr>
          <w:b/>
          <w:bCs/>
          <w:noProof/>
        </w:rPr>
      </w:pPr>
      <w:bookmarkStart w:id="14" w:name="_Hlk21517853"/>
      <w:r w:rsidRPr="5F2EC82B">
        <w:rPr>
          <w:b/>
          <w:bCs/>
          <w:noProof/>
        </w:rPr>
        <w:t xml:space="preserve">Do not use </w:t>
      </w:r>
      <w:r w:rsidRPr="5F2EC82B">
        <w:rPr>
          <w:b/>
          <w:bCs/>
          <w:lang w:val="en-US"/>
        </w:rPr>
        <w:t>CRYSVITA if</w:t>
      </w:r>
      <w:bookmarkEnd w:id="14"/>
    </w:p>
    <w:p w14:paraId="7B5EF833" w14:textId="77777777" w:rsidR="00124AD4" w:rsidRPr="00123F7A" w:rsidRDefault="001D0951" w:rsidP="00123F7A">
      <w:pPr>
        <w:keepNext/>
        <w:keepLines/>
        <w:widowControl w:val="0"/>
        <w:numPr>
          <w:ilvl w:val="0"/>
          <w:numId w:val="1"/>
        </w:numPr>
        <w:tabs>
          <w:tab w:val="clear" w:pos="567"/>
        </w:tabs>
        <w:spacing w:line="240" w:lineRule="auto"/>
        <w:ind w:left="562" w:hanging="562"/>
        <w:rPr>
          <w:noProof/>
          <w:szCs w:val="22"/>
        </w:rPr>
      </w:pPr>
      <w:r w:rsidRPr="00C56B34">
        <w:rPr>
          <w:noProof/>
          <w:szCs w:val="22"/>
        </w:rPr>
        <w:t xml:space="preserve">you are allergic to burosumab or any of the other ingredients of this medicine (listed in </w:t>
      </w:r>
      <w:r w:rsidRPr="00123F7A">
        <w:rPr>
          <w:noProof/>
          <w:szCs w:val="22"/>
        </w:rPr>
        <w:t xml:space="preserve">section 6) </w:t>
      </w:r>
    </w:p>
    <w:p w14:paraId="0564B012" w14:textId="77777777" w:rsidR="00124AD4" w:rsidRPr="00123F7A" w:rsidRDefault="001D0951" w:rsidP="00123F7A">
      <w:pPr>
        <w:keepNext/>
        <w:keepLines/>
        <w:widowControl w:val="0"/>
        <w:numPr>
          <w:ilvl w:val="0"/>
          <w:numId w:val="1"/>
        </w:numPr>
        <w:tabs>
          <w:tab w:val="clear" w:pos="567"/>
        </w:tabs>
        <w:spacing w:line="240" w:lineRule="auto"/>
        <w:ind w:left="562" w:hanging="562"/>
      </w:pPr>
      <w:r w:rsidRPr="00123F7A">
        <w:t xml:space="preserve">you are taking any phosphate </w:t>
      </w:r>
      <w:r w:rsidR="00335245" w:rsidRPr="00123F7A">
        <w:t xml:space="preserve">supplements </w:t>
      </w:r>
      <w:r w:rsidRPr="00123F7A">
        <w:t xml:space="preserve">or </w:t>
      </w:r>
      <w:r w:rsidR="00335245" w:rsidRPr="00123F7A">
        <w:t xml:space="preserve">certain </w:t>
      </w:r>
      <w:r w:rsidRPr="00123F7A">
        <w:t>vitamin D supplements</w:t>
      </w:r>
      <w:r w:rsidR="00335245" w:rsidRPr="00123F7A">
        <w:t xml:space="preserve"> (that contain so called active vitamin D, e.g. calcitriol)</w:t>
      </w:r>
    </w:p>
    <w:p w14:paraId="02C3599E" w14:textId="77777777" w:rsidR="00124AD4" w:rsidRPr="001B2DFA" w:rsidRDefault="001D0951" w:rsidP="00123F7A">
      <w:pPr>
        <w:keepNext/>
        <w:keepLines/>
        <w:widowControl w:val="0"/>
        <w:numPr>
          <w:ilvl w:val="0"/>
          <w:numId w:val="1"/>
        </w:numPr>
        <w:tabs>
          <w:tab w:val="clear" w:pos="567"/>
        </w:tabs>
        <w:spacing w:line="240" w:lineRule="auto"/>
        <w:ind w:left="562" w:hanging="562"/>
      </w:pPr>
      <w:r>
        <w:t xml:space="preserve">you already have </w:t>
      </w:r>
      <w:r w:rsidRPr="5F2EC82B">
        <w:rPr>
          <w:noProof/>
        </w:rPr>
        <w:t xml:space="preserve">a </w:t>
      </w:r>
      <w:r>
        <w:t xml:space="preserve">high level of phosphate in your blood </w:t>
      </w:r>
      <w:r w:rsidRPr="5F2EC82B">
        <w:rPr>
          <w:noProof/>
        </w:rPr>
        <w:t>(“hyper-phosphataemia”)</w:t>
      </w:r>
    </w:p>
    <w:p w14:paraId="1B51A2EB" w14:textId="77777777" w:rsidR="00124AD4" w:rsidRDefault="001D0951" w:rsidP="00123F7A">
      <w:pPr>
        <w:keepNext/>
        <w:keepLines/>
        <w:widowControl w:val="0"/>
        <w:numPr>
          <w:ilvl w:val="0"/>
          <w:numId w:val="1"/>
        </w:numPr>
        <w:tabs>
          <w:tab w:val="clear" w:pos="567"/>
        </w:tabs>
        <w:spacing w:line="240" w:lineRule="auto"/>
        <w:ind w:left="562" w:hanging="562"/>
        <w:rPr>
          <w:noProof/>
        </w:rPr>
      </w:pPr>
      <w:r>
        <w:t>you have severe kidney disease</w:t>
      </w:r>
      <w:r w:rsidRPr="5F2EC82B">
        <w:rPr>
          <w:noProof/>
        </w:rPr>
        <w:t xml:space="preserve"> or kidney failure.</w:t>
      </w:r>
    </w:p>
    <w:p w14:paraId="25E3E4C5" w14:textId="77777777" w:rsidR="00124AD4" w:rsidRPr="00AD7A15" w:rsidRDefault="00124AD4" w:rsidP="00124AD4">
      <w:pPr>
        <w:keepNext/>
        <w:keepLines/>
        <w:tabs>
          <w:tab w:val="clear" w:pos="567"/>
        </w:tabs>
        <w:spacing w:line="240" w:lineRule="auto"/>
        <w:ind w:left="360"/>
        <w:rPr>
          <w:noProof/>
        </w:rPr>
      </w:pPr>
    </w:p>
    <w:p w14:paraId="32CC2A6A" w14:textId="77777777" w:rsidR="00DA09B2" w:rsidRPr="00535D3B" w:rsidRDefault="001D0951" w:rsidP="00DA09B2">
      <w:pPr>
        <w:tabs>
          <w:tab w:val="clear" w:pos="567"/>
        </w:tabs>
        <w:spacing w:line="240" w:lineRule="auto"/>
        <w:rPr>
          <w:bCs/>
          <w:u w:val="single"/>
          <w:lang w:val="en-US"/>
        </w:rPr>
      </w:pPr>
      <w:r w:rsidRPr="00535D3B">
        <w:rPr>
          <w:bCs/>
          <w:u w:val="single"/>
          <w:lang w:val="en-US"/>
        </w:rPr>
        <w:t>Allergic reactions</w:t>
      </w:r>
    </w:p>
    <w:p w14:paraId="5D83FDF9" w14:textId="77777777" w:rsidR="00DA09B2" w:rsidRPr="00E00840" w:rsidRDefault="001D0951" w:rsidP="00DA09B2">
      <w:pPr>
        <w:tabs>
          <w:tab w:val="clear" w:pos="567"/>
        </w:tabs>
        <w:spacing w:line="240" w:lineRule="auto"/>
        <w:ind w:right="-2"/>
        <w:rPr>
          <w:szCs w:val="22"/>
        </w:rPr>
      </w:pPr>
      <w:r>
        <w:t>Stop taking CRYSVITA and tell your doctor straight away if you have any of the following side effects, as they could be signs of an allergic reaction:</w:t>
      </w:r>
    </w:p>
    <w:p w14:paraId="2BB30EA7" w14:textId="77777777" w:rsidR="00DA09B2" w:rsidRPr="00662578" w:rsidRDefault="001D0951" w:rsidP="00DA09B2">
      <w:pPr>
        <w:numPr>
          <w:ilvl w:val="0"/>
          <w:numId w:val="1"/>
        </w:numPr>
        <w:tabs>
          <w:tab w:val="clear" w:pos="567"/>
        </w:tabs>
        <w:spacing w:line="240" w:lineRule="auto"/>
        <w:ind w:left="567" w:hanging="567"/>
        <w:rPr>
          <w:szCs w:val="22"/>
        </w:rPr>
      </w:pPr>
      <w:r w:rsidRPr="00C56B34">
        <w:rPr>
          <w:noProof/>
          <w:szCs w:val="22"/>
        </w:rPr>
        <w:t>rash and itching all over the body</w:t>
      </w:r>
    </w:p>
    <w:p w14:paraId="0F45E44D" w14:textId="77777777" w:rsidR="00DA09B2" w:rsidRPr="00662578" w:rsidRDefault="001D0951" w:rsidP="00DA09B2">
      <w:pPr>
        <w:numPr>
          <w:ilvl w:val="0"/>
          <w:numId w:val="1"/>
        </w:numPr>
        <w:tabs>
          <w:tab w:val="clear" w:pos="567"/>
        </w:tabs>
        <w:spacing w:line="240" w:lineRule="auto"/>
        <w:ind w:left="567" w:hanging="567"/>
        <w:rPr>
          <w:szCs w:val="22"/>
        </w:rPr>
      </w:pPr>
      <w:r w:rsidRPr="00C56B34">
        <w:rPr>
          <w:noProof/>
          <w:szCs w:val="22"/>
        </w:rPr>
        <w:t xml:space="preserve">severe swelling of </w:t>
      </w:r>
      <w:r>
        <w:rPr>
          <w:noProof/>
          <w:szCs w:val="22"/>
        </w:rPr>
        <w:t>eyelids, mouth or lips</w:t>
      </w:r>
      <w:r w:rsidRPr="00C56B34">
        <w:rPr>
          <w:noProof/>
          <w:szCs w:val="22"/>
        </w:rPr>
        <w:t xml:space="preserve"> (angio-oedema)</w:t>
      </w:r>
    </w:p>
    <w:p w14:paraId="07542A54" w14:textId="77777777" w:rsidR="00DA09B2" w:rsidRPr="00662578" w:rsidRDefault="001D0951" w:rsidP="00DA09B2">
      <w:pPr>
        <w:numPr>
          <w:ilvl w:val="0"/>
          <w:numId w:val="1"/>
        </w:numPr>
        <w:tabs>
          <w:tab w:val="clear" w:pos="567"/>
        </w:tabs>
        <w:spacing w:line="240" w:lineRule="auto"/>
        <w:ind w:left="567" w:hanging="567"/>
        <w:rPr>
          <w:szCs w:val="22"/>
        </w:rPr>
      </w:pPr>
      <w:r w:rsidRPr="00C56B34">
        <w:rPr>
          <w:noProof/>
          <w:szCs w:val="22"/>
        </w:rPr>
        <w:t>shortness of breath</w:t>
      </w:r>
    </w:p>
    <w:p w14:paraId="42E88F83" w14:textId="77777777" w:rsidR="00DA09B2" w:rsidRPr="00662578" w:rsidRDefault="001D0951" w:rsidP="00DA09B2">
      <w:pPr>
        <w:numPr>
          <w:ilvl w:val="0"/>
          <w:numId w:val="1"/>
        </w:numPr>
        <w:tabs>
          <w:tab w:val="clear" w:pos="567"/>
        </w:tabs>
        <w:spacing w:line="240" w:lineRule="auto"/>
        <w:ind w:left="567" w:hanging="567"/>
        <w:rPr>
          <w:szCs w:val="22"/>
        </w:rPr>
      </w:pPr>
      <w:r>
        <w:rPr>
          <w:noProof/>
          <w:szCs w:val="22"/>
        </w:rPr>
        <w:t>rapid heartbeat</w:t>
      </w:r>
    </w:p>
    <w:p w14:paraId="6ED67ADD" w14:textId="77777777" w:rsidR="00DA09B2" w:rsidRPr="00CA2536" w:rsidRDefault="001D0951" w:rsidP="00DA09B2">
      <w:pPr>
        <w:numPr>
          <w:ilvl w:val="0"/>
          <w:numId w:val="1"/>
        </w:numPr>
        <w:tabs>
          <w:tab w:val="clear" w:pos="567"/>
        </w:tabs>
        <w:spacing w:line="240" w:lineRule="auto"/>
        <w:ind w:left="567" w:hanging="567"/>
        <w:rPr>
          <w:bCs/>
          <w:noProof/>
          <w:szCs w:val="22"/>
        </w:rPr>
      </w:pPr>
      <w:r w:rsidRPr="00C56B34">
        <w:rPr>
          <w:noProof/>
          <w:szCs w:val="22"/>
        </w:rPr>
        <w:t>sweating.</w:t>
      </w:r>
    </w:p>
    <w:p w14:paraId="35346E2A" w14:textId="77777777" w:rsidR="00DA09B2" w:rsidRPr="00E27790" w:rsidRDefault="00DA09B2" w:rsidP="00DA09B2">
      <w:pPr>
        <w:tabs>
          <w:tab w:val="clear" w:pos="567"/>
        </w:tabs>
        <w:spacing w:line="240" w:lineRule="auto"/>
        <w:rPr>
          <w:bCs/>
        </w:rPr>
      </w:pPr>
    </w:p>
    <w:p w14:paraId="37732118" w14:textId="77777777" w:rsidR="00124AD4" w:rsidRPr="00C56B34" w:rsidRDefault="001D0951" w:rsidP="00D6280E">
      <w:pPr>
        <w:widowControl w:val="0"/>
        <w:tabs>
          <w:tab w:val="clear" w:pos="567"/>
        </w:tabs>
        <w:spacing w:line="240" w:lineRule="auto"/>
        <w:rPr>
          <w:noProof/>
          <w:szCs w:val="22"/>
        </w:rPr>
      </w:pPr>
      <w:r w:rsidRPr="00C56B34">
        <w:rPr>
          <w:noProof/>
          <w:szCs w:val="22"/>
        </w:rPr>
        <w:t xml:space="preserve">Do not take </w:t>
      </w:r>
      <w:r w:rsidR="00C0725A">
        <w:rPr>
          <w:noProof/>
          <w:szCs w:val="22"/>
        </w:rPr>
        <w:t>CRYSVITA</w:t>
      </w:r>
      <w:r w:rsidRPr="00C56B34">
        <w:rPr>
          <w:noProof/>
          <w:szCs w:val="22"/>
        </w:rPr>
        <w:t xml:space="preserve"> if any of the above apply to you. If you are not sure, talk to your doctor before using </w:t>
      </w:r>
      <w:r w:rsidR="00C0725A">
        <w:rPr>
          <w:noProof/>
          <w:szCs w:val="22"/>
        </w:rPr>
        <w:t>CRYSVITA</w:t>
      </w:r>
      <w:r w:rsidRPr="00C56B34">
        <w:rPr>
          <w:noProof/>
          <w:szCs w:val="22"/>
        </w:rPr>
        <w:t>.</w:t>
      </w:r>
    </w:p>
    <w:p w14:paraId="56C95568" w14:textId="77777777" w:rsidR="00124AD4" w:rsidRPr="00CA2536" w:rsidRDefault="00124AD4">
      <w:pPr>
        <w:numPr>
          <w:ilvl w:val="12"/>
          <w:numId w:val="0"/>
        </w:numPr>
        <w:tabs>
          <w:tab w:val="clear" w:pos="567"/>
        </w:tabs>
        <w:spacing w:line="240" w:lineRule="auto"/>
        <w:outlineLvl w:val="0"/>
        <w:rPr>
          <w:noProof/>
          <w:szCs w:val="22"/>
        </w:rPr>
      </w:pPr>
    </w:p>
    <w:p w14:paraId="04DE5FC2" w14:textId="77777777" w:rsidR="00124AD4" w:rsidRPr="00662578" w:rsidRDefault="001D0951">
      <w:pPr>
        <w:numPr>
          <w:ilvl w:val="12"/>
          <w:numId w:val="0"/>
        </w:numPr>
        <w:tabs>
          <w:tab w:val="clear" w:pos="567"/>
        </w:tabs>
        <w:spacing w:line="240" w:lineRule="auto"/>
        <w:outlineLvl w:val="0"/>
        <w:rPr>
          <w:b/>
          <w:noProof/>
          <w:szCs w:val="22"/>
        </w:rPr>
      </w:pPr>
      <w:r w:rsidRPr="00662578">
        <w:rPr>
          <w:b/>
          <w:noProof/>
          <w:szCs w:val="22"/>
        </w:rPr>
        <w:t xml:space="preserve">Warnings and precautions </w:t>
      </w:r>
    </w:p>
    <w:p w14:paraId="620C5B4F" w14:textId="77777777" w:rsidR="005C7DCA" w:rsidRDefault="005C7DCA" w:rsidP="5F2EC82B">
      <w:pPr>
        <w:tabs>
          <w:tab w:val="clear" w:pos="567"/>
        </w:tabs>
        <w:spacing w:line="240" w:lineRule="auto"/>
        <w:rPr>
          <w:b/>
          <w:bCs/>
          <w:lang w:val="en-US"/>
        </w:rPr>
      </w:pPr>
    </w:p>
    <w:p w14:paraId="0F17CAA2" w14:textId="77777777" w:rsidR="00124AD4" w:rsidRPr="000D4495" w:rsidRDefault="001D0951" w:rsidP="5F2EC82B">
      <w:pPr>
        <w:tabs>
          <w:tab w:val="clear" w:pos="567"/>
        </w:tabs>
        <w:spacing w:line="240" w:lineRule="auto"/>
        <w:rPr>
          <w:bCs/>
          <w:u w:val="single"/>
          <w:lang w:val="en-US"/>
        </w:rPr>
      </w:pPr>
      <w:r w:rsidRPr="000D4495">
        <w:rPr>
          <w:bCs/>
          <w:u w:val="single"/>
          <w:lang w:val="en-US"/>
        </w:rPr>
        <w:t>Skin reactions</w:t>
      </w:r>
    </w:p>
    <w:p w14:paraId="1EC54FAB" w14:textId="77777777" w:rsidR="00124AD4" w:rsidRPr="00C56B34" w:rsidRDefault="001D0951" w:rsidP="00124AD4">
      <w:pPr>
        <w:tabs>
          <w:tab w:val="clear" w:pos="567"/>
        </w:tabs>
        <w:spacing w:line="240" w:lineRule="auto"/>
        <w:rPr>
          <w:noProof/>
          <w:szCs w:val="22"/>
        </w:rPr>
      </w:pPr>
      <w:r w:rsidRPr="00C56B34">
        <w:rPr>
          <w:noProof/>
          <w:szCs w:val="22"/>
        </w:rPr>
        <w:t>You may get skin reactions where the injection is given</w:t>
      </w:r>
      <w:r w:rsidR="003E5098">
        <w:rPr>
          <w:noProof/>
          <w:szCs w:val="22"/>
        </w:rPr>
        <w:t>,</w:t>
      </w:r>
      <w:r w:rsidRPr="00C56B34">
        <w:rPr>
          <w:noProof/>
          <w:szCs w:val="22"/>
        </w:rPr>
        <w:t xml:space="preserve"> see section 4 for more information.</w:t>
      </w:r>
      <w:r w:rsidR="00C33228">
        <w:rPr>
          <w:noProof/>
          <w:szCs w:val="22"/>
        </w:rPr>
        <w:t xml:space="preserve"> If these reactions are severe, tell your doctor.</w:t>
      </w:r>
    </w:p>
    <w:p w14:paraId="128E0A0C" w14:textId="77777777" w:rsidR="00124AD4" w:rsidRDefault="00124AD4">
      <w:pPr>
        <w:numPr>
          <w:ilvl w:val="12"/>
          <w:numId w:val="0"/>
        </w:numPr>
        <w:tabs>
          <w:tab w:val="clear" w:pos="567"/>
        </w:tabs>
        <w:spacing w:line="240" w:lineRule="auto"/>
        <w:rPr>
          <w:bCs/>
          <w:noProof/>
          <w:szCs w:val="22"/>
        </w:rPr>
      </w:pPr>
    </w:p>
    <w:p w14:paraId="6E24274D" w14:textId="77777777" w:rsidR="00124AD4" w:rsidRPr="00662578" w:rsidRDefault="001D0951">
      <w:pPr>
        <w:numPr>
          <w:ilvl w:val="12"/>
          <w:numId w:val="0"/>
        </w:numPr>
        <w:tabs>
          <w:tab w:val="clear" w:pos="567"/>
        </w:tabs>
        <w:spacing w:line="240" w:lineRule="auto"/>
        <w:rPr>
          <w:b/>
          <w:bCs/>
          <w:noProof/>
          <w:szCs w:val="22"/>
        </w:rPr>
      </w:pPr>
      <w:r w:rsidRPr="00662578">
        <w:rPr>
          <w:b/>
          <w:bCs/>
          <w:noProof/>
          <w:szCs w:val="22"/>
        </w:rPr>
        <w:t>Tests and checks</w:t>
      </w:r>
    </w:p>
    <w:p w14:paraId="7C04B6F8" w14:textId="2C88E10B" w:rsidR="00124AD4" w:rsidRPr="00123F7A" w:rsidRDefault="001D0951" w:rsidP="50BD9E82">
      <w:pPr>
        <w:tabs>
          <w:tab w:val="clear" w:pos="567"/>
        </w:tabs>
        <w:spacing w:line="240" w:lineRule="auto"/>
        <w:rPr>
          <w:szCs w:val="22"/>
        </w:rPr>
      </w:pPr>
      <w:r>
        <w:t xml:space="preserve">Your doctor will check the </w:t>
      </w:r>
      <w:r w:rsidR="001100D8" w:rsidRPr="00123F7A">
        <w:t>phosphate</w:t>
      </w:r>
      <w:r w:rsidRPr="00123F7A">
        <w:t xml:space="preserve"> </w:t>
      </w:r>
      <w:r w:rsidR="00831B5C" w:rsidRPr="00123F7A">
        <w:t xml:space="preserve">and calcium </w:t>
      </w:r>
      <w:r w:rsidRPr="00123F7A">
        <w:t>level</w:t>
      </w:r>
      <w:r w:rsidR="00831B5C" w:rsidRPr="00123F7A">
        <w:t>s</w:t>
      </w:r>
      <w:r w:rsidRPr="00123F7A">
        <w:t xml:space="preserve"> in your blood </w:t>
      </w:r>
      <w:r w:rsidR="00154CE6" w:rsidRPr="00123F7A">
        <w:t xml:space="preserve">and urine and may also do a renal ultrasound </w:t>
      </w:r>
      <w:r w:rsidRPr="00123F7A">
        <w:t>during your treatment</w:t>
      </w:r>
      <w:r w:rsidR="00C33228" w:rsidRPr="00123F7A">
        <w:t xml:space="preserve"> in order to reduce the risk of </w:t>
      </w:r>
      <w:proofErr w:type="spellStart"/>
      <w:r w:rsidR="00C33228" w:rsidRPr="00123F7A">
        <w:t>hyperphosphataemia</w:t>
      </w:r>
      <w:proofErr w:type="spellEnd"/>
      <w:r w:rsidR="00C33228" w:rsidRPr="00123F7A">
        <w:t xml:space="preserve"> (too much phosphate in the blood) and ectopic mineralisation (a </w:t>
      </w:r>
      <w:r w:rsidR="003C267C" w:rsidRPr="00123F7A">
        <w:t>build-up</w:t>
      </w:r>
      <w:r w:rsidR="00C33228" w:rsidRPr="00123F7A">
        <w:t xml:space="preserve"> of calcium in tissues</w:t>
      </w:r>
      <w:r w:rsidR="00E00840" w:rsidRPr="00123F7A">
        <w:t xml:space="preserve"> such as the kidneys</w:t>
      </w:r>
      <w:r w:rsidR="00C33228" w:rsidRPr="00123F7A">
        <w:t>)</w:t>
      </w:r>
      <w:r w:rsidRPr="00123F7A">
        <w:t>.</w:t>
      </w:r>
      <w:r w:rsidR="00DA09B2" w:rsidRPr="00123F7A">
        <w:t xml:space="preserve"> Your serum parathyroid hormone level will also be checked from time to time.</w:t>
      </w:r>
    </w:p>
    <w:p w14:paraId="5BEC4DFD" w14:textId="77777777" w:rsidR="00903400" w:rsidRPr="00123F7A" w:rsidRDefault="00903400" w:rsidP="00903400">
      <w:pPr>
        <w:numPr>
          <w:ilvl w:val="12"/>
          <w:numId w:val="0"/>
        </w:numPr>
        <w:tabs>
          <w:tab w:val="clear" w:pos="567"/>
        </w:tabs>
        <w:spacing w:line="240" w:lineRule="auto"/>
        <w:rPr>
          <w:b/>
          <w:bCs/>
          <w:noProof/>
          <w:szCs w:val="22"/>
        </w:rPr>
      </w:pPr>
    </w:p>
    <w:p w14:paraId="1378D388" w14:textId="77777777" w:rsidR="00903400" w:rsidRPr="00123F7A" w:rsidRDefault="001D0951" w:rsidP="00903400">
      <w:pPr>
        <w:numPr>
          <w:ilvl w:val="12"/>
          <w:numId w:val="0"/>
        </w:numPr>
        <w:tabs>
          <w:tab w:val="clear" w:pos="567"/>
        </w:tabs>
        <w:spacing w:line="240" w:lineRule="auto"/>
        <w:rPr>
          <w:b/>
          <w:bCs/>
          <w:noProof/>
          <w:szCs w:val="22"/>
        </w:rPr>
      </w:pPr>
      <w:r w:rsidRPr="00123F7A">
        <w:rPr>
          <w:b/>
          <w:bCs/>
          <w:noProof/>
          <w:szCs w:val="22"/>
        </w:rPr>
        <w:t>Children under 1 year</w:t>
      </w:r>
    </w:p>
    <w:p w14:paraId="1D57BC1C" w14:textId="77777777" w:rsidR="00903400" w:rsidRPr="00123F7A" w:rsidRDefault="001D0951" w:rsidP="00903400">
      <w:pPr>
        <w:tabs>
          <w:tab w:val="clear" w:pos="567"/>
        </w:tabs>
        <w:spacing w:line="240" w:lineRule="auto"/>
        <w:rPr>
          <w:b/>
          <w:bCs/>
          <w:noProof/>
        </w:rPr>
      </w:pPr>
      <w:r w:rsidRPr="00123F7A">
        <w:rPr>
          <w:noProof/>
        </w:rPr>
        <w:t>Crysvita should not be given to children under 1 year of age</w:t>
      </w:r>
      <w:r w:rsidRPr="00123F7A">
        <w:t xml:space="preserve"> because the safety and effects of the medicine have not been studied in this age group.</w:t>
      </w:r>
    </w:p>
    <w:p w14:paraId="49D83E63" w14:textId="77777777" w:rsidR="00124AD4" w:rsidRPr="00123F7A" w:rsidRDefault="00124AD4">
      <w:pPr>
        <w:tabs>
          <w:tab w:val="clear" w:pos="567"/>
        </w:tabs>
        <w:spacing w:line="240" w:lineRule="auto"/>
        <w:rPr>
          <w:bCs/>
          <w:szCs w:val="22"/>
        </w:rPr>
      </w:pPr>
    </w:p>
    <w:p w14:paraId="07DE28FF" w14:textId="77777777" w:rsidR="00343BCA" w:rsidRPr="00123F7A" w:rsidRDefault="001D0951" w:rsidP="5F2EC82B">
      <w:pPr>
        <w:tabs>
          <w:tab w:val="clear" w:pos="567"/>
        </w:tabs>
        <w:spacing w:line="240" w:lineRule="auto"/>
        <w:rPr>
          <w:b/>
          <w:bCs/>
        </w:rPr>
      </w:pPr>
      <w:bookmarkStart w:id="15" w:name="_Hlk21517912"/>
      <w:r w:rsidRPr="00123F7A">
        <w:rPr>
          <w:b/>
          <w:bCs/>
        </w:rPr>
        <w:t>Other medicines and CRYSVITA</w:t>
      </w:r>
      <w:bookmarkEnd w:id="15"/>
    </w:p>
    <w:p w14:paraId="70D7679F" w14:textId="77777777" w:rsidR="00124AD4" w:rsidRPr="00123F7A" w:rsidRDefault="001D0951" w:rsidP="5F2EC82B">
      <w:pPr>
        <w:tabs>
          <w:tab w:val="clear" w:pos="567"/>
        </w:tabs>
        <w:spacing w:line="240" w:lineRule="auto"/>
        <w:ind w:right="-2"/>
        <w:rPr>
          <w:noProof/>
        </w:rPr>
      </w:pPr>
      <w:r w:rsidRPr="00123F7A">
        <w:t xml:space="preserve">Tell your doctor if you are taking, have recently taken, </w:t>
      </w:r>
      <w:r w:rsidRPr="00123F7A">
        <w:rPr>
          <w:noProof/>
        </w:rPr>
        <w:t xml:space="preserve">or might take any other medicines. </w:t>
      </w:r>
    </w:p>
    <w:p w14:paraId="12AF2651" w14:textId="77777777" w:rsidR="00903400" w:rsidRPr="00123F7A" w:rsidRDefault="00903400" w:rsidP="50BD9E82">
      <w:pPr>
        <w:tabs>
          <w:tab w:val="clear" w:pos="567"/>
        </w:tabs>
        <w:spacing w:line="240" w:lineRule="auto"/>
        <w:ind w:right="-2"/>
        <w:rPr>
          <w:noProof/>
        </w:rPr>
      </w:pPr>
    </w:p>
    <w:p w14:paraId="645DA619" w14:textId="77777777" w:rsidR="00124AD4" w:rsidRPr="00123F7A" w:rsidRDefault="001D0951" w:rsidP="50BD9E82">
      <w:pPr>
        <w:tabs>
          <w:tab w:val="clear" w:pos="567"/>
        </w:tabs>
        <w:spacing w:line="240" w:lineRule="auto"/>
        <w:ind w:right="-2"/>
        <w:rPr>
          <w:szCs w:val="22"/>
        </w:rPr>
      </w:pPr>
      <w:r w:rsidRPr="00123F7A">
        <w:rPr>
          <w:noProof/>
        </w:rPr>
        <w:t xml:space="preserve">Do not take CRYSVITA and tell your doctor if </w:t>
      </w:r>
      <w:r w:rsidRPr="00123F7A">
        <w:t>you are taking:</w:t>
      </w:r>
    </w:p>
    <w:p w14:paraId="77BA0184" w14:textId="77777777" w:rsidR="00B057EF" w:rsidRPr="00123F7A" w:rsidRDefault="001D0951" w:rsidP="00944C96">
      <w:pPr>
        <w:numPr>
          <w:ilvl w:val="0"/>
          <w:numId w:val="1"/>
        </w:numPr>
        <w:tabs>
          <w:tab w:val="clear" w:pos="567"/>
        </w:tabs>
        <w:spacing w:line="240" w:lineRule="auto"/>
        <w:ind w:left="567" w:hanging="567"/>
        <w:rPr>
          <w:noProof/>
          <w:szCs w:val="22"/>
        </w:rPr>
      </w:pPr>
      <w:r w:rsidRPr="00123F7A">
        <w:rPr>
          <w:noProof/>
          <w:szCs w:val="22"/>
        </w:rPr>
        <w:t>phosphate</w:t>
      </w:r>
      <w:r w:rsidR="00E74D9E" w:rsidRPr="00123F7A">
        <w:rPr>
          <w:noProof/>
          <w:szCs w:val="22"/>
        </w:rPr>
        <w:t xml:space="preserve"> supplements </w:t>
      </w:r>
    </w:p>
    <w:p w14:paraId="35D92F7F" w14:textId="77777777" w:rsidR="00B057EF" w:rsidRPr="00123F7A" w:rsidRDefault="001D0951" w:rsidP="00E74D9E">
      <w:pPr>
        <w:widowControl w:val="0"/>
        <w:numPr>
          <w:ilvl w:val="0"/>
          <w:numId w:val="1"/>
        </w:numPr>
        <w:tabs>
          <w:tab w:val="clear" w:pos="567"/>
        </w:tabs>
        <w:spacing w:line="240" w:lineRule="auto"/>
        <w:ind w:left="562" w:hanging="562"/>
      </w:pPr>
      <w:r w:rsidRPr="00123F7A">
        <w:rPr>
          <w:noProof/>
          <w:szCs w:val="22"/>
        </w:rPr>
        <w:t>certain</w:t>
      </w:r>
      <w:r w:rsidR="007570E5" w:rsidRPr="00123F7A">
        <w:rPr>
          <w:noProof/>
          <w:szCs w:val="22"/>
        </w:rPr>
        <w:t xml:space="preserve"> </w:t>
      </w:r>
      <w:r w:rsidR="004F0533" w:rsidRPr="00123F7A">
        <w:rPr>
          <w:noProof/>
          <w:szCs w:val="22"/>
        </w:rPr>
        <w:t>vitamin D supplements</w:t>
      </w:r>
      <w:r w:rsidR="001324A3" w:rsidRPr="00123F7A">
        <w:rPr>
          <w:noProof/>
          <w:szCs w:val="22"/>
        </w:rPr>
        <w:t xml:space="preserve"> </w:t>
      </w:r>
      <w:r w:rsidRPr="00123F7A">
        <w:t xml:space="preserve">(that contain so called active vitamin D, e.g. calcitriol). </w:t>
      </w:r>
      <w:r w:rsidR="001324A3" w:rsidRPr="00123F7A">
        <w:rPr>
          <w:noProof/>
          <w:szCs w:val="22"/>
        </w:rPr>
        <w:t>There are some vitamin D supplements you can continue or start to use and your doctor will advise which ones these are</w:t>
      </w:r>
      <w:r w:rsidR="00695E9B" w:rsidRPr="00123F7A">
        <w:rPr>
          <w:noProof/>
          <w:szCs w:val="22"/>
        </w:rPr>
        <w:t>.</w:t>
      </w:r>
      <w:r w:rsidR="00831B5C" w:rsidRPr="00123F7A">
        <w:rPr>
          <w:noProof/>
          <w:szCs w:val="22"/>
        </w:rPr>
        <w:t xml:space="preserve"> </w:t>
      </w:r>
    </w:p>
    <w:p w14:paraId="67FFEF6E" w14:textId="77777777" w:rsidR="00124AD4" w:rsidRDefault="00124AD4">
      <w:pPr>
        <w:tabs>
          <w:tab w:val="clear" w:pos="567"/>
        </w:tabs>
        <w:spacing w:line="240" w:lineRule="auto"/>
        <w:ind w:right="-2"/>
        <w:outlineLvl w:val="0"/>
        <w:rPr>
          <w:noProof/>
          <w:szCs w:val="22"/>
        </w:rPr>
      </w:pPr>
    </w:p>
    <w:p w14:paraId="60913610" w14:textId="77777777" w:rsidR="00124AD4" w:rsidRPr="00C56B34" w:rsidRDefault="001D0951">
      <w:pPr>
        <w:tabs>
          <w:tab w:val="clear" w:pos="567"/>
        </w:tabs>
        <w:spacing w:line="240" w:lineRule="auto"/>
        <w:ind w:right="-2"/>
        <w:outlineLvl w:val="0"/>
        <w:rPr>
          <w:b/>
          <w:noProof/>
          <w:szCs w:val="22"/>
        </w:rPr>
      </w:pPr>
      <w:r w:rsidRPr="00C56B34">
        <w:rPr>
          <w:noProof/>
          <w:szCs w:val="22"/>
        </w:rPr>
        <w:t xml:space="preserve">Talk to your doctor before taking </w:t>
      </w:r>
      <w:r w:rsidR="00C0725A">
        <w:rPr>
          <w:noProof/>
          <w:szCs w:val="22"/>
        </w:rPr>
        <w:t>CRYSVITA</w:t>
      </w:r>
      <w:r w:rsidRPr="00C56B34">
        <w:rPr>
          <w:noProof/>
          <w:szCs w:val="22"/>
        </w:rPr>
        <w:t xml:space="preserve"> if you are taking:</w:t>
      </w:r>
    </w:p>
    <w:p w14:paraId="3DD3DB41" w14:textId="77777777" w:rsidR="00124AD4" w:rsidRDefault="001D0951" w:rsidP="00944C96">
      <w:pPr>
        <w:numPr>
          <w:ilvl w:val="0"/>
          <w:numId w:val="1"/>
        </w:numPr>
        <w:tabs>
          <w:tab w:val="clear" w:pos="567"/>
        </w:tabs>
        <w:spacing w:line="240" w:lineRule="auto"/>
        <w:ind w:left="567" w:hanging="567"/>
        <w:rPr>
          <w:noProof/>
          <w:szCs w:val="22"/>
        </w:rPr>
      </w:pPr>
      <w:r w:rsidRPr="00C56B34">
        <w:rPr>
          <w:noProof/>
          <w:szCs w:val="22"/>
        </w:rPr>
        <w:t xml:space="preserve">medicines that </w:t>
      </w:r>
      <w:r>
        <w:rPr>
          <w:noProof/>
          <w:szCs w:val="22"/>
        </w:rPr>
        <w:t xml:space="preserve">work in the same way as </w:t>
      </w:r>
      <w:r w:rsidRPr="00C56B34">
        <w:rPr>
          <w:noProof/>
          <w:szCs w:val="22"/>
        </w:rPr>
        <w:t>calcium in the body (“calcim</w:t>
      </w:r>
      <w:r>
        <w:rPr>
          <w:noProof/>
          <w:szCs w:val="22"/>
        </w:rPr>
        <w:t>im</w:t>
      </w:r>
      <w:r w:rsidRPr="00C56B34">
        <w:rPr>
          <w:noProof/>
          <w:szCs w:val="22"/>
        </w:rPr>
        <w:t>etics”). If used together they may lower blood calcium.</w:t>
      </w:r>
    </w:p>
    <w:p w14:paraId="038F257B" w14:textId="77777777" w:rsidR="00124AD4" w:rsidRPr="00C56B34" w:rsidRDefault="00124AD4" w:rsidP="00124AD4">
      <w:pPr>
        <w:tabs>
          <w:tab w:val="clear" w:pos="567"/>
        </w:tabs>
        <w:spacing w:line="240" w:lineRule="auto"/>
        <w:ind w:left="357"/>
        <w:rPr>
          <w:noProof/>
          <w:szCs w:val="22"/>
        </w:rPr>
      </w:pPr>
    </w:p>
    <w:p w14:paraId="259DA37F" w14:textId="77777777" w:rsidR="00124AD4" w:rsidRPr="00662578" w:rsidRDefault="001D0951" w:rsidP="003C267C">
      <w:pPr>
        <w:keepNext/>
        <w:keepLines/>
        <w:numPr>
          <w:ilvl w:val="12"/>
          <w:numId w:val="0"/>
        </w:numPr>
        <w:tabs>
          <w:tab w:val="clear" w:pos="567"/>
        </w:tabs>
        <w:spacing w:line="240" w:lineRule="auto"/>
        <w:ind w:right="-2"/>
        <w:outlineLvl w:val="0"/>
        <w:rPr>
          <w:b/>
          <w:noProof/>
          <w:szCs w:val="22"/>
        </w:rPr>
      </w:pPr>
      <w:r w:rsidRPr="00C56B34">
        <w:rPr>
          <w:b/>
          <w:noProof/>
          <w:szCs w:val="22"/>
        </w:rPr>
        <w:lastRenderedPageBreak/>
        <w:t xml:space="preserve">Pregnancy and </w:t>
      </w:r>
      <w:r w:rsidRPr="00662578">
        <w:rPr>
          <w:b/>
          <w:noProof/>
          <w:szCs w:val="22"/>
        </w:rPr>
        <w:t xml:space="preserve">breastfeeding </w:t>
      </w:r>
    </w:p>
    <w:p w14:paraId="2B960160" w14:textId="77777777" w:rsidR="00903400" w:rsidRDefault="001D0951" w:rsidP="003C267C">
      <w:pPr>
        <w:keepNext/>
        <w:keepLines/>
        <w:numPr>
          <w:ilvl w:val="12"/>
          <w:numId w:val="0"/>
        </w:numPr>
        <w:tabs>
          <w:tab w:val="clear" w:pos="567"/>
        </w:tabs>
        <w:spacing w:line="240" w:lineRule="auto"/>
        <w:rPr>
          <w:noProof/>
          <w:szCs w:val="22"/>
        </w:rPr>
      </w:pPr>
      <w:r>
        <w:rPr>
          <w:noProof/>
          <w:szCs w:val="22"/>
        </w:rPr>
        <w:t>If</w:t>
      </w:r>
      <w:r w:rsidRPr="00C56B34">
        <w:rPr>
          <w:noProof/>
          <w:szCs w:val="22"/>
        </w:rPr>
        <w:t xml:space="preserve"> you are pregnant</w:t>
      </w:r>
      <w:r>
        <w:rPr>
          <w:noProof/>
          <w:szCs w:val="22"/>
        </w:rPr>
        <w:t xml:space="preserve"> or breast-feeding</w:t>
      </w:r>
      <w:r w:rsidRPr="00C56B34">
        <w:rPr>
          <w:noProof/>
          <w:szCs w:val="22"/>
        </w:rPr>
        <w:t>, think you might be pregnant or are planning to have a baby</w:t>
      </w:r>
      <w:r>
        <w:rPr>
          <w:noProof/>
          <w:szCs w:val="22"/>
        </w:rPr>
        <w:t>, ask your doctor or pharmacist for advice before taking this medicine</w:t>
      </w:r>
      <w:r w:rsidRPr="00C56B34">
        <w:rPr>
          <w:noProof/>
          <w:szCs w:val="22"/>
        </w:rPr>
        <w:t>. This is because it</w:t>
      </w:r>
      <w:r w:rsidRPr="00662578">
        <w:rPr>
          <w:noProof/>
          <w:szCs w:val="22"/>
        </w:rPr>
        <w:t xml:space="preserve"> is not known if </w:t>
      </w:r>
      <w:r>
        <w:rPr>
          <w:noProof/>
          <w:szCs w:val="22"/>
        </w:rPr>
        <w:t>CRYSVITA</w:t>
      </w:r>
      <w:r w:rsidRPr="00662578">
        <w:rPr>
          <w:noProof/>
          <w:szCs w:val="22"/>
        </w:rPr>
        <w:t xml:space="preserve"> will affect the baby</w:t>
      </w:r>
      <w:r>
        <w:rPr>
          <w:noProof/>
          <w:szCs w:val="22"/>
        </w:rPr>
        <w:t>.</w:t>
      </w:r>
    </w:p>
    <w:p w14:paraId="34BF893B" w14:textId="77777777" w:rsidR="00AD44E2" w:rsidRDefault="00AD44E2" w:rsidP="003C267C">
      <w:pPr>
        <w:keepNext/>
        <w:keepLines/>
        <w:numPr>
          <w:ilvl w:val="12"/>
          <w:numId w:val="0"/>
        </w:numPr>
        <w:tabs>
          <w:tab w:val="clear" w:pos="567"/>
        </w:tabs>
        <w:spacing w:line="240" w:lineRule="auto"/>
        <w:rPr>
          <w:rFonts w:ascii="TimesNewRomanPSMT" w:eastAsia="SimSun" w:hAnsi="TimesNewRomanPSMT" w:cs="TimesNewRomanPSMT" w:hint="eastAsia"/>
          <w:szCs w:val="22"/>
          <w:lang w:eastAsia="ja-JP"/>
        </w:rPr>
      </w:pPr>
    </w:p>
    <w:p w14:paraId="33006F9B" w14:textId="77777777" w:rsidR="00903400" w:rsidRDefault="001D0951" w:rsidP="003C267C">
      <w:pPr>
        <w:keepNext/>
        <w:keepLines/>
        <w:tabs>
          <w:tab w:val="clear" w:pos="567"/>
        </w:tabs>
        <w:spacing w:line="240" w:lineRule="auto"/>
        <w:rPr>
          <w:noProof/>
          <w:szCs w:val="22"/>
        </w:rPr>
      </w:pPr>
      <w:r>
        <w:rPr>
          <w:noProof/>
          <w:szCs w:val="22"/>
        </w:rPr>
        <w:t>CRYSVITA is not recommended in pregnancy.</w:t>
      </w:r>
    </w:p>
    <w:p w14:paraId="32C6589D" w14:textId="77777777" w:rsidR="00AD44E2" w:rsidRDefault="00AD44E2" w:rsidP="003C267C">
      <w:pPr>
        <w:keepNext/>
        <w:keepLines/>
        <w:tabs>
          <w:tab w:val="clear" w:pos="567"/>
        </w:tabs>
        <w:spacing w:line="240" w:lineRule="auto"/>
        <w:rPr>
          <w:rFonts w:eastAsia="SimSun"/>
          <w:lang w:eastAsia="ja-JP"/>
        </w:rPr>
      </w:pPr>
    </w:p>
    <w:p w14:paraId="7E424790" w14:textId="77777777" w:rsidR="00381A33" w:rsidRDefault="001D0951" w:rsidP="003C267C">
      <w:pPr>
        <w:keepNext/>
        <w:keepLines/>
        <w:tabs>
          <w:tab w:val="clear" w:pos="567"/>
        </w:tabs>
        <w:spacing w:line="240" w:lineRule="auto"/>
        <w:rPr>
          <w:rFonts w:eastAsia="SimSun"/>
          <w:lang w:eastAsia="ja-JP"/>
        </w:rPr>
      </w:pPr>
      <w:r w:rsidRPr="5F2EC82B">
        <w:rPr>
          <w:rFonts w:eastAsia="SimSun"/>
          <w:lang w:eastAsia="ja-JP"/>
        </w:rPr>
        <w:t>If you could get pregnant, you must use an effective method of contraception (birth control) while using CRYSVITA. You should discuss this with your doctor.</w:t>
      </w:r>
    </w:p>
    <w:p w14:paraId="4FC058EC" w14:textId="77777777" w:rsidR="00AD44E2" w:rsidRDefault="00AD44E2" w:rsidP="003C267C">
      <w:pPr>
        <w:keepNext/>
        <w:keepLines/>
        <w:tabs>
          <w:tab w:val="clear" w:pos="567"/>
        </w:tabs>
        <w:spacing w:line="240" w:lineRule="auto"/>
        <w:rPr>
          <w:rFonts w:eastAsia="SimSun"/>
          <w:lang w:eastAsia="ja-JP"/>
        </w:rPr>
      </w:pPr>
    </w:p>
    <w:p w14:paraId="21202815" w14:textId="77777777" w:rsidR="00DA09B2" w:rsidRDefault="001D0951" w:rsidP="003C267C">
      <w:pPr>
        <w:keepNext/>
        <w:keepLines/>
        <w:numPr>
          <w:ilvl w:val="12"/>
          <w:numId w:val="0"/>
        </w:numPr>
        <w:tabs>
          <w:tab w:val="clear" w:pos="567"/>
        </w:tabs>
        <w:spacing w:line="240" w:lineRule="auto"/>
        <w:rPr>
          <w:szCs w:val="22"/>
        </w:rPr>
      </w:pPr>
      <w:r w:rsidRPr="003142FA">
        <w:t xml:space="preserve">It is not known if </w:t>
      </w:r>
      <w:r w:rsidRPr="003142FA">
        <w:rPr>
          <w:szCs w:val="22"/>
        </w:rPr>
        <w:t>CRYSVITA</w:t>
      </w:r>
      <w:r w:rsidRPr="003142FA">
        <w:t xml:space="preserve"> passes into breast milk, and a risk to </w:t>
      </w:r>
      <w:proofErr w:type="spellStart"/>
      <w:r w:rsidRPr="003142FA">
        <w:t>newborns</w:t>
      </w:r>
      <w:proofErr w:type="spellEnd"/>
      <w:r w:rsidRPr="003142FA">
        <w:t xml:space="preserve"> or infants cannot be ruled out.</w:t>
      </w:r>
      <w:r w:rsidR="00994227">
        <w:t xml:space="preserve"> You should discuss this with your doctor.</w:t>
      </w:r>
      <w:r w:rsidRPr="003142FA">
        <w:rPr>
          <w:szCs w:val="22"/>
        </w:rPr>
        <w:t xml:space="preserve"> </w:t>
      </w:r>
    </w:p>
    <w:p w14:paraId="69AE7901" w14:textId="77777777" w:rsidR="00124AD4" w:rsidRPr="00C835FA" w:rsidRDefault="00124AD4" w:rsidP="00124AD4">
      <w:pPr>
        <w:tabs>
          <w:tab w:val="clear" w:pos="567"/>
        </w:tabs>
        <w:spacing w:line="240" w:lineRule="auto"/>
        <w:rPr>
          <w:szCs w:val="22"/>
        </w:rPr>
      </w:pPr>
    </w:p>
    <w:p w14:paraId="65651139" w14:textId="77777777" w:rsidR="00124AD4" w:rsidRPr="00C56B34" w:rsidRDefault="001D0951" w:rsidP="009A1E23">
      <w:pPr>
        <w:keepNext/>
        <w:numPr>
          <w:ilvl w:val="12"/>
          <w:numId w:val="0"/>
        </w:numPr>
        <w:tabs>
          <w:tab w:val="clear" w:pos="567"/>
        </w:tabs>
        <w:spacing w:line="240" w:lineRule="auto"/>
        <w:outlineLvl w:val="0"/>
        <w:rPr>
          <w:b/>
          <w:noProof/>
          <w:szCs w:val="22"/>
        </w:rPr>
      </w:pPr>
      <w:r w:rsidRPr="00C56B34">
        <w:rPr>
          <w:b/>
          <w:noProof/>
          <w:szCs w:val="22"/>
        </w:rPr>
        <w:t>Driving, riding a bike and using machines</w:t>
      </w:r>
    </w:p>
    <w:p w14:paraId="7152AD31" w14:textId="77777777" w:rsidR="00124AD4" w:rsidRPr="00AD7A15" w:rsidRDefault="001D0951" w:rsidP="5F2EC82B">
      <w:pPr>
        <w:tabs>
          <w:tab w:val="clear" w:pos="567"/>
        </w:tabs>
        <w:spacing w:line="240" w:lineRule="auto"/>
        <w:ind w:right="-2"/>
        <w:outlineLvl w:val="0"/>
        <w:rPr>
          <w:noProof/>
        </w:rPr>
      </w:pPr>
      <w:r w:rsidRPr="5F2EC82B">
        <w:rPr>
          <w:lang w:val="en"/>
        </w:rPr>
        <w:t>It is possible that CRYSVITA could cause dizziness and affect you being able to ride a bike, use any tools or machines or to drive. If you think you are affected, do not ride a bike, use any tools or machines or drive, and tell your doctor.</w:t>
      </w:r>
    </w:p>
    <w:p w14:paraId="0BCB29D0" w14:textId="77777777" w:rsidR="00124AD4" w:rsidRPr="00C835FA" w:rsidRDefault="00124AD4" w:rsidP="00124AD4">
      <w:pPr>
        <w:tabs>
          <w:tab w:val="clear" w:pos="567"/>
        </w:tabs>
        <w:spacing w:line="240" w:lineRule="auto"/>
        <w:rPr>
          <w:szCs w:val="22"/>
        </w:rPr>
      </w:pPr>
    </w:p>
    <w:p w14:paraId="0C0FD187" w14:textId="77777777" w:rsidR="00124AD4" w:rsidRPr="00021EF7" w:rsidRDefault="001D0951" w:rsidP="5F2EC82B">
      <w:pPr>
        <w:tabs>
          <w:tab w:val="clear" w:pos="567"/>
        </w:tabs>
        <w:spacing w:line="240" w:lineRule="auto"/>
        <w:ind w:right="-2"/>
        <w:rPr>
          <w:b/>
          <w:bCs/>
          <w:noProof/>
        </w:rPr>
      </w:pPr>
      <w:r w:rsidRPr="5F2EC82B">
        <w:rPr>
          <w:b/>
          <w:bCs/>
        </w:rPr>
        <w:t>CRYSVITA</w:t>
      </w:r>
      <w:r w:rsidRPr="5F2EC82B">
        <w:rPr>
          <w:b/>
          <w:bCs/>
          <w:noProof/>
        </w:rPr>
        <w:t xml:space="preserve"> contains sorbitol </w:t>
      </w:r>
    </w:p>
    <w:p w14:paraId="55E5EE06" w14:textId="77777777" w:rsidR="00124AD4" w:rsidRPr="00B96FD0" w:rsidRDefault="001D0951">
      <w:pPr>
        <w:tabs>
          <w:tab w:val="clear" w:pos="567"/>
        </w:tabs>
        <w:spacing w:line="240" w:lineRule="auto"/>
        <w:rPr>
          <w:noProof/>
          <w:szCs w:val="22"/>
        </w:rPr>
      </w:pPr>
      <w:r w:rsidRPr="00021EF7">
        <w:rPr>
          <w:noProof/>
          <w:szCs w:val="22"/>
        </w:rPr>
        <w:t>This medicine contains 45.91 mg of sorbitol in each vial which is equivalent to 45.91</w:t>
      </w:r>
      <w:r w:rsidR="00343BCA" w:rsidRPr="00021EF7">
        <w:rPr>
          <w:noProof/>
          <w:szCs w:val="22"/>
        </w:rPr>
        <w:t xml:space="preserve"> mg</w:t>
      </w:r>
      <w:r w:rsidRPr="00021EF7">
        <w:rPr>
          <w:noProof/>
          <w:szCs w:val="22"/>
        </w:rPr>
        <w:t>/ml</w:t>
      </w:r>
      <w:r w:rsidR="00B33B49" w:rsidRPr="00021EF7">
        <w:rPr>
          <w:noProof/>
          <w:szCs w:val="22"/>
        </w:rPr>
        <w:t>.</w:t>
      </w:r>
      <w:r w:rsidR="00F26530" w:rsidRPr="00021EF7">
        <w:rPr>
          <w:noProof/>
          <w:szCs w:val="22"/>
        </w:rPr>
        <w:t xml:space="preserve"> </w:t>
      </w:r>
    </w:p>
    <w:p w14:paraId="70E94F0B" w14:textId="77777777" w:rsidR="00124AD4" w:rsidRDefault="00124AD4">
      <w:pPr>
        <w:numPr>
          <w:ilvl w:val="12"/>
          <w:numId w:val="0"/>
        </w:numPr>
        <w:tabs>
          <w:tab w:val="clear" w:pos="567"/>
        </w:tabs>
        <w:spacing w:line="240" w:lineRule="auto"/>
        <w:ind w:right="-2"/>
        <w:rPr>
          <w:noProof/>
          <w:szCs w:val="22"/>
        </w:rPr>
      </w:pPr>
    </w:p>
    <w:p w14:paraId="418A444B" w14:textId="77777777" w:rsidR="00D352C1" w:rsidRPr="00C56B34" w:rsidRDefault="00D352C1">
      <w:pPr>
        <w:numPr>
          <w:ilvl w:val="12"/>
          <w:numId w:val="0"/>
        </w:numPr>
        <w:tabs>
          <w:tab w:val="clear" w:pos="567"/>
        </w:tabs>
        <w:spacing w:line="240" w:lineRule="auto"/>
        <w:ind w:right="-2"/>
        <w:rPr>
          <w:noProof/>
          <w:szCs w:val="22"/>
        </w:rPr>
      </w:pPr>
    </w:p>
    <w:p w14:paraId="706ACF47" w14:textId="77777777" w:rsidR="00124AD4" w:rsidRPr="00AD7A15" w:rsidRDefault="001D0951" w:rsidP="5F2EC82B">
      <w:pPr>
        <w:keepNext/>
        <w:keepLines/>
        <w:spacing w:line="240" w:lineRule="auto"/>
        <w:rPr>
          <w:b/>
          <w:bCs/>
        </w:rPr>
      </w:pPr>
      <w:r w:rsidRPr="00595956">
        <w:rPr>
          <w:b/>
          <w:bCs/>
        </w:rPr>
        <w:t>3.</w:t>
      </w:r>
      <w:r w:rsidRPr="00280D28">
        <w:rPr>
          <w:b/>
          <w:szCs w:val="22"/>
        </w:rPr>
        <w:tab/>
      </w:r>
      <w:r w:rsidRPr="00595956">
        <w:rPr>
          <w:b/>
          <w:bCs/>
        </w:rPr>
        <w:t xml:space="preserve">How to use </w:t>
      </w:r>
      <w:r w:rsidR="00C0725A">
        <w:rPr>
          <w:b/>
          <w:bCs/>
        </w:rPr>
        <w:t>CRYSVITA</w:t>
      </w:r>
    </w:p>
    <w:p w14:paraId="4C9ED56C" w14:textId="77777777" w:rsidR="00124AD4" w:rsidRDefault="00124AD4" w:rsidP="00124AD4">
      <w:pPr>
        <w:keepNext/>
        <w:keepLines/>
        <w:tabs>
          <w:tab w:val="clear" w:pos="567"/>
        </w:tabs>
        <w:spacing w:line="240" w:lineRule="auto"/>
        <w:ind w:right="-2"/>
        <w:rPr>
          <w:szCs w:val="22"/>
          <w:lang w:val="en-US"/>
        </w:rPr>
      </w:pPr>
    </w:p>
    <w:p w14:paraId="046E692E" w14:textId="77777777" w:rsidR="00124AD4" w:rsidRPr="003C267C" w:rsidRDefault="001D0951" w:rsidP="50BD9E82">
      <w:pPr>
        <w:keepNext/>
        <w:keepLines/>
        <w:tabs>
          <w:tab w:val="clear" w:pos="567"/>
        </w:tabs>
        <w:spacing w:line="240" w:lineRule="auto"/>
        <w:ind w:right="-2"/>
        <w:rPr>
          <w:szCs w:val="22"/>
        </w:rPr>
      </w:pPr>
      <w:r w:rsidRPr="5F2EC82B">
        <w:rPr>
          <w:lang w:val="en-US"/>
        </w:rPr>
        <w:t>CRYSVITA</w:t>
      </w:r>
      <w:r>
        <w:t xml:space="preserve"> should be given by injection under the skin in the arm, abdomen, buttock or thigh </w:t>
      </w:r>
      <w:r w:rsidRPr="003C267C">
        <w:t xml:space="preserve">by a trained healthcare provider. </w:t>
      </w:r>
    </w:p>
    <w:p w14:paraId="1AC5AE21" w14:textId="77777777" w:rsidR="00124AD4" w:rsidRPr="003C267C" w:rsidRDefault="00124AD4" w:rsidP="009065CC">
      <w:pPr>
        <w:numPr>
          <w:ilvl w:val="12"/>
          <w:numId w:val="0"/>
        </w:numPr>
        <w:tabs>
          <w:tab w:val="clear" w:pos="567"/>
        </w:tabs>
        <w:spacing w:line="240" w:lineRule="auto"/>
        <w:ind w:right="-2"/>
        <w:rPr>
          <w:noProof/>
          <w:szCs w:val="22"/>
        </w:rPr>
      </w:pPr>
    </w:p>
    <w:p w14:paraId="2CB5E61B" w14:textId="77777777" w:rsidR="00124AD4" w:rsidRPr="003C267C" w:rsidRDefault="001D0951" w:rsidP="5F2EC82B">
      <w:pPr>
        <w:keepNext/>
        <w:keepLines/>
        <w:tabs>
          <w:tab w:val="clear" w:pos="567"/>
        </w:tabs>
        <w:spacing w:line="240" w:lineRule="auto"/>
        <w:ind w:right="-2"/>
        <w:rPr>
          <w:b/>
          <w:bCs/>
        </w:rPr>
      </w:pPr>
      <w:r w:rsidRPr="003C267C">
        <w:rPr>
          <w:b/>
          <w:bCs/>
        </w:rPr>
        <w:t>How much CRYSVITA you will be given</w:t>
      </w:r>
    </w:p>
    <w:p w14:paraId="59496389" w14:textId="77777777" w:rsidR="00124AD4" w:rsidRPr="003C267C" w:rsidRDefault="001D0951" w:rsidP="50BD9E82">
      <w:pPr>
        <w:keepNext/>
        <w:keepLines/>
        <w:tabs>
          <w:tab w:val="clear" w:pos="567"/>
        </w:tabs>
        <w:spacing w:line="240" w:lineRule="auto"/>
        <w:ind w:right="-2"/>
        <w:rPr>
          <w:szCs w:val="22"/>
        </w:rPr>
      </w:pPr>
      <w:r w:rsidRPr="003C267C">
        <w:t xml:space="preserve">The dose is based on your body weight. Your doctor will work out the right dose for you. </w:t>
      </w:r>
    </w:p>
    <w:p w14:paraId="6F7C74C7" w14:textId="77777777" w:rsidR="009A12A5" w:rsidRPr="003C267C" w:rsidRDefault="009A12A5" w:rsidP="00124AD4">
      <w:pPr>
        <w:keepNext/>
        <w:keepLines/>
        <w:tabs>
          <w:tab w:val="clear" w:pos="567"/>
        </w:tabs>
        <w:spacing w:line="240" w:lineRule="auto"/>
        <w:ind w:right="-2"/>
      </w:pPr>
    </w:p>
    <w:p w14:paraId="5AAB7F75" w14:textId="77777777" w:rsidR="0085473E" w:rsidRDefault="001D0951" w:rsidP="00124AD4">
      <w:pPr>
        <w:keepNext/>
        <w:keepLines/>
        <w:tabs>
          <w:tab w:val="clear" w:pos="567"/>
        </w:tabs>
        <w:spacing w:line="240" w:lineRule="auto"/>
        <w:ind w:right="-2"/>
      </w:pPr>
      <w:r w:rsidRPr="003C267C">
        <w:t>CRYSVITA will be injected</w:t>
      </w:r>
      <w:r w:rsidR="0085473E">
        <w:t>:</w:t>
      </w:r>
    </w:p>
    <w:p w14:paraId="72049E76" w14:textId="1A2E1AF8" w:rsidR="0085473E" w:rsidRDefault="001D0951" w:rsidP="0085473E">
      <w:pPr>
        <w:pStyle w:val="ListParagraph"/>
        <w:keepNext/>
        <w:keepLines/>
        <w:numPr>
          <w:ilvl w:val="0"/>
          <w:numId w:val="25"/>
        </w:numPr>
        <w:tabs>
          <w:tab w:val="clear" w:pos="567"/>
        </w:tabs>
        <w:spacing w:line="240" w:lineRule="auto"/>
        <w:ind w:right="-2"/>
      </w:pPr>
      <w:r w:rsidRPr="003C267C">
        <w:t>every two weeks</w:t>
      </w:r>
      <w:r w:rsidR="009A12A5" w:rsidRPr="003C267C">
        <w:t xml:space="preserve"> in children </w:t>
      </w:r>
      <w:r w:rsidR="00EC040E">
        <w:t>and</w:t>
      </w:r>
      <w:r w:rsidR="00D428DE" w:rsidRPr="003C267C">
        <w:t xml:space="preserve"> adolescents </w:t>
      </w:r>
      <w:r w:rsidR="00EC040E">
        <w:rPr>
          <w:noProof/>
        </w:rPr>
        <w:t>aged 1 - 17 years</w:t>
      </w:r>
      <w:r w:rsidR="009A12A5" w:rsidRPr="003C267C">
        <w:t xml:space="preserve"> </w:t>
      </w:r>
    </w:p>
    <w:p w14:paraId="47FB3B8F" w14:textId="75CD69DE" w:rsidR="006D1EBB" w:rsidRPr="003C267C" w:rsidRDefault="009A12A5" w:rsidP="006D1EBB">
      <w:pPr>
        <w:pStyle w:val="ListParagraph"/>
        <w:keepNext/>
        <w:keepLines/>
        <w:numPr>
          <w:ilvl w:val="0"/>
          <w:numId w:val="25"/>
        </w:numPr>
        <w:tabs>
          <w:tab w:val="clear" w:pos="567"/>
        </w:tabs>
        <w:spacing w:line="240" w:lineRule="auto"/>
        <w:ind w:right="-2"/>
      </w:pPr>
      <w:r w:rsidRPr="003C267C">
        <w:t>every four weeks in adults</w:t>
      </w:r>
    </w:p>
    <w:p w14:paraId="4BB0D266" w14:textId="77777777" w:rsidR="00124AD4" w:rsidRPr="006D1EBB" w:rsidRDefault="00124AD4" w:rsidP="006D1EBB">
      <w:pPr>
        <w:pStyle w:val="ListParagraph"/>
        <w:keepNext/>
        <w:keepLines/>
        <w:tabs>
          <w:tab w:val="clear" w:pos="567"/>
        </w:tabs>
        <w:spacing w:line="240" w:lineRule="auto"/>
        <w:ind w:right="-2"/>
        <w:rPr>
          <w:szCs w:val="22"/>
        </w:rPr>
      </w:pPr>
    </w:p>
    <w:p w14:paraId="598462A1" w14:textId="77777777" w:rsidR="00124AD4" w:rsidRPr="00C56B34" w:rsidRDefault="001D0951" w:rsidP="50BD9E82">
      <w:pPr>
        <w:tabs>
          <w:tab w:val="clear" w:pos="567"/>
        </w:tabs>
        <w:spacing w:line="240" w:lineRule="auto"/>
        <w:ind w:right="-2"/>
        <w:rPr>
          <w:szCs w:val="22"/>
        </w:rPr>
      </w:pPr>
      <w:r w:rsidRPr="003C267C">
        <w:t xml:space="preserve">Your doctor will perform checks to make sure that you are getting the right </w:t>
      </w:r>
      <w:r w:rsidR="00695E9B" w:rsidRPr="003C267C">
        <w:t>dose and</w:t>
      </w:r>
      <w:r w:rsidRPr="003C267C">
        <w:t xml:space="preserve"> may change your</w:t>
      </w:r>
      <w:r>
        <w:t xml:space="preserve"> dose if needed.</w:t>
      </w:r>
    </w:p>
    <w:p w14:paraId="46C89095" w14:textId="77777777" w:rsidR="00124AD4" w:rsidRDefault="00124AD4" w:rsidP="00124AD4">
      <w:pPr>
        <w:tabs>
          <w:tab w:val="clear" w:pos="567"/>
        </w:tabs>
        <w:spacing w:line="240" w:lineRule="auto"/>
        <w:ind w:right="-2"/>
        <w:rPr>
          <w:szCs w:val="22"/>
        </w:rPr>
      </w:pPr>
    </w:p>
    <w:p w14:paraId="175F72A8" w14:textId="77777777" w:rsidR="00124AD4" w:rsidRDefault="001D0951" w:rsidP="50BD9E82">
      <w:pPr>
        <w:tabs>
          <w:tab w:val="clear" w:pos="567"/>
        </w:tabs>
        <w:spacing w:line="240" w:lineRule="auto"/>
        <w:ind w:right="-2"/>
        <w:rPr>
          <w:szCs w:val="22"/>
        </w:rPr>
      </w:pPr>
      <w:r>
        <w:t>The maximum dose you will be given is 90 mg.</w:t>
      </w:r>
    </w:p>
    <w:p w14:paraId="43BE584B" w14:textId="77777777" w:rsidR="00124AD4" w:rsidRPr="00C56B34" w:rsidRDefault="00124AD4" w:rsidP="00124AD4">
      <w:pPr>
        <w:tabs>
          <w:tab w:val="clear" w:pos="567"/>
        </w:tabs>
        <w:spacing w:line="240" w:lineRule="auto"/>
        <w:ind w:right="-2"/>
        <w:rPr>
          <w:szCs w:val="22"/>
        </w:rPr>
      </w:pPr>
    </w:p>
    <w:p w14:paraId="784E1719" w14:textId="77777777" w:rsidR="00124AD4" w:rsidRPr="00AD7A15" w:rsidRDefault="001D0951" w:rsidP="5F2EC82B">
      <w:pPr>
        <w:keepNext/>
        <w:tabs>
          <w:tab w:val="clear" w:pos="567"/>
        </w:tabs>
        <w:spacing w:line="240" w:lineRule="auto"/>
        <w:outlineLvl w:val="0"/>
        <w:rPr>
          <w:b/>
          <w:bCs/>
          <w:noProof/>
        </w:rPr>
      </w:pPr>
      <w:r w:rsidRPr="5F2EC82B">
        <w:rPr>
          <w:b/>
          <w:bCs/>
          <w:noProof/>
        </w:rPr>
        <w:t xml:space="preserve">If you have been given more </w:t>
      </w:r>
      <w:r w:rsidRPr="5F2EC82B">
        <w:rPr>
          <w:b/>
          <w:bCs/>
        </w:rPr>
        <w:t>CRYSVITA</w:t>
      </w:r>
      <w:r w:rsidRPr="5F2EC82B">
        <w:rPr>
          <w:b/>
          <w:bCs/>
          <w:noProof/>
        </w:rPr>
        <w:t xml:space="preserve"> than you should </w:t>
      </w:r>
    </w:p>
    <w:p w14:paraId="66D922D3" w14:textId="77777777" w:rsidR="00124AD4" w:rsidRPr="00AD7A15" w:rsidRDefault="001D0951" w:rsidP="5F2EC82B">
      <w:pPr>
        <w:tabs>
          <w:tab w:val="clear" w:pos="567"/>
        </w:tabs>
        <w:spacing w:line="240" w:lineRule="auto"/>
        <w:ind w:right="-2"/>
        <w:outlineLvl w:val="0"/>
        <w:rPr>
          <w:noProof/>
        </w:rPr>
      </w:pPr>
      <w:r w:rsidRPr="5F2EC82B">
        <w:rPr>
          <w:noProof/>
        </w:rPr>
        <w:t xml:space="preserve">If you think that you have been given too much </w:t>
      </w:r>
      <w:r w:rsidRPr="5F2EC82B">
        <w:rPr>
          <w:lang w:val="en-US"/>
        </w:rPr>
        <w:t>CRYSVITA, tell your doctor straight away</w:t>
      </w:r>
      <w:r>
        <w:t>.</w:t>
      </w:r>
      <w:r w:rsidRPr="5F2EC82B">
        <w:rPr>
          <w:noProof/>
        </w:rPr>
        <w:t xml:space="preserve"> </w:t>
      </w:r>
    </w:p>
    <w:p w14:paraId="3319E586" w14:textId="77777777" w:rsidR="00124AD4" w:rsidRDefault="00124AD4">
      <w:pPr>
        <w:keepNext/>
        <w:numPr>
          <w:ilvl w:val="12"/>
          <w:numId w:val="0"/>
        </w:numPr>
        <w:tabs>
          <w:tab w:val="clear" w:pos="567"/>
        </w:tabs>
        <w:spacing w:line="240" w:lineRule="auto"/>
        <w:outlineLvl w:val="0"/>
        <w:rPr>
          <w:b/>
          <w:noProof/>
          <w:szCs w:val="22"/>
        </w:rPr>
      </w:pPr>
    </w:p>
    <w:p w14:paraId="03871C9A" w14:textId="77777777" w:rsidR="00124AD4" w:rsidRPr="00C56B34" w:rsidRDefault="001D0951">
      <w:pPr>
        <w:keepNext/>
        <w:numPr>
          <w:ilvl w:val="12"/>
          <w:numId w:val="0"/>
        </w:numPr>
        <w:tabs>
          <w:tab w:val="clear" w:pos="567"/>
        </w:tabs>
        <w:spacing w:line="240" w:lineRule="auto"/>
        <w:outlineLvl w:val="0"/>
        <w:rPr>
          <w:b/>
          <w:noProof/>
          <w:szCs w:val="22"/>
        </w:rPr>
      </w:pPr>
      <w:r w:rsidRPr="00C56B34">
        <w:rPr>
          <w:b/>
          <w:noProof/>
          <w:szCs w:val="22"/>
        </w:rPr>
        <w:t xml:space="preserve">If you miss a dose of </w:t>
      </w:r>
      <w:r w:rsidR="00C0725A">
        <w:rPr>
          <w:b/>
          <w:noProof/>
          <w:szCs w:val="22"/>
        </w:rPr>
        <w:t>CRYSVITA</w:t>
      </w:r>
    </w:p>
    <w:p w14:paraId="7160E807" w14:textId="77777777" w:rsidR="00124AD4" w:rsidRPr="00C56B34" w:rsidRDefault="001D0951" w:rsidP="50BD9E82">
      <w:pPr>
        <w:tabs>
          <w:tab w:val="clear" w:pos="567"/>
        </w:tabs>
        <w:spacing w:line="240" w:lineRule="auto"/>
        <w:ind w:right="-2"/>
        <w:rPr>
          <w:szCs w:val="22"/>
        </w:rPr>
      </w:pPr>
      <w:r>
        <w:t xml:space="preserve">If a dose is missed, talk to your doctor straight away. The missed dose should be given </w:t>
      </w:r>
      <w:proofErr w:type="gramStart"/>
      <w:r>
        <w:t>as soon as possible</w:t>
      </w:r>
      <w:proofErr w:type="gramEnd"/>
      <w:r>
        <w:t xml:space="preserve"> and your doctor will re-arrange future doses accordingly</w:t>
      </w:r>
      <w:r w:rsidR="0030003C">
        <w:t>.</w:t>
      </w:r>
    </w:p>
    <w:p w14:paraId="2DB25B91" w14:textId="77777777" w:rsidR="00124AD4" w:rsidRPr="00662578" w:rsidRDefault="00124AD4">
      <w:pPr>
        <w:numPr>
          <w:ilvl w:val="12"/>
          <w:numId w:val="0"/>
        </w:numPr>
        <w:tabs>
          <w:tab w:val="clear" w:pos="567"/>
        </w:tabs>
        <w:spacing w:line="240" w:lineRule="auto"/>
        <w:ind w:right="-2"/>
        <w:rPr>
          <w:szCs w:val="22"/>
          <w:highlight w:val="yellow"/>
        </w:rPr>
      </w:pPr>
    </w:p>
    <w:p w14:paraId="2E6F8971" w14:textId="77777777" w:rsidR="00124AD4" w:rsidRPr="00662578" w:rsidRDefault="001D0951">
      <w:pPr>
        <w:numPr>
          <w:ilvl w:val="12"/>
          <w:numId w:val="0"/>
        </w:numPr>
        <w:tabs>
          <w:tab w:val="clear" w:pos="567"/>
        </w:tabs>
        <w:spacing w:line="240" w:lineRule="auto"/>
        <w:ind w:right="-29"/>
        <w:rPr>
          <w:szCs w:val="22"/>
        </w:rPr>
      </w:pPr>
      <w:r w:rsidRPr="00C56B34">
        <w:rPr>
          <w:noProof/>
          <w:szCs w:val="22"/>
        </w:rPr>
        <w:t>If you have any further questions on the use of this medicine, ask your doctor.</w:t>
      </w:r>
    </w:p>
    <w:p w14:paraId="07F87DA2" w14:textId="77777777" w:rsidR="00124AD4" w:rsidRDefault="00124AD4">
      <w:pPr>
        <w:numPr>
          <w:ilvl w:val="12"/>
          <w:numId w:val="0"/>
        </w:numPr>
        <w:tabs>
          <w:tab w:val="clear" w:pos="567"/>
        </w:tabs>
        <w:spacing w:line="240" w:lineRule="auto"/>
        <w:rPr>
          <w:szCs w:val="22"/>
        </w:rPr>
      </w:pPr>
    </w:p>
    <w:p w14:paraId="62F87190" w14:textId="77777777" w:rsidR="00124AD4" w:rsidRPr="00662578" w:rsidRDefault="00124AD4">
      <w:pPr>
        <w:numPr>
          <w:ilvl w:val="12"/>
          <w:numId w:val="0"/>
        </w:numPr>
        <w:tabs>
          <w:tab w:val="clear" w:pos="567"/>
        </w:tabs>
        <w:spacing w:line="240" w:lineRule="auto"/>
        <w:rPr>
          <w:szCs w:val="22"/>
        </w:rPr>
      </w:pPr>
    </w:p>
    <w:p w14:paraId="7029869D" w14:textId="77777777" w:rsidR="00124AD4" w:rsidRPr="00AD7A15" w:rsidRDefault="001D0951" w:rsidP="5F2EC82B">
      <w:pPr>
        <w:spacing w:line="240" w:lineRule="auto"/>
        <w:rPr>
          <w:b/>
          <w:bCs/>
        </w:rPr>
      </w:pPr>
      <w:r w:rsidRPr="00595956">
        <w:rPr>
          <w:b/>
          <w:bCs/>
        </w:rPr>
        <w:t>4.</w:t>
      </w:r>
      <w:r w:rsidRPr="00280D28">
        <w:rPr>
          <w:b/>
          <w:szCs w:val="22"/>
        </w:rPr>
        <w:tab/>
      </w:r>
      <w:r w:rsidRPr="00595956">
        <w:rPr>
          <w:b/>
          <w:bCs/>
        </w:rPr>
        <w:t>Possible side effects</w:t>
      </w:r>
    </w:p>
    <w:p w14:paraId="041E250F" w14:textId="77777777" w:rsidR="00124AD4" w:rsidRDefault="00124AD4" w:rsidP="00124AD4">
      <w:pPr>
        <w:numPr>
          <w:ilvl w:val="12"/>
          <w:numId w:val="0"/>
        </w:numPr>
        <w:tabs>
          <w:tab w:val="clear" w:pos="567"/>
        </w:tabs>
        <w:spacing w:line="240" w:lineRule="auto"/>
        <w:ind w:right="-29"/>
        <w:rPr>
          <w:noProof/>
          <w:szCs w:val="22"/>
        </w:rPr>
      </w:pPr>
    </w:p>
    <w:p w14:paraId="138052D8" w14:textId="77777777" w:rsidR="00124AD4" w:rsidRPr="00C56B34" w:rsidRDefault="001D0951" w:rsidP="00124AD4">
      <w:pPr>
        <w:numPr>
          <w:ilvl w:val="12"/>
          <w:numId w:val="0"/>
        </w:numPr>
        <w:tabs>
          <w:tab w:val="clear" w:pos="567"/>
        </w:tabs>
        <w:spacing w:line="240" w:lineRule="auto"/>
        <w:ind w:right="-29"/>
        <w:rPr>
          <w:noProof/>
          <w:szCs w:val="22"/>
        </w:rPr>
      </w:pPr>
      <w:r w:rsidRPr="00C56B34">
        <w:rPr>
          <w:noProof/>
          <w:szCs w:val="22"/>
        </w:rPr>
        <w:t>Like all medicines, this medicine can cause side effects, although not everybody gets them.</w:t>
      </w:r>
    </w:p>
    <w:p w14:paraId="3CF6EA42" w14:textId="77777777" w:rsidR="00124AD4" w:rsidRPr="00D564C1" w:rsidRDefault="00124AD4" w:rsidP="00124AD4">
      <w:pPr>
        <w:numPr>
          <w:ilvl w:val="12"/>
          <w:numId w:val="0"/>
        </w:numPr>
        <w:tabs>
          <w:tab w:val="clear" w:pos="567"/>
        </w:tabs>
        <w:spacing w:line="240" w:lineRule="auto"/>
        <w:rPr>
          <w:szCs w:val="22"/>
        </w:rPr>
      </w:pPr>
    </w:p>
    <w:p w14:paraId="6785ABE2" w14:textId="6FBA7C84" w:rsidR="00675D0E" w:rsidRPr="003C267C" w:rsidRDefault="001D0951" w:rsidP="5F2EC82B">
      <w:pPr>
        <w:tabs>
          <w:tab w:val="clear" w:pos="567"/>
        </w:tabs>
        <w:spacing w:line="240" w:lineRule="auto"/>
        <w:ind w:right="-2"/>
        <w:rPr>
          <w:b/>
          <w:bCs/>
        </w:rPr>
      </w:pPr>
      <w:r w:rsidRPr="003C267C">
        <w:rPr>
          <w:b/>
          <w:bCs/>
        </w:rPr>
        <w:t>Side effects</w:t>
      </w:r>
      <w:r w:rsidR="009A12A5" w:rsidRPr="003C267C">
        <w:rPr>
          <w:b/>
          <w:bCs/>
        </w:rPr>
        <w:t xml:space="preserve"> in children</w:t>
      </w:r>
      <w:r w:rsidR="00D428DE" w:rsidRPr="003C267C">
        <w:rPr>
          <w:b/>
          <w:bCs/>
        </w:rPr>
        <w:t xml:space="preserve"> and adolescents</w:t>
      </w:r>
    </w:p>
    <w:p w14:paraId="0E1FE900" w14:textId="458A6513" w:rsidR="00124AD4" w:rsidRPr="008023D4" w:rsidRDefault="00675D0E" w:rsidP="5F2EC82B">
      <w:pPr>
        <w:tabs>
          <w:tab w:val="clear" w:pos="567"/>
        </w:tabs>
        <w:spacing w:line="240" w:lineRule="auto"/>
        <w:ind w:right="-2"/>
        <w:rPr>
          <w:b/>
          <w:bCs/>
          <w:i/>
          <w:iCs/>
        </w:rPr>
      </w:pPr>
      <w:r w:rsidRPr="008023D4">
        <w:rPr>
          <w:b/>
          <w:i/>
          <w:iCs/>
        </w:rPr>
        <w:t>V</w:t>
      </w:r>
      <w:r w:rsidR="001D0951" w:rsidRPr="008023D4">
        <w:rPr>
          <w:b/>
          <w:i/>
          <w:iCs/>
        </w:rPr>
        <w:t xml:space="preserve">ery common </w:t>
      </w:r>
      <w:r w:rsidRPr="008023D4">
        <w:rPr>
          <w:b/>
          <w:i/>
          <w:iCs/>
        </w:rPr>
        <w:t>(</w:t>
      </w:r>
      <w:r w:rsidR="001D0951" w:rsidRPr="008023D4">
        <w:rPr>
          <w:b/>
          <w:i/>
          <w:iCs/>
        </w:rPr>
        <w:t>may affect more than 1 in 10 children</w:t>
      </w:r>
      <w:r w:rsidR="00D428DE" w:rsidRPr="008023D4">
        <w:rPr>
          <w:b/>
          <w:i/>
          <w:iCs/>
        </w:rPr>
        <w:t xml:space="preserve"> and adolescents</w:t>
      </w:r>
      <w:r w:rsidR="001D0951" w:rsidRPr="008023D4">
        <w:rPr>
          <w:b/>
          <w:i/>
          <w:iCs/>
        </w:rPr>
        <w:t>)</w:t>
      </w:r>
    </w:p>
    <w:p w14:paraId="793A6E0D" w14:textId="77777777" w:rsidR="00124AD4" w:rsidRPr="003C267C" w:rsidRDefault="001D0951" w:rsidP="00900B92">
      <w:pPr>
        <w:pStyle w:val="ListParagraph"/>
        <w:numPr>
          <w:ilvl w:val="0"/>
          <w:numId w:val="3"/>
        </w:numPr>
        <w:tabs>
          <w:tab w:val="clear" w:pos="567"/>
        </w:tabs>
        <w:spacing w:line="240" w:lineRule="auto"/>
        <w:ind w:left="567" w:hanging="567"/>
        <w:rPr>
          <w:noProof/>
          <w:szCs w:val="22"/>
        </w:rPr>
      </w:pPr>
      <w:r w:rsidRPr="003C267C">
        <w:rPr>
          <w:noProof/>
          <w:szCs w:val="22"/>
        </w:rPr>
        <w:t xml:space="preserve">Tooth </w:t>
      </w:r>
      <w:r w:rsidR="00A35F97" w:rsidRPr="003C267C">
        <w:rPr>
          <w:noProof/>
          <w:szCs w:val="22"/>
        </w:rPr>
        <w:t>abscess (</w:t>
      </w:r>
      <w:r w:rsidRPr="003C267C">
        <w:rPr>
          <w:noProof/>
          <w:szCs w:val="22"/>
        </w:rPr>
        <w:t>infection</w:t>
      </w:r>
      <w:r w:rsidR="00A35F97" w:rsidRPr="003C267C">
        <w:rPr>
          <w:noProof/>
          <w:szCs w:val="22"/>
        </w:rPr>
        <w:t>)</w:t>
      </w:r>
    </w:p>
    <w:p w14:paraId="519CECBF" w14:textId="77777777" w:rsidR="0010469F" w:rsidRPr="003C267C" w:rsidRDefault="001D0951" w:rsidP="00944C96">
      <w:pPr>
        <w:pStyle w:val="ListParagraph"/>
        <w:numPr>
          <w:ilvl w:val="0"/>
          <w:numId w:val="3"/>
        </w:numPr>
        <w:tabs>
          <w:tab w:val="clear" w:pos="567"/>
        </w:tabs>
        <w:spacing w:line="240" w:lineRule="auto"/>
        <w:ind w:left="567" w:hanging="567"/>
        <w:rPr>
          <w:noProof/>
          <w:szCs w:val="22"/>
        </w:rPr>
      </w:pPr>
      <w:r w:rsidRPr="003C267C">
        <w:rPr>
          <w:noProof/>
          <w:szCs w:val="22"/>
        </w:rPr>
        <w:t>Cough</w:t>
      </w:r>
    </w:p>
    <w:p w14:paraId="0C333754" w14:textId="77777777" w:rsidR="00900B92" w:rsidRPr="003C267C" w:rsidRDefault="001D0951" w:rsidP="00900B92">
      <w:pPr>
        <w:pStyle w:val="ListParagraph"/>
        <w:numPr>
          <w:ilvl w:val="0"/>
          <w:numId w:val="3"/>
        </w:numPr>
        <w:tabs>
          <w:tab w:val="clear" w:pos="567"/>
        </w:tabs>
        <w:spacing w:line="240" w:lineRule="auto"/>
        <w:ind w:left="567" w:hanging="567"/>
      </w:pPr>
      <w:r w:rsidRPr="003C267C">
        <w:rPr>
          <w:noProof/>
          <w:szCs w:val="22"/>
        </w:rPr>
        <w:lastRenderedPageBreak/>
        <w:t>Headache</w:t>
      </w:r>
    </w:p>
    <w:p w14:paraId="23DE4020" w14:textId="77777777" w:rsidR="00900B92" w:rsidRPr="003C267C" w:rsidRDefault="001D0951" w:rsidP="00900B92">
      <w:pPr>
        <w:pStyle w:val="ListParagraph"/>
        <w:numPr>
          <w:ilvl w:val="0"/>
          <w:numId w:val="3"/>
        </w:numPr>
        <w:tabs>
          <w:tab w:val="clear" w:pos="567"/>
        </w:tabs>
        <w:spacing w:line="240" w:lineRule="auto"/>
        <w:ind w:left="567" w:hanging="567"/>
        <w:rPr>
          <w:noProof/>
          <w:szCs w:val="22"/>
        </w:rPr>
      </w:pPr>
      <w:r w:rsidRPr="003C267C">
        <w:rPr>
          <w:noProof/>
          <w:szCs w:val="22"/>
        </w:rPr>
        <w:t>Vomiting</w:t>
      </w:r>
    </w:p>
    <w:p w14:paraId="204EBE5B" w14:textId="77777777" w:rsidR="00900B92" w:rsidRPr="003C267C" w:rsidRDefault="001D0951" w:rsidP="00900B92">
      <w:pPr>
        <w:pStyle w:val="ListParagraph"/>
        <w:numPr>
          <w:ilvl w:val="0"/>
          <w:numId w:val="3"/>
        </w:numPr>
        <w:tabs>
          <w:tab w:val="clear" w:pos="567"/>
        </w:tabs>
        <w:spacing w:line="240" w:lineRule="auto"/>
        <w:ind w:left="567" w:hanging="567"/>
        <w:rPr>
          <w:noProof/>
          <w:szCs w:val="22"/>
        </w:rPr>
      </w:pPr>
      <w:r w:rsidRPr="003C267C">
        <w:rPr>
          <w:noProof/>
          <w:szCs w:val="22"/>
        </w:rPr>
        <w:t>Nausea</w:t>
      </w:r>
    </w:p>
    <w:p w14:paraId="07E95B6A" w14:textId="77777777" w:rsidR="00900B92" w:rsidRPr="003C267C" w:rsidRDefault="001D0951" w:rsidP="00900B92">
      <w:pPr>
        <w:pStyle w:val="ListParagraph"/>
        <w:numPr>
          <w:ilvl w:val="0"/>
          <w:numId w:val="3"/>
        </w:numPr>
        <w:tabs>
          <w:tab w:val="clear" w:pos="567"/>
        </w:tabs>
        <w:spacing w:line="240" w:lineRule="auto"/>
        <w:ind w:left="567" w:hanging="567"/>
        <w:rPr>
          <w:noProof/>
          <w:szCs w:val="22"/>
        </w:rPr>
      </w:pPr>
      <w:r w:rsidRPr="003C267C">
        <w:rPr>
          <w:noProof/>
          <w:szCs w:val="22"/>
        </w:rPr>
        <w:t xml:space="preserve">Diarrhoea </w:t>
      </w:r>
    </w:p>
    <w:p w14:paraId="1E64A762" w14:textId="77777777" w:rsidR="00900B92" w:rsidRPr="003C267C" w:rsidRDefault="001D0951" w:rsidP="00900B92">
      <w:pPr>
        <w:pStyle w:val="ListParagraph"/>
        <w:numPr>
          <w:ilvl w:val="0"/>
          <w:numId w:val="3"/>
        </w:numPr>
        <w:tabs>
          <w:tab w:val="clear" w:pos="567"/>
        </w:tabs>
        <w:spacing w:line="240" w:lineRule="auto"/>
        <w:ind w:left="567" w:hanging="567"/>
        <w:rPr>
          <w:noProof/>
          <w:szCs w:val="22"/>
        </w:rPr>
      </w:pPr>
      <w:r w:rsidRPr="003C267C">
        <w:rPr>
          <w:noProof/>
          <w:szCs w:val="22"/>
        </w:rPr>
        <w:t>Constipation</w:t>
      </w:r>
    </w:p>
    <w:p w14:paraId="16762515" w14:textId="77777777" w:rsidR="00900B92" w:rsidRPr="003C267C" w:rsidRDefault="001D0951" w:rsidP="00900B92">
      <w:pPr>
        <w:pStyle w:val="ListParagraph"/>
        <w:numPr>
          <w:ilvl w:val="0"/>
          <w:numId w:val="3"/>
        </w:numPr>
        <w:tabs>
          <w:tab w:val="clear" w:pos="567"/>
        </w:tabs>
        <w:spacing w:line="240" w:lineRule="auto"/>
        <w:ind w:left="567" w:hanging="567"/>
        <w:rPr>
          <w:noProof/>
          <w:szCs w:val="22"/>
        </w:rPr>
      </w:pPr>
      <w:r w:rsidRPr="003C267C">
        <w:rPr>
          <w:noProof/>
          <w:szCs w:val="22"/>
        </w:rPr>
        <w:t>Tooth decay or cavities</w:t>
      </w:r>
    </w:p>
    <w:p w14:paraId="4D795F3C" w14:textId="77777777" w:rsidR="00900B92" w:rsidRPr="003C267C" w:rsidRDefault="001D0951" w:rsidP="00900B92">
      <w:pPr>
        <w:pStyle w:val="ListParagraph"/>
        <w:numPr>
          <w:ilvl w:val="0"/>
          <w:numId w:val="3"/>
        </w:numPr>
        <w:tabs>
          <w:tab w:val="clear" w:pos="567"/>
        </w:tabs>
        <w:spacing w:line="240" w:lineRule="auto"/>
        <w:ind w:left="567" w:hanging="567"/>
      </w:pPr>
      <w:r w:rsidRPr="003C267C">
        <w:t>Rash</w:t>
      </w:r>
    </w:p>
    <w:p w14:paraId="44475B03" w14:textId="77777777" w:rsidR="00771802" w:rsidRPr="003C267C" w:rsidRDefault="001D0951" w:rsidP="002F6CD3">
      <w:pPr>
        <w:pStyle w:val="ListParagraph"/>
        <w:numPr>
          <w:ilvl w:val="0"/>
          <w:numId w:val="3"/>
        </w:numPr>
        <w:tabs>
          <w:tab w:val="clear" w:pos="567"/>
        </w:tabs>
        <w:spacing w:line="240" w:lineRule="auto"/>
        <w:ind w:left="567" w:hanging="567"/>
      </w:pPr>
      <w:r w:rsidRPr="003C267C">
        <w:rPr>
          <w:noProof/>
          <w:szCs w:val="22"/>
        </w:rPr>
        <w:t xml:space="preserve">Pain in </w:t>
      </w:r>
      <w:r w:rsidR="008224D4" w:rsidRPr="003C267C">
        <w:rPr>
          <w:noProof/>
          <w:szCs w:val="22"/>
        </w:rPr>
        <w:t>muscles (myalgia) and h</w:t>
      </w:r>
      <w:r w:rsidRPr="003C267C">
        <w:rPr>
          <w:noProof/>
          <w:szCs w:val="22"/>
        </w:rPr>
        <w:t>ands and feet</w:t>
      </w:r>
    </w:p>
    <w:p w14:paraId="007B503F" w14:textId="77777777" w:rsidR="00771802" w:rsidRPr="003C267C" w:rsidRDefault="001D0951" w:rsidP="002F6CD3">
      <w:pPr>
        <w:pStyle w:val="ListParagraph"/>
        <w:numPr>
          <w:ilvl w:val="0"/>
          <w:numId w:val="3"/>
        </w:numPr>
        <w:tabs>
          <w:tab w:val="clear" w:pos="567"/>
        </w:tabs>
        <w:spacing w:line="240" w:lineRule="auto"/>
        <w:ind w:left="567" w:hanging="567"/>
      </w:pPr>
      <w:r w:rsidRPr="003C267C">
        <w:t>Reactions where the injection was given, which may include:</w:t>
      </w:r>
    </w:p>
    <w:p w14:paraId="15C21F4F" w14:textId="77777777" w:rsidR="00771802" w:rsidRPr="003C267C" w:rsidRDefault="001D0951" w:rsidP="00771802">
      <w:pPr>
        <w:numPr>
          <w:ilvl w:val="1"/>
          <w:numId w:val="1"/>
        </w:numPr>
        <w:tabs>
          <w:tab w:val="clear" w:pos="567"/>
        </w:tabs>
        <w:spacing w:line="240" w:lineRule="auto"/>
        <w:ind w:left="1134" w:hanging="567"/>
      </w:pPr>
      <w:r w:rsidRPr="003C267C">
        <w:t>redness or rash</w:t>
      </w:r>
    </w:p>
    <w:p w14:paraId="5337E9CC" w14:textId="77777777" w:rsidR="00771802" w:rsidRPr="003C267C" w:rsidRDefault="001D0951" w:rsidP="00771802">
      <w:pPr>
        <w:numPr>
          <w:ilvl w:val="1"/>
          <w:numId w:val="1"/>
        </w:numPr>
        <w:tabs>
          <w:tab w:val="clear" w:pos="567"/>
        </w:tabs>
        <w:spacing w:line="240" w:lineRule="auto"/>
        <w:ind w:left="1134" w:hanging="567"/>
      </w:pPr>
      <w:r w:rsidRPr="003C267C">
        <w:t>pain or itching</w:t>
      </w:r>
    </w:p>
    <w:p w14:paraId="2311231F" w14:textId="77777777" w:rsidR="00771802" w:rsidRPr="003C267C" w:rsidRDefault="001D0951" w:rsidP="00771802">
      <w:pPr>
        <w:numPr>
          <w:ilvl w:val="1"/>
          <w:numId w:val="1"/>
        </w:numPr>
        <w:tabs>
          <w:tab w:val="clear" w:pos="567"/>
        </w:tabs>
        <w:spacing w:line="240" w:lineRule="auto"/>
        <w:ind w:left="1134" w:hanging="567"/>
      </w:pPr>
      <w:r w:rsidRPr="003C267C">
        <w:t>swelling</w:t>
      </w:r>
    </w:p>
    <w:p w14:paraId="637D1C8C" w14:textId="77777777" w:rsidR="00771802" w:rsidRPr="003C267C" w:rsidRDefault="001D0951" w:rsidP="00771802">
      <w:pPr>
        <w:numPr>
          <w:ilvl w:val="1"/>
          <w:numId w:val="1"/>
        </w:numPr>
        <w:tabs>
          <w:tab w:val="clear" w:pos="567"/>
        </w:tabs>
        <w:spacing w:line="240" w:lineRule="auto"/>
        <w:ind w:left="1134" w:hanging="567"/>
      </w:pPr>
      <w:r w:rsidRPr="003C267C">
        <w:t>bleeding or bruising</w:t>
      </w:r>
    </w:p>
    <w:p w14:paraId="51BD2137" w14:textId="77777777" w:rsidR="00771802" w:rsidRPr="003C267C" w:rsidRDefault="001D0951" w:rsidP="00771802">
      <w:pPr>
        <w:ind w:left="567"/>
        <w:rPr>
          <w:szCs w:val="22"/>
        </w:rPr>
      </w:pPr>
      <w:r w:rsidRPr="003C267C">
        <w:t>These injection site reactions are usually mild and occur within a day after the injection and usually get better in around 1 to 3 days.</w:t>
      </w:r>
    </w:p>
    <w:p w14:paraId="5FB02C92" w14:textId="77777777" w:rsidR="00771802" w:rsidRPr="003C267C" w:rsidRDefault="001D0951" w:rsidP="00771802">
      <w:pPr>
        <w:pStyle w:val="ListParagraph"/>
        <w:numPr>
          <w:ilvl w:val="0"/>
          <w:numId w:val="3"/>
        </w:numPr>
        <w:tabs>
          <w:tab w:val="clear" w:pos="567"/>
        </w:tabs>
        <w:spacing w:line="240" w:lineRule="auto"/>
        <w:ind w:left="567" w:hanging="567"/>
        <w:rPr>
          <w:noProof/>
          <w:szCs w:val="22"/>
        </w:rPr>
      </w:pPr>
      <w:r w:rsidRPr="003C267C">
        <w:rPr>
          <w:noProof/>
          <w:szCs w:val="22"/>
        </w:rPr>
        <w:t>Fever</w:t>
      </w:r>
    </w:p>
    <w:p w14:paraId="04AAC4F8" w14:textId="77777777" w:rsidR="00E11403" w:rsidRPr="003C267C" w:rsidRDefault="001D0951" w:rsidP="00E11403">
      <w:pPr>
        <w:pStyle w:val="ListParagraph"/>
        <w:numPr>
          <w:ilvl w:val="0"/>
          <w:numId w:val="3"/>
        </w:numPr>
        <w:tabs>
          <w:tab w:val="clear" w:pos="567"/>
        </w:tabs>
        <w:spacing w:line="240" w:lineRule="auto"/>
        <w:ind w:left="567" w:hanging="567"/>
      </w:pPr>
      <w:r w:rsidRPr="003C267C">
        <w:t>Low vitamin D in your blood</w:t>
      </w:r>
    </w:p>
    <w:p w14:paraId="26530F19" w14:textId="77777777" w:rsidR="00124AD4" w:rsidRPr="003C267C" w:rsidRDefault="00124AD4" w:rsidP="00124AD4">
      <w:pPr>
        <w:numPr>
          <w:ilvl w:val="12"/>
          <w:numId w:val="0"/>
        </w:numPr>
        <w:tabs>
          <w:tab w:val="clear" w:pos="567"/>
        </w:tabs>
        <w:spacing w:line="240" w:lineRule="auto"/>
        <w:rPr>
          <w:szCs w:val="22"/>
        </w:rPr>
      </w:pPr>
    </w:p>
    <w:p w14:paraId="5B7703FA" w14:textId="25EB08C2" w:rsidR="00E11403" w:rsidRPr="008023D4" w:rsidRDefault="001D0951" w:rsidP="00E11403">
      <w:pPr>
        <w:numPr>
          <w:ilvl w:val="12"/>
          <w:numId w:val="0"/>
        </w:numPr>
        <w:tabs>
          <w:tab w:val="clear" w:pos="567"/>
        </w:tabs>
        <w:spacing w:line="240" w:lineRule="auto"/>
        <w:rPr>
          <w:i/>
          <w:iCs/>
          <w:szCs w:val="22"/>
        </w:rPr>
      </w:pPr>
      <w:r w:rsidRPr="008023D4">
        <w:rPr>
          <w:b/>
          <w:i/>
          <w:iCs/>
          <w:szCs w:val="22"/>
        </w:rPr>
        <w:t xml:space="preserve">Common (may affect up to 1 in 10 </w:t>
      </w:r>
      <w:r w:rsidR="00A75005" w:rsidRPr="008023D4">
        <w:rPr>
          <w:b/>
          <w:i/>
          <w:iCs/>
          <w:szCs w:val="22"/>
        </w:rPr>
        <w:t>children</w:t>
      </w:r>
      <w:r w:rsidR="00687977" w:rsidRPr="008023D4">
        <w:rPr>
          <w:b/>
          <w:i/>
          <w:iCs/>
          <w:szCs w:val="22"/>
        </w:rPr>
        <w:t xml:space="preserve"> </w:t>
      </w:r>
      <w:r w:rsidR="00687977" w:rsidRPr="008023D4">
        <w:rPr>
          <w:b/>
          <w:i/>
          <w:iCs/>
        </w:rPr>
        <w:t>and adolescents</w:t>
      </w:r>
      <w:r w:rsidRPr="008023D4">
        <w:rPr>
          <w:b/>
          <w:i/>
          <w:iCs/>
          <w:szCs w:val="22"/>
        </w:rPr>
        <w:t>)</w:t>
      </w:r>
    </w:p>
    <w:p w14:paraId="7FE07C1C" w14:textId="77777777" w:rsidR="00F70213" w:rsidRPr="003C267C" w:rsidRDefault="001D0951" w:rsidP="00F70213">
      <w:pPr>
        <w:pStyle w:val="ListParagraph"/>
        <w:numPr>
          <w:ilvl w:val="0"/>
          <w:numId w:val="3"/>
        </w:numPr>
        <w:tabs>
          <w:tab w:val="clear" w:pos="567"/>
        </w:tabs>
        <w:spacing w:line="240" w:lineRule="auto"/>
        <w:ind w:left="567" w:hanging="567"/>
        <w:rPr>
          <w:noProof/>
          <w:szCs w:val="22"/>
        </w:rPr>
      </w:pPr>
      <w:r w:rsidRPr="003C267C">
        <w:rPr>
          <w:noProof/>
          <w:szCs w:val="22"/>
        </w:rPr>
        <w:t>Dizziness</w:t>
      </w:r>
    </w:p>
    <w:p w14:paraId="62064CC2" w14:textId="77777777" w:rsidR="00675D0E" w:rsidRDefault="00675D0E" w:rsidP="00124AD4">
      <w:pPr>
        <w:numPr>
          <w:ilvl w:val="12"/>
          <w:numId w:val="0"/>
        </w:numPr>
        <w:tabs>
          <w:tab w:val="clear" w:pos="567"/>
        </w:tabs>
        <w:spacing w:line="240" w:lineRule="auto"/>
        <w:rPr>
          <w:szCs w:val="22"/>
        </w:rPr>
      </w:pPr>
    </w:p>
    <w:p w14:paraId="076412F3" w14:textId="77777777" w:rsidR="00135EA5" w:rsidRDefault="00135EA5" w:rsidP="009A12A5">
      <w:pPr>
        <w:keepNext/>
        <w:tabs>
          <w:tab w:val="clear" w:pos="567"/>
          <w:tab w:val="left" w:pos="720"/>
        </w:tabs>
        <w:spacing w:line="240" w:lineRule="auto"/>
        <w:rPr>
          <w:b/>
          <w:bCs/>
        </w:rPr>
      </w:pPr>
    </w:p>
    <w:p w14:paraId="26BBA1CB" w14:textId="31077D71" w:rsidR="009A12A5" w:rsidRDefault="009A12A5" w:rsidP="009A12A5">
      <w:pPr>
        <w:keepNext/>
        <w:tabs>
          <w:tab w:val="clear" w:pos="567"/>
          <w:tab w:val="left" w:pos="720"/>
        </w:tabs>
        <w:spacing w:line="240" w:lineRule="auto"/>
        <w:rPr>
          <w:b/>
          <w:bCs/>
        </w:rPr>
      </w:pPr>
      <w:r>
        <w:rPr>
          <w:b/>
          <w:bCs/>
        </w:rPr>
        <w:t>Side effects in adults</w:t>
      </w:r>
    </w:p>
    <w:p w14:paraId="71AA044B" w14:textId="77777777" w:rsidR="009A12A5" w:rsidRPr="008023D4" w:rsidRDefault="009A12A5" w:rsidP="009A12A5">
      <w:pPr>
        <w:keepNext/>
        <w:tabs>
          <w:tab w:val="clear" w:pos="567"/>
          <w:tab w:val="left" w:pos="720"/>
        </w:tabs>
        <w:spacing w:line="240" w:lineRule="auto"/>
        <w:rPr>
          <w:b/>
          <w:bCs/>
          <w:i/>
          <w:iCs/>
        </w:rPr>
      </w:pPr>
      <w:r w:rsidRPr="008023D4">
        <w:rPr>
          <w:b/>
          <w:i/>
          <w:iCs/>
        </w:rPr>
        <w:t xml:space="preserve">Very common </w:t>
      </w:r>
      <w:r w:rsidRPr="001B078D">
        <w:rPr>
          <w:b/>
          <w:bCs/>
          <w:i/>
          <w:iCs/>
        </w:rPr>
        <w:t>(may affect more than 1 in 10 adults)</w:t>
      </w:r>
    </w:p>
    <w:p w14:paraId="65C2F059" w14:textId="0752AEFE" w:rsidR="001F64A9" w:rsidRDefault="001F64A9" w:rsidP="009A12A5">
      <w:pPr>
        <w:pStyle w:val="ListParagraph"/>
        <w:numPr>
          <w:ilvl w:val="0"/>
          <w:numId w:val="3"/>
        </w:numPr>
        <w:tabs>
          <w:tab w:val="clear" w:pos="567"/>
          <w:tab w:val="left" w:pos="720"/>
        </w:tabs>
        <w:spacing w:line="240" w:lineRule="auto"/>
        <w:ind w:left="567" w:hanging="567"/>
        <w:rPr>
          <w:noProof/>
          <w:szCs w:val="22"/>
        </w:rPr>
      </w:pPr>
      <w:r w:rsidRPr="003C267C">
        <w:rPr>
          <w:noProof/>
          <w:szCs w:val="22"/>
        </w:rPr>
        <w:t>Tooth abscess (infection)</w:t>
      </w:r>
    </w:p>
    <w:p w14:paraId="4B853949" w14:textId="77777777" w:rsidR="009A12A5" w:rsidRDefault="009A12A5" w:rsidP="009A12A5">
      <w:pPr>
        <w:pStyle w:val="ListParagraph"/>
        <w:numPr>
          <w:ilvl w:val="0"/>
          <w:numId w:val="3"/>
        </w:numPr>
        <w:tabs>
          <w:tab w:val="clear" w:pos="567"/>
          <w:tab w:val="left" w:pos="720"/>
        </w:tabs>
        <w:spacing w:line="240" w:lineRule="auto"/>
        <w:ind w:left="567" w:hanging="567"/>
        <w:rPr>
          <w:noProof/>
          <w:szCs w:val="22"/>
        </w:rPr>
      </w:pPr>
      <w:r>
        <w:rPr>
          <w:noProof/>
          <w:szCs w:val="22"/>
        </w:rPr>
        <w:t>Headache</w:t>
      </w:r>
    </w:p>
    <w:p w14:paraId="50F3802F" w14:textId="77777777" w:rsidR="009A12A5" w:rsidRPr="001B078D" w:rsidRDefault="009A12A5" w:rsidP="009A12A5">
      <w:pPr>
        <w:pStyle w:val="ListParagraph"/>
        <w:numPr>
          <w:ilvl w:val="0"/>
          <w:numId w:val="3"/>
        </w:numPr>
        <w:tabs>
          <w:tab w:val="clear" w:pos="567"/>
          <w:tab w:val="left" w:pos="720"/>
        </w:tabs>
        <w:spacing w:line="240" w:lineRule="auto"/>
        <w:ind w:left="567" w:hanging="567"/>
        <w:rPr>
          <w:noProof/>
          <w:szCs w:val="22"/>
          <w:lang w:val="sv-SE"/>
        </w:rPr>
      </w:pPr>
      <w:r>
        <w:rPr>
          <w:noProof/>
          <w:szCs w:val="22"/>
        </w:rPr>
        <w:t>Dizziness</w:t>
      </w:r>
    </w:p>
    <w:p w14:paraId="28895CAC" w14:textId="213D0C01" w:rsidR="009A12A5" w:rsidRDefault="009A12A5" w:rsidP="009A12A5">
      <w:pPr>
        <w:pStyle w:val="ListParagraph"/>
        <w:numPr>
          <w:ilvl w:val="0"/>
          <w:numId w:val="3"/>
        </w:numPr>
        <w:tabs>
          <w:tab w:val="clear" w:pos="567"/>
          <w:tab w:val="left" w:pos="720"/>
        </w:tabs>
        <w:spacing w:line="240" w:lineRule="auto"/>
        <w:ind w:left="567" w:hanging="567"/>
      </w:pPr>
      <w:r>
        <w:t xml:space="preserve">Restless legs syndrome (irresistible urge to move your legs </w:t>
      </w:r>
      <w:r w:rsidR="00E1100E">
        <w:t>to stop uncomfortable, painful or odd sensations in the</w:t>
      </w:r>
      <w:r>
        <w:t xml:space="preserve"> legs especially </w:t>
      </w:r>
      <w:r w:rsidR="00E1100E">
        <w:t xml:space="preserve">prior to sleep or </w:t>
      </w:r>
      <w:r>
        <w:t xml:space="preserve">at </w:t>
      </w:r>
      <w:proofErr w:type="gramStart"/>
      <w:r>
        <w:t>night time</w:t>
      </w:r>
      <w:proofErr w:type="gramEnd"/>
      <w:r>
        <w:t>)</w:t>
      </w:r>
    </w:p>
    <w:p w14:paraId="38B504E8" w14:textId="77777777" w:rsidR="009A12A5" w:rsidRDefault="009A12A5" w:rsidP="009A12A5">
      <w:pPr>
        <w:pStyle w:val="ListParagraph"/>
        <w:numPr>
          <w:ilvl w:val="0"/>
          <w:numId w:val="3"/>
        </w:numPr>
        <w:tabs>
          <w:tab w:val="clear" w:pos="567"/>
          <w:tab w:val="left" w:pos="720"/>
        </w:tabs>
        <w:spacing w:line="240" w:lineRule="auto"/>
        <w:ind w:left="567" w:hanging="567"/>
      </w:pPr>
      <w:r>
        <w:t>Pain in back</w:t>
      </w:r>
    </w:p>
    <w:p w14:paraId="138A0AA1" w14:textId="77777777" w:rsidR="009A12A5" w:rsidRDefault="009A12A5" w:rsidP="009A12A5">
      <w:pPr>
        <w:pStyle w:val="ListParagraph"/>
        <w:numPr>
          <w:ilvl w:val="0"/>
          <w:numId w:val="3"/>
        </w:numPr>
        <w:tabs>
          <w:tab w:val="clear" w:pos="567"/>
          <w:tab w:val="left" w:pos="720"/>
        </w:tabs>
        <w:spacing w:line="240" w:lineRule="auto"/>
        <w:ind w:left="567" w:hanging="567"/>
      </w:pPr>
      <w:r>
        <w:t>Muscle spasm</w:t>
      </w:r>
    </w:p>
    <w:p w14:paraId="31C68DDE" w14:textId="77777777" w:rsidR="009A12A5" w:rsidRDefault="009A12A5" w:rsidP="009A12A5">
      <w:pPr>
        <w:pStyle w:val="ListParagraph"/>
        <w:numPr>
          <w:ilvl w:val="0"/>
          <w:numId w:val="3"/>
        </w:numPr>
        <w:tabs>
          <w:tab w:val="clear" w:pos="567"/>
          <w:tab w:val="left" w:pos="720"/>
        </w:tabs>
        <w:spacing w:line="240" w:lineRule="auto"/>
        <w:ind w:left="567" w:hanging="567"/>
      </w:pPr>
      <w:r>
        <w:t>Low vitamin D in your blood</w:t>
      </w:r>
    </w:p>
    <w:p w14:paraId="293D4D26" w14:textId="77777777" w:rsidR="009A12A5" w:rsidRDefault="009A12A5" w:rsidP="009A12A5">
      <w:pPr>
        <w:ind w:left="567"/>
      </w:pPr>
    </w:p>
    <w:p w14:paraId="2FC579EE" w14:textId="4691A9BF" w:rsidR="009A12A5" w:rsidRPr="00BA7A3F" w:rsidRDefault="009A12A5" w:rsidP="009A12A5">
      <w:pPr>
        <w:tabs>
          <w:tab w:val="clear" w:pos="567"/>
          <w:tab w:val="left" w:pos="720"/>
        </w:tabs>
        <w:spacing w:line="240" w:lineRule="auto"/>
        <w:ind w:right="-2"/>
        <w:rPr>
          <w:b/>
          <w:bCs/>
          <w:i/>
          <w:iCs/>
        </w:rPr>
      </w:pPr>
      <w:r w:rsidRPr="008023D4">
        <w:rPr>
          <w:b/>
          <w:i/>
          <w:iCs/>
        </w:rPr>
        <w:t xml:space="preserve">Common </w:t>
      </w:r>
      <w:r w:rsidRPr="001B078D">
        <w:rPr>
          <w:b/>
          <w:bCs/>
          <w:i/>
          <w:iCs/>
        </w:rPr>
        <w:t xml:space="preserve">(may affect </w:t>
      </w:r>
      <w:r w:rsidR="00492743" w:rsidRPr="001B078D">
        <w:rPr>
          <w:b/>
          <w:bCs/>
          <w:i/>
          <w:iCs/>
        </w:rPr>
        <w:t>up to</w:t>
      </w:r>
      <w:r w:rsidRPr="001B078D">
        <w:rPr>
          <w:b/>
          <w:bCs/>
          <w:i/>
          <w:iCs/>
        </w:rPr>
        <w:t xml:space="preserve"> 1 in 10 adults)</w:t>
      </w:r>
    </w:p>
    <w:p w14:paraId="45E3721B" w14:textId="77777777" w:rsidR="009A12A5" w:rsidRDefault="009A12A5" w:rsidP="009A12A5">
      <w:pPr>
        <w:pStyle w:val="ListParagraph"/>
        <w:numPr>
          <w:ilvl w:val="0"/>
          <w:numId w:val="3"/>
        </w:numPr>
        <w:tabs>
          <w:tab w:val="clear" w:pos="567"/>
          <w:tab w:val="left" w:pos="720"/>
        </w:tabs>
        <w:spacing w:line="240" w:lineRule="auto"/>
        <w:ind w:left="567" w:hanging="567"/>
      </w:pPr>
      <w:r>
        <w:t>Constipation</w:t>
      </w:r>
    </w:p>
    <w:p w14:paraId="419D5D0F" w14:textId="77777777" w:rsidR="009A12A5" w:rsidRPr="003C267C" w:rsidRDefault="009A12A5" w:rsidP="003C267C">
      <w:pPr>
        <w:pStyle w:val="ListParagraph"/>
        <w:numPr>
          <w:ilvl w:val="0"/>
          <w:numId w:val="3"/>
        </w:numPr>
        <w:tabs>
          <w:tab w:val="clear" w:pos="567"/>
          <w:tab w:val="left" w:pos="720"/>
        </w:tabs>
        <w:spacing w:line="240" w:lineRule="auto"/>
        <w:ind w:left="567" w:hanging="567"/>
      </w:pPr>
      <w:r>
        <w:t>Increased phosphate in your blood</w:t>
      </w:r>
    </w:p>
    <w:p w14:paraId="4D07EDD4" w14:textId="77777777" w:rsidR="009A12A5" w:rsidRPr="00D564C1" w:rsidRDefault="009A12A5" w:rsidP="00124AD4">
      <w:pPr>
        <w:numPr>
          <w:ilvl w:val="12"/>
          <w:numId w:val="0"/>
        </w:numPr>
        <w:tabs>
          <w:tab w:val="clear" w:pos="567"/>
        </w:tabs>
        <w:spacing w:line="240" w:lineRule="auto"/>
        <w:rPr>
          <w:szCs w:val="22"/>
        </w:rPr>
      </w:pPr>
    </w:p>
    <w:p w14:paraId="443BAEA3" w14:textId="77777777" w:rsidR="00124AD4" w:rsidRPr="00C56B34" w:rsidRDefault="001D0951" w:rsidP="00124AD4">
      <w:pPr>
        <w:keepNext/>
        <w:keepLines/>
        <w:numPr>
          <w:ilvl w:val="12"/>
          <w:numId w:val="0"/>
        </w:numPr>
        <w:spacing w:line="240" w:lineRule="auto"/>
        <w:outlineLvl w:val="0"/>
        <w:rPr>
          <w:b/>
          <w:noProof/>
          <w:szCs w:val="22"/>
        </w:rPr>
      </w:pPr>
      <w:r w:rsidRPr="00C56B34">
        <w:rPr>
          <w:b/>
          <w:noProof/>
          <w:szCs w:val="22"/>
        </w:rPr>
        <w:t>Reporting of side effects</w:t>
      </w:r>
    </w:p>
    <w:p w14:paraId="40A78E23" w14:textId="77777777" w:rsidR="00124AD4" w:rsidRPr="00B96FD0" w:rsidRDefault="001D0951" w:rsidP="50BD9E82">
      <w:pPr>
        <w:keepNext/>
        <w:keepLines/>
        <w:autoSpaceDE w:val="0"/>
        <w:autoSpaceDN w:val="0"/>
        <w:adjustRightInd w:val="0"/>
        <w:spacing w:line="240" w:lineRule="auto"/>
        <w:rPr>
          <w:szCs w:val="22"/>
        </w:rPr>
      </w:pPr>
      <w:r>
        <w:t xml:space="preserve">If you get any side effects, talk to your doctor or nurse. This includes any possible side effects not listed in this leaflet. You can also report side effects directly via </w:t>
      </w:r>
      <w:r w:rsidRPr="5F2EC82B">
        <w:rPr>
          <w:highlight w:val="lightGray"/>
        </w:rPr>
        <w:t xml:space="preserve">the national reporting system listed in </w:t>
      </w:r>
      <w:hyperlink r:id="rId19" w:history="1">
        <w:r w:rsidRPr="5F2EC82B">
          <w:rPr>
            <w:rStyle w:val="Hyperlink"/>
            <w:color w:val="auto"/>
            <w:highlight w:val="lightGray"/>
            <w:u w:val="none"/>
          </w:rPr>
          <w:t>Appendix V</w:t>
        </w:r>
      </w:hyperlink>
      <w:r>
        <w:t>. By reporting side effects, you can help provide more information on the safety of this medicine.</w:t>
      </w:r>
    </w:p>
    <w:p w14:paraId="7704B645" w14:textId="77777777" w:rsidR="00124AD4" w:rsidRDefault="00124AD4">
      <w:pPr>
        <w:numPr>
          <w:ilvl w:val="12"/>
          <w:numId w:val="0"/>
        </w:numPr>
        <w:tabs>
          <w:tab w:val="clear" w:pos="567"/>
        </w:tabs>
        <w:spacing w:line="240" w:lineRule="auto"/>
        <w:ind w:right="-2"/>
        <w:rPr>
          <w:noProof/>
          <w:szCs w:val="22"/>
        </w:rPr>
      </w:pPr>
    </w:p>
    <w:p w14:paraId="0AD161F1" w14:textId="77777777" w:rsidR="00124AD4" w:rsidRPr="00C56B34" w:rsidRDefault="00124AD4">
      <w:pPr>
        <w:numPr>
          <w:ilvl w:val="12"/>
          <w:numId w:val="0"/>
        </w:numPr>
        <w:tabs>
          <w:tab w:val="clear" w:pos="567"/>
        </w:tabs>
        <w:spacing w:line="240" w:lineRule="auto"/>
        <w:ind w:right="-2"/>
        <w:rPr>
          <w:noProof/>
          <w:szCs w:val="22"/>
        </w:rPr>
      </w:pPr>
    </w:p>
    <w:p w14:paraId="1DA70B2F" w14:textId="77777777" w:rsidR="00124AD4" w:rsidRPr="00AD7A15" w:rsidRDefault="001D0951" w:rsidP="009065CC">
      <w:pPr>
        <w:keepNext/>
        <w:spacing w:line="240" w:lineRule="auto"/>
        <w:rPr>
          <w:b/>
          <w:bCs/>
        </w:rPr>
      </w:pPr>
      <w:r w:rsidRPr="00595956">
        <w:rPr>
          <w:b/>
          <w:bCs/>
        </w:rPr>
        <w:t>5.</w:t>
      </w:r>
      <w:r w:rsidRPr="00280D28">
        <w:rPr>
          <w:b/>
          <w:szCs w:val="22"/>
        </w:rPr>
        <w:tab/>
      </w:r>
      <w:r w:rsidRPr="00595956">
        <w:rPr>
          <w:b/>
          <w:bCs/>
        </w:rPr>
        <w:t xml:space="preserve">How to store </w:t>
      </w:r>
      <w:r w:rsidR="00C0725A">
        <w:rPr>
          <w:b/>
          <w:bCs/>
        </w:rPr>
        <w:t>CRYSVITA</w:t>
      </w:r>
    </w:p>
    <w:p w14:paraId="2C64B921" w14:textId="77777777" w:rsidR="00124AD4" w:rsidRPr="00280D28" w:rsidRDefault="00124AD4" w:rsidP="009065CC">
      <w:pPr>
        <w:keepNext/>
        <w:spacing w:line="240" w:lineRule="auto"/>
        <w:rPr>
          <w:b/>
          <w:bCs/>
          <w:szCs w:val="22"/>
        </w:rPr>
      </w:pPr>
    </w:p>
    <w:p w14:paraId="2F1F0387" w14:textId="77777777" w:rsidR="00124AD4" w:rsidRPr="00C56B34" w:rsidRDefault="001D0951" w:rsidP="00D96639">
      <w:pPr>
        <w:tabs>
          <w:tab w:val="clear" w:pos="567"/>
        </w:tabs>
        <w:spacing w:line="240" w:lineRule="auto"/>
        <w:rPr>
          <w:noProof/>
          <w:szCs w:val="22"/>
        </w:rPr>
      </w:pPr>
      <w:r w:rsidRPr="00C56B34">
        <w:rPr>
          <w:noProof/>
          <w:szCs w:val="22"/>
        </w:rPr>
        <w:t xml:space="preserve">Keep </w:t>
      </w:r>
      <w:r w:rsidR="000C3F3F">
        <w:rPr>
          <w:noProof/>
          <w:szCs w:val="22"/>
        </w:rPr>
        <w:t xml:space="preserve">CRYSVITA </w:t>
      </w:r>
      <w:r w:rsidRPr="00C56B34">
        <w:rPr>
          <w:noProof/>
          <w:szCs w:val="22"/>
        </w:rPr>
        <w:t>out of the sight and reach of children.</w:t>
      </w:r>
    </w:p>
    <w:p w14:paraId="53D71208" w14:textId="77777777" w:rsidR="00124AD4" w:rsidRPr="00C56B34" w:rsidRDefault="001D0951" w:rsidP="00D96639">
      <w:pPr>
        <w:tabs>
          <w:tab w:val="clear" w:pos="567"/>
        </w:tabs>
        <w:spacing w:line="240" w:lineRule="auto"/>
        <w:rPr>
          <w:noProof/>
          <w:szCs w:val="22"/>
        </w:rPr>
      </w:pPr>
      <w:r w:rsidRPr="00C56B34">
        <w:rPr>
          <w:noProof/>
          <w:szCs w:val="22"/>
        </w:rPr>
        <w:t xml:space="preserve">Do not use </w:t>
      </w:r>
      <w:r w:rsidR="000C3F3F">
        <w:rPr>
          <w:noProof/>
          <w:szCs w:val="22"/>
        </w:rPr>
        <w:t>CRYSVITA</w:t>
      </w:r>
      <w:r w:rsidRPr="00C56B34">
        <w:rPr>
          <w:noProof/>
          <w:szCs w:val="22"/>
        </w:rPr>
        <w:t xml:space="preserve"> after the expiry date which is stated on the carton </w:t>
      </w:r>
      <w:r w:rsidR="000C3F3F">
        <w:rPr>
          <w:noProof/>
          <w:szCs w:val="22"/>
        </w:rPr>
        <w:t>and label.</w:t>
      </w:r>
    </w:p>
    <w:p w14:paraId="7CDB9B63" w14:textId="77777777" w:rsidR="00124AD4" w:rsidRPr="00C56B34" w:rsidRDefault="001D0951" w:rsidP="00D96639">
      <w:pPr>
        <w:tabs>
          <w:tab w:val="clear" w:pos="567"/>
        </w:tabs>
        <w:spacing w:line="240" w:lineRule="auto"/>
        <w:rPr>
          <w:noProof/>
          <w:szCs w:val="22"/>
        </w:rPr>
      </w:pPr>
      <w:r w:rsidRPr="00C56B34">
        <w:rPr>
          <w:noProof/>
          <w:szCs w:val="22"/>
        </w:rPr>
        <w:t>Store in a refrigerator (2°C to 8°C).</w:t>
      </w:r>
      <w:r w:rsidR="000C3F3F">
        <w:rPr>
          <w:noProof/>
          <w:szCs w:val="22"/>
        </w:rPr>
        <w:t xml:space="preserve"> </w:t>
      </w:r>
      <w:r w:rsidRPr="00C56B34">
        <w:rPr>
          <w:noProof/>
          <w:szCs w:val="22"/>
        </w:rPr>
        <w:t>Do not freeze.</w:t>
      </w:r>
    </w:p>
    <w:p w14:paraId="0FE5270B" w14:textId="77777777" w:rsidR="00124AD4" w:rsidRPr="00C56B34" w:rsidRDefault="001D0951" w:rsidP="00D96639">
      <w:pPr>
        <w:tabs>
          <w:tab w:val="clear" w:pos="567"/>
        </w:tabs>
        <w:spacing w:line="240" w:lineRule="auto"/>
        <w:rPr>
          <w:noProof/>
          <w:szCs w:val="22"/>
        </w:rPr>
      </w:pPr>
      <w:r w:rsidRPr="00C56B34">
        <w:rPr>
          <w:noProof/>
          <w:szCs w:val="22"/>
        </w:rPr>
        <w:t>Keep the vial in the outer carton in order to protect from light.</w:t>
      </w:r>
    </w:p>
    <w:p w14:paraId="6517910F" w14:textId="77777777" w:rsidR="00124AD4" w:rsidRPr="00C56B34" w:rsidRDefault="001D0951" w:rsidP="00D96639">
      <w:pPr>
        <w:tabs>
          <w:tab w:val="clear" w:pos="567"/>
        </w:tabs>
        <w:spacing w:line="240" w:lineRule="auto"/>
        <w:rPr>
          <w:noProof/>
          <w:szCs w:val="22"/>
        </w:rPr>
      </w:pPr>
      <w:r w:rsidRPr="00C56B34">
        <w:rPr>
          <w:noProof/>
          <w:szCs w:val="22"/>
        </w:rPr>
        <w:t xml:space="preserve">Do not use </w:t>
      </w:r>
      <w:r w:rsidR="00C0725A">
        <w:rPr>
          <w:noProof/>
          <w:szCs w:val="22"/>
        </w:rPr>
        <w:t>CRYSVITA</w:t>
      </w:r>
      <w:r w:rsidRPr="00C56B34">
        <w:rPr>
          <w:noProof/>
          <w:szCs w:val="22"/>
        </w:rPr>
        <w:t xml:space="preserve"> if it contains visible particles.</w:t>
      </w:r>
    </w:p>
    <w:p w14:paraId="5424D1E7" w14:textId="77777777" w:rsidR="00124AD4" w:rsidRPr="003C393A" w:rsidRDefault="001D0951" w:rsidP="5F2EC82B">
      <w:pPr>
        <w:spacing w:line="240" w:lineRule="auto"/>
        <w:rPr>
          <w:noProof/>
        </w:rPr>
      </w:pPr>
      <w:r>
        <w:t>Any unused medicinal product or waste material should be disposed of in accordance with local requirements.</w:t>
      </w:r>
    </w:p>
    <w:p w14:paraId="23956283" w14:textId="77777777" w:rsidR="00124AD4" w:rsidRDefault="00124AD4">
      <w:pPr>
        <w:numPr>
          <w:ilvl w:val="12"/>
          <w:numId w:val="0"/>
        </w:numPr>
        <w:tabs>
          <w:tab w:val="clear" w:pos="567"/>
        </w:tabs>
        <w:spacing w:line="240" w:lineRule="auto"/>
        <w:ind w:right="-2"/>
        <w:rPr>
          <w:noProof/>
          <w:szCs w:val="22"/>
        </w:rPr>
      </w:pPr>
    </w:p>
    <w:p w14:paraId="34F0FC07" w14:textId="77777777" w:rsidR="00124AD4" w:rsidRPr="00C56B34" w:rsidRDefault="00124AD4">
      <w:pPr>
        <w:numPr>
          <w:ilvl w:val="12"/>
          <w:numId w:val="0"/>
        </w:numPr>
        <w:tabs>
          <w:tab w:val="clear" w:pos="567"/>
        </w:tabs>
        <w:spacing w:line="240" w:lineRule="auto"/>
        <w:ind w:right="-2"/>
        <w:rPr>
          <w:noProof/>
          <w:szCs w:val="22"/>
        </w:rPr>
      </w:pPr>
    </w:p>
    <w:p w14:paraId="1C017A7A" w14:textId="77777777" w:rsidR="00124AD4" w:rsidRPr="00AD7A15" w:rsidRDefault="001D0951" w:rsidP="00B077AC">
      <w:pPr>
        <w:keepNext/>
        <w:spacing w:line="240" w:lineRule="auto"/>
        <w:rPr>
          <w:b/>
          <w:bCs/>
        </w:rPr>
      </w:pPr>
      <w:r w:rsidRPr="00595956">
        <w:rPr>
          <w:b/>
          <w:bCs/>
        </w:rPr>
        <w:lastRenderedPageBreak/>
        <w:t>6.</w:t>
      </w:r>
      <w:r w:rsidRPr="00280D28">
        <w:rPr>
          <w:b/>
          <w:szCs w:val="22"/>
        </w:rPr>
        <w:tab/>
      </w:r>
      <w:r w:rsidRPr="00595956">
        <w:rPr>
          <w:b/>
          <w:bCs/>
        </w:rPr>
        <w:t>Contents of the pack and other information</w:t>
      </w:r>
    </w:p>
    <w:p w14:paraId="7FC45D4D" w14:textId="77777777" w:rsidR="00124AD4" w:rsidRPr="00D564C1" w:rsidRDefault="00124AD4" w:rsidP="00B077AC">
      <w:pPr>
        <w:keepNext/>
        <w:numPr>
          <w:ilvl w:val="12"/>
          <w:numId w:val="0"/>
        </w:numPr>
        <w:tabs>
          <w:tab w:val="clear" w:pos="567"/>
        </w:tabs>
        <w:spacing w:line="240" w:lineRule="auto"/>
        <w:ind w:right="-2"/>
        <w:rPr>
          <w:noProof/>
          <w:szCs w:val="22"/>
        </w:rPr>
      </w:pPr>
    </w:p>
    <w:p w14:paraId="2B3C6203" w14:textId="77777777" w:rsidR="00124AD4" w:rsidRPr="00AD7A15" w:rsidRDefault="001D0951" w:rsidP="00CF2082">
      <w:pPr>
        <w:tabs>
          <w:tab w:val="clear" w:pos="567"/>
        </w:tabs>
        <w:spacing w:line="240" w:lineRule="auto"/>
        <w:ind w:right="-2"/>
        <w:rPr>
          <w:b/>
          <w:bCs/>
        </w:rPr>
      </w:pPr>
      <w:r w:rsidRPr="5F2EC82B">
        <w:rPr>
          <w:b/>
          <w:bCs/>
        </w:rPr>
        <w:t xml:space="preserve">What CRYSVITA contains </w:t>
      </w:r>
      <w:r w:rsidR="00552407">
        <w:rPr>
          <w:b/>
          <w:bCs/>
        </w:rPr>
        <w:tab/>
      </w:r>
    </w:p>
    <w:p w14:paraId="4688DD7D" w14:textId="77777777" w:rsidR="00124AD4" w:rsidRPr="00C56B34" w:rsidRDefault="001D0951" w:rsidP="00124AD4">
      <w:pPr>
        <w:tabs>
          <w:tab w:val="clear" w:pos="567"/>
        </w:tabs>
        <w:spacing w:line="240" w:lineRule="auto"/>
        <w:ind w:right="-2"/>
        <w:rPr>
          <w:noProof/>
          <w:szCs w:val="22"/>
        </w:rPr>
      </w:pPr>
      <w:r w:rsidRPr="00C56B34">
        <w:rPr>
          <w:noProof/>
          <w:szCs w:val="22"/>
        </w:rPr>
        <w:t>The active substance is burosumab. Each vial contains either 10, 20 or 30 mg of burosumab.</w:t>
      </w:r>
    </w:p>
    <w:p w14:paraId="0BA5DA6E" w14:textId="77777777" w:rsidR="00124AD4" w:rsidRPr="00C56B34" w:rsidRDefault="001D0951" w:rsidP="50BD9E82">
      <w:pPr>
        <w:tabs>
          <w:tab w:val="clear" w:pos="567"/>
        </w:tabs>
        <w:spacing w:line="240" w:lineRule="auto"/>
        <w:rPr>
          <w:szCs w:val="22"/>
        </w:rPr>
      </w:pPr>
      <w:r>
        <w:t>The other ingredients are L-histidine, D-sorbitol (E420), polysorbate 80, L-methionine, 10%, hydrochloric acid, and water for injections. (See “CRYSVITA contains sorbitol” in section 2 for more information).</w:t>
      </w:r>
    </w:p>
    <w:p w14:paraId="74B97584" w14:textId="77777777" w:rsidR="00124AD4" w:rsidRPr="00D564C1" w:rsidRDefault="00124AD4" w:rsidP="00124AD4">
      <w:pPr>
        <w:numPr>
          <w:ilvl w:val="12"/>
          <w:numId w:val="0"/>
        </w:numPr>
        <w:tabs>
          <w:tab w:val="clear" w:pos="567"/>
        </w:tabs>
        <w:spacing w:line="240" w:lineRule="auto"/>
        <w:ind w:right="-2"/>
        <w:rPr>
          <w:noProof/>
          <w:szCs w:val="22"/>
        </w:rPr>
      </w:pPr>
    </w:p>
    <w:p w14:paraId="09DE34B4" w14:textId="77777777" w:rsidR="00124AD4" w:rsidRPr="00AD7A15" w:rsidRDefault="001D0951" w:rsidP="5F2EC82B">
      <w:pPr>
        <w:tabs>
          <w:tab w:val="clear" w:pos="567"/>
        </w:tabs>
        <w:spacing w:line="240" w:lineRule="auto"/>
        <w:ind w:right="-2"/>
        <w:rPr>
          <w:b/>
          <w:bCs/>
        </w:rPr>
      </w:pPr>
      <w:r w:rsidRPr="5F2EC82B">
        <w:rPr>
          <w:b/>
          <w:bCs/>
        </w:rPr>
        <w:t>What CRYSVITA looks like and contents of the pack</w:t>
      </w:r>
    </w:p>
    <w:p w14:paraId="2C9898A9" w14:textId="77777777" w:rsidR="00124AD4" w:rsidRDefault="001D0951" w:rsidP="00124AD4">
      <w:pPr>
        <w:tabs>
          <w:tab w:val="clear" w:pos="567"/>
        </w:tabs>
        <w:spacing w:line="240" w:lineRule="auto"/>
      </w:pPr>
      <w:r>
        <w:t xml:space="preserve">CRYSVITA comes as a clear to slightly opalescent, colourless to pale yellow/brown solution for injection in a small glass vial. Each pack contains 1 vial. </w:t>
      </w:r>
    </w:p>
    <w:p w14:paraId="752558DE" w14:textId="77777777" w:rsidR="00124AD4" w:rsidRPr="00D564C1" w:rsidRDefault="00124AD4" w:rsidP="00124AD4">
      <w:pPr>
        <w:numPr>
          <w:ilvl w:val="12"/>
          <w:numId w:val="0"/>
        </w:numPr>
        <w:tabs>
          <w:tab w:val="clear" w:pos="567"/>
        </w:tabs>
        <w:spacing w:line="240" w:lineRule="auto"/>
        <w:ind w:right="-2"/>
        <w:rPr>
          <w:noProof/>
          <w:szCs w:val="22"/>
        </w:rPr>
      </w:pPr>
    </w:p>
    <w:p w14:paraId="34CF35CF" w14:textId="77777777" w:rsidR="00124AD4" w:rsidRPr="00AD7A15" w:rsidRDefault="001D0951" w:rsidP="5F2EC82B">
      <w:pPr>
        <w:spacing w:line="240" w:lineRule="auto"/>
        <w:rPr>
          <w:lang w:eastAsia="en-GB"/>
        </w:rPr>
      </w:pPr>
      <w:r w:rsidRPr="5F2EC82B">
        <w:rPr>
          <w:b/>
          <w:bCs/>
        </w:rPr>
        <w:t>Marketing Authorisation Holder</w:t>
      </w:r>
    </w:p>
    <w:p w14:paraId="0C50151A" w14:textId="77777777" w:rsidR="009B3D1F" w:rsidRDefault="001D0951" w:rsidP="009B3D1F">
      <w:pPr>
        <w:spacing w:line="240" w:lineRule="auto"/>
        <w:rPr>
          <w:lang w:eastAsia="en-GB"/>
        </w:rPr>
      </w:pPr>
      <w:r>
        <w:rPr>
          <w:lang w:eastAsia="en-GB"/>
        </w:rPr>
        <w:t>Kyowa Kirin Holdings B.V.</w:t>
      </w:r>
    </w:p>
    <w:p w14:paraId="7746442F" w14:textId="77777777" w:rsidR="009B3D1F" w:rsidRPr="0020156D" w:rsidRDefault="001D0951" w:rsidP="009B3D1F">
      <w:pPr>
        <w:spacing w:line="240" w:lineRule="auto"/>
        <w:rPr>
          <w:lang w:val="nl-NL" w:eastAsia="en-GB"/>
        </w:rPr>
      </w:pPr>
      <w:r w:rsidRPr="0020156D">
        <w:rPr>
          <w:lang w:val="nl-NL" w:eastAsia="en-GB"/>
        </w:rPr>
        <w:t>Bloemlaan 2</w:t>
      </w:r>
    </w:p>
    <w:p w14:paraId="5DB2B2B0" w14:textId="77777777" w:rsidR="009B3D1F" w:rsidRPr="0020156D" w:rsidRDefault="001D0951" w:rsidP="009B3D1F">
      <w:pPr>
        <w:spacing w:line="240" w:lineRule="auto"/>
        <w:rPr>
          <w:lang w:val="nl-NL" w:eastAsia="en-GB"/>
        </w:rPr>
      </w:pPr>
      <w:r w:rsidRPr="0020156D">
        <w:rPr>
          <w:lang w:val="nl-NL" w:eastAsia="en-GB"/>
        </w:rPr>
        <w:t>2132NP Hoofddorp</w:t>
      </w:r>
    </w:p>
    <w:p w14:paraId="2B7DEE45" w14:textId="77777777" w:rsidR="00124AD4" w:rsidRPr="0020156D" w:rsidRDefault="001D0951" w:rsidP="50BD9E82">
      <w:pPr>
        <w:spacing w:line="240" w:lineRule="auto"/>
        <w:rPr>
          <w:szCs w:val="22"/>
          <w:lang w:val="nl-NL"/>
        </w:rPr>
      </w:pPr>
      <w:r w:rsidRPr="0020156D">
        <w:rPr>
          <w:lang w:val="nl-NL" w:eastAsia="en-GB"/>
        </w:rPr>
        <w:t xml:space="preserve">The Netherlands </w:t>
      </w:r>
    </w:p>
    <w:p w14:paraId="192A88DD" w14:textId="77777777" w:rsidR="00124AD4" w:rsidRPr="0020156D" w:rsidRDefault="00C14FEF" w:rsidP="00124AD4">
      <w:pPr>
        <w:spacing w:line="240" w:lineRule="auto"/>
        <w:rPr>
          <w:szCs w:val="22"/>
          <w:lang w:val="nl-NL"/>
        </w:rPr>
      </w:pPr>
      <w:hyperlink r:id="rId20" w:history="1">
        <w:r w:rsidR="00F31AD6" w:rsidRPr="0020156D">
          <w:rPr>
            <w:rStyle w:val="Hyperlink"/>
            <w:color w:val="auto"/>
            <w:szCs w:val="22"/>
            <w:lang w:val="nl-NL"/>
          </w:rPr>
          <w:t>medinfo@kyowakirin.com</w:t>
        </w:r>
      </w:hyperlink>
    </w:p>
    <w:p w14:paraId="0FD137D1" w14:textId="77777777" w:rsidR="00124AD4" w:rsidRPr="0020156D" w:rsidRDefault="00124AD4" w:rsidP="00124AD4">
      <w:pPr>
        <w:numPr>
          <w:ilvl w:val="12"/>
          <w:numId w:val="0"/>
        </w:numPr>
        <w:tabs>
          <w:tab w:val="clear" w:pos="567"/>
        </w:tabs>
        <w:spacing w:line="240" w:lineRule="auto"/>
        <w:ind w:right="-2"/>
        <w:rPr>
          <w:noProof/>
          <w:szCs w:val="22"/>
          <w:lang w:val="nl-NL"/>
        </w:rPr>
      </w:pPr>
    </w:p>
    <w:p w14:paraId="685702DF" w14:textId="77777777" w:rsidR="00124AD4" w:rsidRPr="00AD7A15" w:rsidRDefault="001D0951" w:rsidP="5F2EC82B">
      <w:pPr>
        <w:spacing w:line="240" w:lineRule="auto"/>
        <w:rPr>
          <w:b/>
          <w:bCs/>
          <w:noProof/>
        </w:rPr>
      </w:pPr>
      <w:r w:rsidRPr="5F2EC82B">
        <w:rPr>
          <w:b/>
          <w:bCs/>
        </w:rPr>
        <w:t>Manufacturer</w:t>
      </w:r>
    </w:p>
    <w:p w14:paraId="6D161CD2" w14:textId="77777777" w:rsidR="008A493C" w:rsidRDefault="001D0951" w:rsidP="00124AD4">
      <w:pPr>
        <w:spacing w:line="240" w:lineRule="auto"/>
      </w:pPr>
      <w:r>
        <w:t>Piramal Healthcare UK Limited</w:t>
      </w:r>
    </w:p>
    <w:p w14:paraId="045C8F24" w14:textId="77777777" w:rsidR="008A493C" w:rsidRDefault="001D0951" w:rsidP="00124AD4">
      <w:pPr>
        <w:spacing w:line="240" w:lineRule="auto"/>
      </w:pPr>
      <w:proofErr w:type="spellStart"/>
      <w:r>
        <w:t>Whalton</w:t>
      </w:r>
      <w:proofErr w:type="spellEnd"/>
      <w:r>
        <w:t xml:space="preserve"> Road</w:t>
      </w:r>
    </w:p>
    <w:p w14:paraId="6DEC0C73" w14:textId="77777777" w:rsidR="008A493C" w:rsidRDefault="001D0951" w:rsidP="00124AD4">
      <w:pPr>
        <w:spacing w:line="240" w:lineRule="auto"/>
      </w:pPr>
      <w:r>
        <w:t>Morpeth</w:t>
      </w:r>
    </w:p>
    <w:p w14:paraId="13A696B5" w14:textId="77777777" w:rsidR="008A493C" w:rsidRPr="008A493C" w:rsidRDefault="001D0951" w:rsidP="00124AD4">
      <w:pPr>
        <w:spacing w:line="240" w:lineRule="auto"/>
      </w:pPr>
      <w:r>
        <w:t>NE61 3YA</w:t>
      </w:r>
    </w:p>
    <w:p w14:paraId="78F06C33" w14:textId="77777777" w:rsidR="00124AD4" w:rsidRPr="00C56B34" w:rsidRDefault="001D0951" w:rsidP="50BD9E82">
      <w:pPr>
        <w:spacing w:line="240" w:lineRule="auto"/>
        <w:rPr>
          <w:szCs w:val="22"/>
        </w:rPr>
      </w:pPr>
      <w:r>
        <w:t>United Kingdom</w:t>
      </w:r>
    </w:p>
    <w:p w14:paraId="3A73E78C" w14:textId="77777777" w:rsidR="00124AD4" w:rsidRDefault="00124AD4" w:rsidP="00124AD4">
      <w:pPr>
        <w:spacing w:line="240" w:lineRule="auto"/>
        <w:rPr>
          <w:noProof/>
          <w:szCs w:val="22"/>
        </w:rPr>
      </w:pPr>
    </w:p>
    <w:p w14:paraId="0B86CBFD" w14:textId="77777777" w:rsidR="00EB4955" w:rsidRPr="003C267C" w:rsidRDefault="00EB4955" w:rsidP="00EB4955">
      <w:pPr>
        <w:spacing w:line="240" w:lineRule="auto"/>
        <w:rPr>
          <w:szCs w:val="22"/>
        </w:rPr>
      </w:pPr>
      <w:proofErr w:type="spellStart"/>
      <w:r w:rsidRPr="003C267C">
        <w:rPr>
          <w:szCs w:val="22"/>
        </w:rPr>
        <w:t>allphamed</w:t>
      </w:r>
      <w:proofErr w:type="spellEnd"/>
      <w:r w:rsidRPr="003C267C">
        <w:rPr>
          <w:szCs w:val="22"/>
        </w:rPr>
        <w:t xml:space="preserve"> PHARBIL </w:t>
      </w:r>
      <w:proofErr w:type="spellStart"/>
      <w:r w:rsidRPr="003C267C">
        <w:rPr>
          <w:szCs w:val="22"/>
        </w:rPr>
        <w:t>Arzneimittel</w:t>
      </w:r>
      <w:proofErr w:type="spellEnd"/>
      <w:r w:rsidRPr="003C267C">
        <w:rPr>
          <w:szCs w:val="22"/>
        </w:rPr>
        <w:t xml:space="preserve"> GmbH</w:t>
      </w:r>
    </w:p>
    <w:p w14:paraId="4D4C727D" w14:textId="77777777" w:rsidR="00EB4955" w:rsidRPr="003C267C" w:rsidRDefault="00EB4955" w:rsidP="00EB4955">
      <w:pPr>
        <w:spacing w:line="240" w:lineRule="auto"/>
        <w:rPr>
          <w:szCs w:val="22"/>
        </w:rPr>
      </w:pPr>
      <w:proofErr w:type="spellStart"/>
      <w:r w:rsidRPr="003C267C">
        <w:rPr>
          <w:szCs w:val="22"/>
        </w:rPr>
        <w:t>Hildebrandstr</w:t>
      </w:r>
      <w:proofErr w:type="spellEnd"/>
      <w:r w:rsidRPr="003C267C">
        <w:rPr>
          <w:szCs w:val="22"/>
        </w:rPr>
        <w:t>. 10-12</w:t>
      </w:r>
    </w:p>
    <w:p w14:paraId="08D10D7D" w14:textId="77777777" w:rsidR="00EB4955" w:rsidRPr="003C267C" w:rsidRDefault="00EB4955" w:rsidP="00EB4955">
      <w:pPr>
        <w:spacing w:line="240" w:lineRule="auto"/>
        <w:rPr>
          <w:szCs w:val="22"/>
        </w:rPr>
      </w:pPr>
      <w:r w:rsidRPr="003C267C">
        <w:rPr>
          <w:szCs w:val="22"/>
        </w:rPr>
        <w:t>37081 Göttingen</w:t>
      </w:r>
    </w:p>
    <w:p w14:paraId="56FF3359" w14:textId="77777777" w:rsidR="00EB4955" w:rsidRDefault="00EB4955" w:rsidP="00EB4955">
      <w:pPr>
        <w:spacing w:line="240" w:lineRule="auto"/>
        <w:rPr>
          <w:szCs w:val="22"/>
        </w:rPr>
      </w:pPr>
      <w:r w:rsidRPr="003C267C">
        <w:rPr>
          <w:szCs w:val="22"/>
        </w:rPr>
        <w:t>Germany</w:t>
      </w:r>
    </w:p>
    <w:p w14:paraId="1761CD5A" w14:textId="77777777" w:rsidR="006B4CD3" w:rsidRDefault="006B4CD3" w:rsidP="00EB4955">
      <w:pPr>
        <w:spacing w:line="240" w:lineRule="auto"/>
        <w:rPr>
          <w:noProof/>
          <w:szCs w:val="22"/>
        </w:rPr>
      </w:pPr>
    </w:p>
    <w:p w14:paraId="1E0FBE61" w14:textId="77777777" w:rsidR="00124AD4" w:rsidRPr="00AD7A15" w:rsidRDefault="001D0951" w:rsidP="00B077AC">
      <w:pPr>
        <w:keepNext/>
        <w:tabs>
          <w:tab w:val="clear" w:pos="567"/>
        </w:tabs>
        <w:spacing w:line="240" w:lineRule="auto"/>
        <w:ind w:right="-2"/>
        <w:outlineLvl w:val="0"/>
        <w:rPr>
          <w:noProof/>
        </w:rPr>
      </w:pPr>
      <w:r w:rsidRPr="5F2EC82B">
        <w:rPr>
          <w:b/>
          <w:bCs/>
          <w:noProof/>
        </w:rPr>
        <w:t>This leaflet was last revised in</w:t>
      </w:r>
    </w:p>
    <w:p w14:paraId="5D074A0E" w14:textId="77777777" w:rsidR="00124AD4" w:rsidRDefault="00124AD4" w:rsidP="00B077AC">
      <w:pPr>
        <w:keepNext/>
        <w:numPr>
          <w:ilvl w:val="12"/>
          <w:numId w:val="0"/>
        </w:numPr>
        <w:tabs>
          <w:tab w:val="clear" w:pos="567"/>
        </w:tabs>
        <w:spacing w:line="240" w:lineRule="auto"/>
        <w:ind w:right="-2"/>
        <w:rPr>
          <w:b/>
          <w:noProof/>
          <w:szCs w:val="22"/>
        </w:rPr>
      </w:pPr>
    </w:p>
    <w:p w14:paraId="7BB0EB7A" w14:textId="6DC174A3" w:rsidR="00A76CBC" w:rsidRDefault="001D0951" w:rsidP="00A76CBC">
      <w:pPr>
        <w:numPr>
          <w:ilvl w:val="12"/>
          <w:numId w:val="0"/>
        </w:numPr>
        <w:spacing w:line="240" w:lineRule="auto"/>
        <w:ind w:right="-2"/>
        <w:rPr>
          <w:iCs/>
          <w:noProof/>
          <w:szCs w:val="22"/>
        </w:rPr>
      </w:pPr>
      <w:r w:rsidRPr="00A73E72">
        <w:rPr>
          <w:iCs/>
          <w:noProof/>
          <w:szCs w:val="22"/>
        </w:rPr>
        <w:t>This medicine has been given ‘conditional approval’. This means that there is more evidence to come about this medicine.</w:t>
      </w:r>
    </w:p>
    <w:p w14:paraId="31A47A91" w14:textId="77777777" w:rsidR="003C267C" w:rsidRPr="00A73E72" w:rsidRDefault="003C267C" w:rsidP="00A76CBC">
      <w:pPr>
        <w:numPr>
          <w:ilvl w:val="12"/>
          <w:numId w:val="0"/>
        </w:numPr>
        <w:spacing w:line="240" w:lineRule="auto"/>
        <w:ind w:right="-2"/>
        <w:rPr>
          <w:iCs/>
          <w:noProof/>
          <w:szCs w:val="22"/>
        </w:rPr>
      </w:pPr>
    </w:p>
    <w:p w14:paraId="4D4692D8" w14:textId="77777777" w:rsidR="00A76CBC" w:rsidRDefault="001D0951" w:rsidP="00A76CBC">
      <w:pPr>
        <w:numPr>
          <w:ilvl w:val="12"/>
          <w:numId w:val="0"/>
        </w:numPr>
        <w:tabs>
          <w:tab w:val="clear" w:pos="567"/>
        </w:tabs>
        <w:spacing w:line="240" w:lineRule="auto"/>
        <w:ind w:right="-2"/>
        <w:rPr>
          <w:iCs/>
          <w:noProof/>
          <w:szCs w:val="22"/>
        </w:rPr>
      </w:pPr>
      <w:r w:rsidRPr="00A73E72">
        <w:rPr>
          <w:iCs/>
          <w:noProof/>
          <w:szCs w:val="22"/>
        </w:rPr>
        <w:t>The European Medicines Agency will review new information on this medicine at least every year and this leaflet will be updated as necessary.</w:t>
      </w:r>
    </w:p>
    <w:p w14:paraId="277C351F" w14:textId="77777777" w:rsidR="00A76CBC" w:rsidRDefault="00A76CBC" w:rsidP="00A76CBC">
      <w:pPr>
        <w:numPr>
          <w:ilvl w:val="12"/>
          <w:numId w:val="0"/>
        </w:numPr>
        <w:tabs>
          <w:tab w:val="clear" w:pos="567"/>
        </w:tabs>
        <w:spacing w:line="240" w:lineRule="auto"/>
        <w:ind w:right="-2"/>
        <w:rPr>
          <w:b/>
          <w:noProof/>
          <w:szCs w:val="22"/>
        </w:rPr>
      </w:pPr>
    </w:p>
    <w:p w14:paraId="630EB921" w14:textId="77777777" w:rsidR="00124AD4" w:rsidRPr="00E52698" w:rsidRDefault="001D0951" w:rsidP="00124AD4">
      <w:pPr>
        <w:numPr>
          <w:ilvl w:val="12"/>
          <w:numId w:val="0"/>
        </w:numPr>
        <w:tabs>
          <w:tab w:val="clear" w:pos="567"/>
        </w:tabs>
        <w:spacing w:line="240" w:lineRule="auto"/>
        <w:ind w:right="-2"/>
        <w:rPr>
          <w:b/>
          <w:noProof/>
          <w:szCs w:val="22"/>
        </w:rPr>
      </w:pPr>
      <w:r w:rsidRPr="00662578">
        <w:rPr>
          <w:b/>
          <w:noProof/>
          <w:szCs w:val="22"/>
        </w:rPr>
        <w:t>Other sources of information</w:t>
      </w:r>
    </w:p>
    <w:p w14:paraId="46E12325" w14:textId="77777777" w:rsidR="000533A8" w:rsidRDefault="001D0951" w:rsidP="50BD9E82">
      <w:pPr>
        <w:spacing w:line="240" w:lineRule="auto"/>
        <w:rPr>
          <w:noProof/>
        </w:rPr>
      </w:pPr>
      <w:r>
        <w:t xml:space="preserve">Detailed information on this medicine is available on the European Medicines Agency web site: </w:t>
      </w:r>
      <w:r w:rsidRPr="5F2EC82B">
        <w:rPr>
          <w:rStyle w:val="Hyperlink"/>
          <w:noProof/>
          <w:color w:val="auto"/>
        </w:rPr>
        <w:t>http://www.ema.europa.eu</w:t>
      </w:r>
      <w:r w:rsidRPr="5F2EC82B">
        <w:rPr>
          <w:noProof/>
        </w:rPr>
        <w:t xml:space="preserve">. There are also links to other websites about rare diseases and treatments. </w:t>
      </w:r>
    </w:p>
    <w:p w14:paraId="460E1B75" w14:textId="77777777" w:rsidR="00124AD4" w:rsidRPr="00662578" w:rsidRDefault="00124AD4" w:rsidP="001553C8">
      <w:pPr>
        <w:tabs>
          <w:tab w:val="clear" w:pos="567"/>
        </w:tabs>
        <w:spacing w:line="240" w:lineRule="auto"/>
        <w:rPr>
          <w:szCs w:val="22"/>
        </w:rPr>
      </w:pPr>
      <w:bookmarkStart w:id="16" w:name="page_total_master3"/>
      <w:bookmarkStart w:id="17" w:name="page_total"/>
      <w:bookmarkEnd w:id="16"/>
      <w:bookmarkEnd w:id="17"/>
    </w:p>
    <w:sectPr w:rsidR="00124AD4" w:rsidRPr="00662578" w:rsidSect="005D02BF">
      <w:footerReference w:type="default" r:id="rId21"/>
      <w:footerReference w:type="first" r:id="rId22"/>
      <w:endnotePr>
        <w:numFmt w:val="decimal"/>
      </w:endnotePr>
      <w:pgSz w:w="11907" w:h="16840" w:code="9"/>
      <w:pgMar w:top="1134" w:right="1418" w:bottom="1134" w:left="1418" w:header="737" w:footer="73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74150B" w14:textId="77777777" w:rsidR="00CC0BDE" w:rsidRDefault="00CC0BDE">
      <w:pPr>
        <w:spacing w:line="240" w:lineRule="auto"/>
      </w:pPr>
      <w:r>
        <w:separator/>
      </w:r>
    </w:p>
  </w:endnote>
  <w:endnote w:type="continuationSeparator" w:id="0">
    <w:p w14:paraId="3345E623" w14:textId="77777777" w:rsidR="00CC0BDE" w:rsidRDefault="00CC0B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
    <w:altName w:val="MS Mincho"/>
    <w:panose1 w:val="00000000000000000000"/>
    <w:charset w:val="00"/>
    <w:family w:val="roman"/>
    <w:notTrueType/>
    <w:pitch w:val="default"/>
    <w:sig w:usb0="00000000" w:usb1="08070000" w:usb2="00000010" w:usb3="00000000" w:csb0="00020001" w:csb1="00000000"/>
  </w:font>
  <w:font w:name="Calibri">
    <w:panose1 w:val="020F05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TimesNewRomanPSMT">
    <w:altName w:val="MS Mincho"/>
    <w:charset w:val="00"/>
    <w:family w:val="auto"/>
    <w:pitch w:val="default"/>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DA294" w14:textId="77777777" w:rsidR="00CC0BDE" w:rsidRDefault="00CC0BDE">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Pr>
        <w:rStyle w:val="PageNumber"/>
        <w:rFonts w:cs="Arial"/>
      </w:rPr>
      <w:t>21</w:t>
    </w:r>
    <w:r>
      <w:rPr>
        <w:rStyle w:val="PageNumbe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D0843" w14:textId="77777777" w:rsidR="00CC0BDE" w:rsidRDefault="00CC0BDE">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Pr>
        <w:rStyle w:val="PageNumber"/>
        <w:rFonts w:cs="Arial"/>
      </w:rPr>
      <w:t>1</w:t>
    </w:r>
    <w:r>
      <w:rPr>
        <w:rStyle w:val="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2D1580" w14:textId="77777777" w:rsidR="00CC0BDE" w:rsidRDefault="00CC0BDE">
      <w:pPr>
        <w:spacing w:line="240" w:lineRule="auto"/>
      </w:pPr>
      <w:r>
        <w:separator/>
      </w:r>
    </w:p>
  </w:footnote>
  <w:footnote w:type="continuationSeparator" w:id="0">
    <w:p w14:paraId="7B4B214B" w14:textId="77777777" w:rsidR="00CC0BDE" w:rsidRDefault="00CC0BD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17BA6"/>
    <w:multiLevelType w:val="hybridMultilevel"/>
    <w:tmpl w:val="B8A044EA"/>
    <w:lvl w:ilvl="0" w:tplc="2278E222">
      <w:start w:val="1"/>
      <w:numFmt w:val="bullet"/>
      <w:lvlText w:val=""/>
      <w:lvlJc w:val="left"/>
      <w:pPr>
        <w:ind w:left="360" w:hanging="360"/>
      </w:pPr>
      <w:rPr>
        <w:rFonts w:ascii="Symbol" w:hAnsi="Symbol" w:hint="default"/>
      </w:rPr>
    </w:lvl>
    <w:lvl w:ilvl="1" w:tplc="DC2C2B0C" w:tentative="1">
      <w:start w:val="1"/>
      <w:numFmt w:val="bullet"/>
      <w:lvlText w:val="o"/>
      <w:lvlJc w:val="left"/>
      <w:pPr>
        <w:ind w:left="1080" w:hanging="360"/>
      </w:pPr>
      <w:rPr>
        <w:rFonts w:ascii="Courier New" w:hAnsi="Courier New" w:cs="Courier New" w:hint="default"/>
      </w:rPr>
    </w:lvl>
    <w:lvl w:ilvl="2" w:tplc="D1BEDE26" w:tentative="1">
      <w:start w:val="1"/>
      <w:numFmt w:val="bullet"/>
      <w:lvlText w:val=""/>
      <w:lvlJc w:val="left"/>
      <w:pPr>
        <w:ind w:left="1800" w:hanging="360"/>
      </w:pPr>
      <w:rPr>
        <w:rFonts w:ascii="Wingdings" w:hAnsi="Wingdings" w:hint="default"/>
      </w:rPr>
    </w:lvl>
    <w:lvl w:ilvl="3" w:tplc="FF2CD512" w:tentative="1">
      <w:start w:val="1"/>
      <w:numFmt w:val="bullet"/>
      <w:lvlText w:val=""/>
      <w:lvlJc w:val="left"/>
      <w:pPr>
        <w:ind w:left="2520" w:hanging="360"/>
      </w:pPr>
      <w:rPr>
        <w:rFonts w:ascii="Symbol" w:hAnsi="Symbol" w:hint="default"/>
      </w:rPr>
    </w:lvl>
    <w:lvl w:ilvl="4" w:tplc="C6F8D4E2" w:tentative="1">
      <w:start w:val="1"/>
      <w:numFmt w:val="bullet"/>
      <w:lvlText w:val="o"/>
      <w:lvlJc w:val="left"/>
      <w:pPr>
        <w:ind w:left="3240" w:hanging="360"/>
      </w:pPr>
      <w:rPr>
        <w:rFonts w:ascii="Courier New" w:hAnsi="Courier New" w:cs="Courier New" w:hint="default"/>
      </w:rPr>
    </w:lvl>
    <w:lvl w:ilvl="5" w:tplc="5E7A0424" w:tentative="1">
      <w:start w:val="1"/>
      <w:numFmt w:val="bullet"/>
      <w:lvlText w:val=""/>
      <w:lvlJc w:val="left"/>
      <w:pPr>
        <w:ind w:left="3960" w:hanging="360"/>
      </w:pPr>
      <w:rPr>
        <w:rFonts w:ascii="Wingdings" w:hAnsi="Wingdings" w:hint="default"/>
      </w:rPr>
    </w:lvl>
    <w:lvl w:ilvl="6" w:tplc="3FA4E672" w:tentative="1">
      <w:start w:val="1"/>
      <w:numFmt w:val="bullet"/>
      <w:lvlText w:val=""/>
      <w:lvlJc w:val="left"/>
      <w:pPr>
        <w:ind w:left="4680" w:hanging="360"/>
      </w:pPr>
      <w:rPr>
        <w:rFonts w:ascii="Symbol" w:hAnsi="Symbol" w:hint="default"/>
      </w:rPr>
    </w:lvl>
    <w:lvl w:ilvl="7" w:tplc="36AE0B90" w:tentative="1">
      <w:start w:val="1"/>
      <w:numFmt w:val="bullet"/>
      <w:lvlText w:val="o"/>
      <w:lvlJc w:val="left"/>
      <w:pPr>
        <w:ind w:left="5400" w:hanging="360"/>
      </w:pPr>
      <w:rPr>
        <w:rFonts w:ascii="Courier New" w:hAnsi="Courier New" w:cs="Courier New" w:hint="default"/>
      </w:rPr>
    </w:lvl>
    <w:lvl w:ilvl="8" w:tplc="10AAC444" w:tentative="1">
      <w:start w:val="1"/>
      <w:numFmt w:val="bullet"/>
      <w:lvlText w:val=""/>
      <w:lvlJc w:val="left"/>
      <w:pPr>
        <w:ind w:left="6120" w:hanging="360"/>
      </w:pPr>
      <w:rPr>
        <w:rFonts w:ascii="Wingdings" w:hAnsi="Wingdings" w:hint="default"/>
      </w:rPr>
    </w:lvl>
  </w:abstractNum>
  <w:abstractNum w:abstractNumId="1" w15:restartNumberingAfterBreak="0">
    <w:nsid w:val="06DF4B24"/>
    <w:multiLevelType w:val="hybridMultilevel"/>
    <w:tmpl w:val="5650C962"/>
    <w:lvl w:ilvl="0" w:tplc="147E6D9A">
      <w:start w:val="3"/>
      <w:numFmt w:val="bullet"/>
      <w:lvlText w:val="-"/>
      <w:lvlJc w:val="left"/>
      <w:pPr>
        <w:ind w:left="720" w:hanging="360"/>
      </w:pPr>
      <w:rPr>
        <w:rFonts w:ascii="Times New Roman" w:eastAsia="Times New Roman" w:hAnsi="Times New Roman" w:cs="Times New Roman" w:hint="default"/>
      </w:rPr>
    </w:lvl>
    <w:lvl w:ilvl="1" w:tplc="2E4ED6DA" w:tentative="1">
      <w:start w:val="1"/>
      <w:numFmt w:val="bullet"/>
      <w:lvlText w:val="o"/>
      <w:lvlJc w:val="left"/>
      <w:pPr>
        <w:ind w:left="1440" w:hanging="360"/>
      </w:pPr>
      <w:rPr>
        <w:rFonts w:ascii="Courier New" w:hAnsi="Courier New" w:cs="Courier New" w:hint="default"/>
      </w:rPr>
    </w:lvl>
    <w:lvl w:ilvl="2" w:tplc="EEC22C88" w:tentative="1">
      <w:start w:val="1"/>
      <w:numFmt w:val="bullet"/>
      <w:lvlText w:val=""/>
      <w:lvlJc w:val="left"/>
      <w:pPr>
        <w:ind w:left="2160" w:hanging="360"/>
      </w:pPr>
      <w:rPr>
        <w:rFonts w:ascii="Wingdings" w:hAnsi="Wingdings" w:hint="default"/>
      </w:rPr>
    </w:lvl>
    <w:lvl w:ilvl="3" w:tplc="E362DBE8" w:tentative="1">
      <w:start w:val="1"/>
      <w:numFmt w:val="bullet"/>
      <w:lvlText w:val=""/>
      <w:lvlJc w:val="left"/>
      <w:pPr>
        <w:ind w:left="2880" w:hanging="360"/>
      </w:pPr>
      <w:rPr>
        <w:rFonts w:ascii="Symbol" w:hAnsi="Symbol" w:hint="default"/>
      </w:rPr>
    </w:lvl>
    <w:lvl w:ilvl="4" w:tplc="E38885C6" w:tentative="1">
      <w:start w:val="1"/>
      <w:numFmt w:val="bullet"/>
      <w:lvlText w:val="o"/>
      <w:lvlJc w:val="left"/>
      <w:pPr>
        <w:ind w:left="3600" w:hanging="360"/>
      </w:pPr>
      <w:rPr>
        <w:rFonts w:ascii="Courier New" w:hAnsi="Courier New" w:cs="Courier New" w:hint="default"/>
      </w:rPr>
    </w:lvl>
    <w:lvl w:ilvl="5" w:tplc="8CCC1B10" w:tentative="1">
      <w:start w:val="1"/>
      <w:numFmt w:val="bullet"/>
      <w:lvlText w:val=""/>
      <w:lvlJc w:val="left"/>
      <w:pPr>
        <w:ind w:left="4320" w:hanging="360"/>
      </w:pPr>
      <w:rPr>
        <w:rFonts w:ascii="Wingdings" w:hAnsi="Wingdings" w:hint="default"/>
      </w:rPr>
    </w:lvl>
    <w:lvl w:ilvl="6" w:tplc="A4AE202E" w:tentative="1">
      <w:start w:val="1"/>
      <w:numFmt w:val="bullet"/>
      <w:lvlText w:val=""/>
      <w:lvlJc w:val="left"/>
      <w:pPr>
        <w:ind w:left="5040" w:hanging="360"/>
      </w:pPr>
      <w:rPr>
        <w:rFonts w:ascii="Symbol" w:hAnsi="Symbol" w:hint="default"/>
      </w:rPr>
    </w:lvl>
    <w:lvl w:ilvl="7" w:tplc="D59AFEC2" w:tentative="1">
      <w:start w:val="1"/>
      <w:numFmt w:val="bullet"/>
      <w:lvlText w:val="o"/>
      <w:lvlJc w:val="left"/>
      <w:pPr>
        <w:ind w:left="5760" w:hanging="360"/>
      </w:pPr>
      <w:rPr>
        <w:rFonts w:ascii="Courier New" w:hAnsi="Courier New" w:cs="Courier New" w:hint="default"/>
      </w:rPr>
    </w:lvl>
    <w:lvl w:ilvl="8" w:tplc="F1ACD3F4" w:tentative="1">
      <w:start w:val="1"/>
      <w:numFmt w:val="bullet"/>
      <w:lvlText w:val=""/>
      <w:lvlJc w:val="left"/>
      <w:pPr>
        <w:ind w:left="6480" w:hanging="360"/>
      </w:pPr>
      <w:rPr>
        <w:rFonts w:ascii="Wingdings" w:hAnsi="Wingdings" w:hint="default"/>
      </w:rPr>
    </w:lvl>
  </w:abstractNum>
  <w:abstractNum w:abstractNumId="2" w15:restartNumberingAfterBreak="0">
    <w:nsid w:val="10AF3853"/>
    <w:multiLevelType w:val="hybridMultilevel"/>
    <w:tmpl w:val="A09E6890"/>
    <w:lvl w:ilvl="0" w:tplc="D92E62A2">
      <w:start w:val="1"/>
      <w:numFmt w:val="decimal"/>
      <w:lvlText w:val="%1."/>
      <w:lvlJc w:val="left"/>
      <w:pPr>
        <w:ind w:left="720" w:hanging="360"/>
      </w:pPr>
      <w:rPr>
        <w:rFonts w:hint="default"/>
      </w:rPr>
    </w:lvl>
    <w:lvl w:ilvl="1" w:tplc="52DE9FCC" w:tentative="1">
      <w:start w:val="1"/>
      <w:numFmt w:val="lowerLetter"/>
      <w:lvlText w:val="%2."/>
      <w:lvlJc w:val="left"/>
      <w:pPr>
        <w:ind w:left="1440" w:hanging="360"/>
      </w:pPr>
    </w:lvl>
    <w:lvl w:ilvl="2" w:tplc="D0C21F74" w:tentative="1">
      <w:start w:val="1"/>
      <w:numFmt w:val="lowerRoman"/>
      <w:lvlText w:val="%3."/>
      <w:lvlJc w:val="right"/>
      <w:pPr>
        <w:ind w:left="2160" w:hanging="180"/>
      </w:pPr>
    </w:lvl>
    <w:lvl w:ilvl="3" w:tplc="24BE17E2" w:tentative="1">
      <w:start w:val="1"/>
      <w:numFmt w:val="decimal"/>
      <w:lvlText w:val="%4."/>
      <w:lvlJc w:val="left"/>
      <w:pPr>
        <w:ind w:left="2880" w:hanging="360"/>
      </w:pPr>
    </w:lvl>
    <w:lvl w:ilvl="4" w:tplc="BF26C6E4" w:tentative="1">
      <w:start w:val="1"/>
      <w:numFmt w:val="lowerLetter"/>
      <w:lvlText w:val="%5."/>
      <w:lvlJc w:val="left"/>
      <w:pPr>
        <w:ind w:left="3600" w:hanging="360"/>
      </w:pPr>
    </w:lvl>
    <w:lvl w:ilvl="5" w:tplc="98DA7B6E" w:tentative="1">
      <w:start w:val="1"/>
      <w:numFmt w:val="lowerRoman"/>
      <w:lvlText w:val="%6."/>
      <w:lvlJc w:val="right"/>
      <w:pPr>
        <w:ind w:left="4320" w:hanging="180"/>
      </w:pPr>
    </w:lvl>
    <w:lvl w:ilvl="6" w:tplc="B0A8B0BC" w:tentative="1">
      <w:start w:val="1"/>
      <w:numFmt w:val="decimal"/>
      <w:lvlText w:val="%7."/>
      <w:lvlJc w:val="left"/>
      <w:pPr>
        <w:ind w:left="5040" w:hanging="360"/>
      </w:pPr>
    </w:lvl>
    <w:lvl w:ilvl="7" w:tplc="9110B67A" w:tentative="1">
      <w:start w:val="1"/>
      <w:numFmt w:val="lowerLetter"/>
      <w:lvlText w:val="%8."/>
      <w:lvlJc w:val="left"/>
      <w:pPr>
        <w:ind w:left="5760" w:hanging="360"/>
      </w:pPr>
    </w:lvl>
    <w:lvl w:ilvl="8" w:tplc="0ADE6168" w:tentative="1">
      <w:start w:val="1"/>
      <w:numFmt w:val="lowerRoman"/>
      <w:lvlText w:val="%9."/>
      <w:lvlJc w:val="right"/>
      <w:pPr>
        <w:ind w:left="6480" w:hanging="180"/>
      </w:pPr>
    </w:lvl>
  </w:abstractNum>
  <w:abstractNum w:abstractNumId="3" w15:restartNumberingAfterBreak="0">
    <w:nsid w:val="1D81205F"/>
    <w:multiLevelType w:val="hybridMultilevel"/>
    <w:tmpl w:val="DF36B2C4"/>
    <w:lvl w:ilvl="0" w:tplc="D0669396">
      <w:start w:val="1"/>
      <w:numFmt w:val="decimal"/>
      <w:lvlText w:val="%1)"/>
      <w:lvlJc w:val="left"/>
      <w:pPr>
        <w:ind w:left="720" w:hanging="360"/>
      </w:pPr>
      <w:rPr>
        <w:rFonts w:hint="default"/>
      </w:rPr>
    </w:lvl>
    <w:lvl w:ilvl="1" w:tplc="43F20262">
      <w:start w:val="1"/>
      <w:numFmt w:val="lowerLetter"/>
      <w:lvlText w:val="%2."/>
      <w:lvlJc w:val="left"/>
      <w:pPr>
        <w:ind w:left="1440" w:hanging="360"/>
      </w:pPr>
    </w:lvl>
    <w:lvl w:ilvl="2" w:tplc="C81EBDFC" w:tentative="1">
      <w:start w:val="1"/>
      <w:numFmt w:val="lowerRoman"/>
      <w:lvlText w:val="%3."/>
      <w:lvlJc w:val="right"/>
      <w:pPr>
        <w:ind w:left="2160" w:hanging="180"/>
      </w:pPr>
    </w:lvl>
    <w:lvl w:ilvl="3" w:tplc="F7980DEC" w:tentative="1">
      <w:start w:val="1"/>
      <w:numFmt w:val="decimal"/>
      <w:lvlText w:val="%4."/>
      <w:lvlJc w:val="left"/>
      <w:pPr>
        <w:ind w:left="2880" w:hanging="360"/>
      </w:pPr>
    </w:lvl>
    <w:lvl w:ilvl="4" w:tplc="8B5CEFBE" w:tentative="1">
      <w:start w:val="1"/>
      <w:numFmt w:val="lowerLetter"/>
      <w:lvlText w:val="%5."/>
      <w:lvlJc w:val="left"/>
      <w:pPr>
        <w:ind w:left="3600" w:hanging="360"/>
      </w:pPr>
    </w:lvl>
    <w:lvl w:ilvl="5" w:tplc="EF785D38" w:tentative="1">
      <w:start w:val="1"/>
      <w:numFmt w:val="lowerRoman"/>
      <w:lvlText w:val="%6."/>
      <w:lvlJc w:val="right"/>
      <w:pPr>
        <w:ind w:left="4320" w:hanging="180"/>
      </w:pPr>
    </w:lvl>
    <w:lvl w:ilvl="6" w:tplc="A3FC6326" w:tentative="1">
      <w:start w:val="1"/>
      <w:numFmt w:val="decimal"/>
      <w:lvlText w:val="%7."/>
      <w:lvlJc w:val="left"/>
      <w:pPr>
        <w:ind w:left="5040" w:hanging="360"/>
      </w:pPr>
    </w:lvl>
    <w:lvl w:ilvl="7" w:tplc="41105B22" w:tentative="1">
      <w:start w:val="1"/>
      <w:numFmt w:val="lowerLetter"/>
      <w:lvlText w:val="%8."/>
      <w:lvlJc w:val="left"/>
      <w:pPr>
        <w:ind w:left="5760" w:hanging="360"/>
      </w:pPr>
    </w:lvl>
    <w:lvl w:ilvl="8" w:tplc="7F0C553A" w:tentative="1">
      <w:start w:val="1"/>
      <w:numFmt w:val="lowerRoman"/>
      <w:lvlText w:val="%9."/>
      <w:lvlJc w:val="right"/>
      <w:pPr>
        <w:ind w:left="6480" w:hanging="180"/>
      </w:pPr>
    </w:lvl>
  </w:abstractNum>
  <w:abstractNum w:abstractNumId="4" w15:restartNumberingAfterBreak="0">
    <w:nsid w:val="1DDB0542"/>
    <w:multiLevelType w:val="hybridMultilevel"/>
    <w:tmpl w:val="332C97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1F123C02"/>
    <w:multiLevelType w:val="hybridMultilevel"/>
    <w:tmpl w:val="A5124FDC"/>
    <w:lvl w:ilvl="0" w:tplc="118A4ED4">
      <w:start w:val="1"/>
      <w:numFmt w:val="bullet"/>
      <w:lvlText w:val=""/>
      <w:lvlJc w:val="left"/>
      <w:pPr>
        <w:ind w:left="360" w:hanging="360"/>
      </w:pPr>
      <w:rPr>
        <w:rFonts w:ascii="Symbol" w:hAnsi="Symbol" w:hint="default"/>
      </w:rPr>
    </w:lvl>
    <w:lvl w:ilvl="1" w:tplc="F20EC85C">
      <w:start w:val="2"/>
      <w:numFmt w:val="bullet"/>
      <w:lvlText w:val="-"/>
      <w:lvlJc w:val="left"/>
      <w:pPr>
        <w:ind w:left="1080" w:hanging="360"/>
      </w:pPr>
      <w:rPr>
        <w:rFonts w:ascii="Times New Roman" w:eastAsia="Times New Roman" w:hAnsi="Times New Roman" w:cs="Times New Roman" w:hint="default"/>
      </w:rPr>
    </w:lvl>
    <w:lvl w:ilvl="2" w:tplc="525298EA" w:tentative="1">
      <w:start w:val="1"/>
      <w:numFmt w:val="bullet"/>
      <w:lvlText w:val=""/>
      <w:lvlJc w:val="left"/>
      <w:pPr>
        <w:ind w:left="1800" w:hanging="360"/>
      </w:pPr>
      <w:rPr>
        <w:rFonts w:ascii="Wingdings" w:hAnsi="Wingdings" w:hint="default"/>
      </w:rPr>
    </w:lvl>
    <w:lvl w:ilvl="3" w:tplc="BFC8DBD0" w:tentative="1">
      <w:start w:val="1"/>
      <w:numFmt w:val="bullet"/>
      <w:lvlText w:val=""/>
      <w:lvlJc w:val="left"/>
      <w:pPr>
        <w:ind w:left="2520" w:hanging="360"/>
      </w:pPr>
      <w:rPr>
        <w:rFonts w:ascii="Symbol" w:hAnsi="Symbol" w:hint="default"/>
      </w:rPr>
    </w:lvl>
    <w:lvl w:ilvl="4" w:tplc="3FE24D36" w:tentative="1">
      <w:start w:val="1"/>
      <w:numFmt w:val="bullet"/>
      <w:lvlText w:val="o"/>
      <w:lvlJc w:val="left"/>
      <w:pPr>
        <w:ind w:left="3240" w:hanging="360"/>
      </w:pPr>
      <w:rPr>
        <w:rFonts w:ascii="Courier New" w:hAnsi="Courier New" w:cs="Courier New" w:hint="default"/>
      </w:rPr>
    </w:lvl>
    <w:lvl w:ilvl="5" w:tplc="7D443B76" w:tentative="1">
      <w:start w:val="1"/>
      <w:numFmt w:val="bullet"/>
      <w:lvlText w:val=""/>
      <w:lvlJc w:val="left"/>
      <w:pPr>
        <w:ind w:left="3960" w:hanging="360"/>
      </w:pPr>
      <w:rPr>
        <w:rFonts w:ascii="Wingdings" w:hAnsi="Wingdings" w:hint="default"/>
      </w:rPr>
    </w:lvl>
    <w:lvl w:ilvl="6" w:tplc="73F03B7E" w:tentative="1">
      <w:start w:val="1"/>
      <w:numFmt w:val="bullet"/>
      <w:lvlText w:val=""/>
      <w:lvlJc w:val="left"/>
      <w:pPr>
        <w:ind w:left="4680" w:hanging="360"/>
      </w:pPr>
      <w:rPr>
        <w:rFonts w:ascii="Symbol" w:hAnsi="Symbol" w:hint="default"/>
      </w:rPr>
    </w:lvl>
    <w:lvl w:ilvl="7" w:tplc="DC46E9F8" w:tentative="1">
      <w:start w:val="1"/>
      <w:numFmt w:val="bullet"/>
      <w:lvlText w:val="o"/>
      <w:lvlJc w:val="left"/>
      <w:pPr>
        <w:ind w:left="5400" w:hanging="360"/>
      </w:pPr>
      <w:rPr>
        <w:rFonts w:ascii="Courier New" w:hAnsi="Courier New" w:cs="Courier New" w:hint="default"/>
      </w:rPr>
    </w:lvl>
    <w:lvl w:ilvl="8" w:tplc="8842D8DE" w:tentative="1">
      <w:start w:val="1"/>
      <w:numFmt w:val="bullet"/>
      <w:lvlText w:val=""/>
      <w:lvlJc w:val="left"/>
      <w:pPr>
        <w:ind w:left="6120" w:hanging="360"/>
      </w:pPr>
      <w:rPr>
        <w:rFonts w:ascii="Wingdings" w:hAnsi="Wingdings" w:hint="default"/>
      </w:rPr>
    </w:lvl>
  </w:abstractNum>
  <w:abstractNum w:abstractNumId="6" w15:restartNumberingAfterBreak="0">
    <w:nsid w:val="2979423F"/>
    <w:multiLevelType w:val="hybridMultilevel"/>
    <w:tmpl w:val="22E885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8A793E"/>
    <w:multiLevelType w:val="hybridMultilevel"/>
    <w:tmpl w:val="04B86014"/>
    <w:lvl w:ilvl="0" w:tplc="31AE4742">
      <w:start w:val="1"/>
      <w:numFmt w:val="bullet"/>
      <w:lvlText w:val=""/>
      <w:lvlJc w:val="left"/>
      <w:pPr>
        <w:ind w:left="720" w:hanging="360"/>
      </w:pPr>
      <w:rPr>
        <w:rFonts w:ascii="Symbol" w:hAnsi="Symbol" w:hint="default"/>
      </w:rPr>
    </w:lvl>
    <w:lvl w:ilvl="1" w:tplc="3BC44B6C">
      <w:start w:val="1"/>
      <w:numFmt w:val="bullet"/>
      <w:lvlText w:val="o"/>
      <w:lvlJc w:val="left"/>
      <w:pPr>
        <w:ind w:left="1440" w:hanging="360"/>
      </w:pPr>
      <w:rPr>
        <w:rFonts w:ascii="Courier New" w:hAnsi="Courier New" w:cs="Courier New" w:hint="default"/>
      </w:rPr>
    </w:lvl>
    <w:lvl w:ilvl="2" w:tplc="FA2C0578" w:tentative="1">
      <w:start w:val="1"/>
      <w:numFmt w:val="bullet"/>
      <w:lvlText w:val=""/>
      <w:lvlJc w:val="left"/>
      <w:pPr>
        <w:ind w:left="2160" w:hanging="360"/>
      </w:pPr>
      <w:rPr>
        <w:rFonts w:ascii="Wingdings" w:hAnsi="Wingdings" w:hint="default"/>
      </w:rPr>
    </w:lvl>
    <w:lvl w:ilvl="3" w:tplc="1B5E6386" w:tentative="1">
      <w:start w:val="1"/>
      <w:numFmt w:val="bullet"/>
      <w:lvlText w:val=""/>
      <w:lvlJc w:val="left"/>
      <w:pPr>
        <w:ind w:left="2880" w:hanging="360"/>
      </w:pPr>
      <w:rPr>
        <w:rFonts w:ascii="Symbol" w:hAnsi="Symbol" w:hint="default"/>
      </w:rPr>
    </w:lvl>
    <w:lvl w:ilvl="4" w:tplc="A5089FFE" w:tentative="1">
      <w:start w:val="1"/>
      <w:numFmt w:val="bullet"/>
      <w:lvlText w:val="o"/>
      <w:lvlJc w:val="left"/>
      <w:pPr>
        <w:ind w:left="3600" w:hanging="360"/>
      </w:pPr>
      <w:rPr>
        <w:rFonts w:ascii="Courier New" w:hAnsi="Courier New" w:cs="Courier New" w:hint="default"/>
      </w:rPr>
    </w:lvl>
    <w:lvl w:ilvl="5" w:tplc="7264FEF4" w:tentative="1">
      <w:start w:val="1"/>
      <w:numFmt w:val="bullet"/>
      <w:lvlText w:val=""/>
      <w:lvlJc w:val="left"/>
      <w:pPr>
        <w:ind w:left="4320" w:hanging="360"/>
      </w:pPr>
      <w:rPr>
        <w:rFonts w:ascii="Wingdings" w:hAnsi="Wingdings" w:hint="default"/>
      </w:rPr>
    </w:lvl>
    <w:lvl w:ilvl="6" w:tplc="8E9219B8" w:tentative="1">
      <w:start w:val="1"/>
      <w:numFmt w:val="bullet"/>
      <w:lvlText w:val=""/>
      <w:lvlJc w:val="left"/>
      <w:pPr>
        <w:ind w:left="5040" w:hanging="360"/>
      </w:pPr>
      <w:rPr>
        <w:rFonts w:ascii="Symbol" w:hAnsi="Symbol" w:hint="default"/>
      </w:rPr>
    </w:lvl>
    <w:lvl w:ilvl="7" w:tplc="00DC767A" w:tentative="1">
      <w:start w:val="1"/>
      <w:numFmt w:val="bullet"/>
      <w:lvlText w:val="o"/>
      <w:lvlJc w:val="left"/>
      <w:pPr>
        <w:ind w:left="5760" w:hanging="360"/>
      </w:pPr>
      <w:rPr>
        <w:rFonts w:ascii="Courier New" w:hAnsi="Courier New" w:cs="Courier New" w:hint="default"/>
      </w:rPr>
    </w:lvl>
    <w:lvl w:ilvl="8" w:tplc="B37AFA52" w:tentative="1">
      <w:start w:val="1"/>
      <w:numFmt w:val="bullet"/>
      <w:lvlText w:val=""/>
      <w:lvlJc w:val="left"/>
      <w:pPr>
        <w:ind w:left="6480" w:hanging="360"/>
      </w:pPr>
      <w:rPr>
        <w:rFonts w:ascii="Wingdings" w:hAnsi="Wingdings" w:hint="default"/>
      </w:rPr>
    </w:lvl>
  </w:abstractNum>
  <w:abstractNum w:abstractNumId="8" w15:restartNumberingAfterBreak="0">
    <w:nsid w:val="30444A8B"/>
    <w:multiLevelType w:val="hybridMultilevel"/>
    <w:tmpl w:val="82E29E36"/>
    <w:lvl w:ilvl="0" w:tplc="DE04F7CE">
      <w:numFmt w:val="bullet"/>
      <w:lvlText w:val="-"/>
      <w:lvlJc w:val="left"/>
      <w:pPr>
        <w:ind w:left="720" w:hanging="360"/>
      </w:pPr>
      <w:rPr>
        <w:rFonts w:ascii="Times New Roman" w:eastAsia="Times New Roman" w:hAnsi="Times New Roman" w:cs="Times New Roman" w:hint="default"/>
      </w:rPr>
    </w:lvl>
    <w:lvl w:ilvl="1" w:tplc="51300E2C" w:tentative="1">
      <w:start w:val="1"/>
      <w:numFmt w:val="bullet"/>
      <w:lvlText w:val="o"/>
      <w:lvlJc w:val="left"/>
      <w:pPr>
        <w:ind w:left="1440" w:hanging="360"/>
      </w:pPr>
      <w:rPr>
        <w:rFonts w:ascii="Courier New" w:hAnsi="Courier New" w:cs="Courier New" w:hint="default"/>
      </w:rPr>
    </w:lvl>
    <w:lvl w:ilvl="2" w:tplc="069E44CA" w:tentative="1">
      <w:start w:val="1"/>
      <w:numFmt w:val="bullet"/>
      <w:lvlText w:val=""/>
      <w:lvlJc w:val="left"/>
      <w:pPr>
        <w:ind w:left="2160" w:hanging="360"/>
      </w:pPr>
      <w:rPr>
        <w:rFonts w:ascii="Wingdings" w:hAnsi="Wingdings" w:hint="default"/>
      </w:rPr>
    </w:lvl>
    <w:lvl w:ilvl="3" w:tplc="64044B96" w:tentative="1">
      <w:start w:val="1"/>
      <w:numFmt w:val="bullet"/>
      <w:lvlText w:val=""/>
      <w:lvlJc w:val="left"/>
      <w:pPr>
        <w:ind w:left="2880" w:hanging="360"/>
      </w:pPr>
      <w:rPr>
        <w:rFonts w:ascii="Symbol" w:hAnsi="Symbol" w:hint="default"/>
      </w:rPr>
    </w:lvl>
    <w:lvl w:ilvl="4" w:tplc="42CE2B02" w:tentative="1">
      <w:start w:val="1"/>
      <w:numFmt w:val="bullet"/>
      <w:lvlText w:val="o"/>
      <w:lvlJc w:val="left"/>
      <w:pPr>
        <w:ind w:left="3600" w:hanging="360"/>
      </w:pPr>
      <w:rPr>
        <w:rFonts w:ascii="Courier New" w:hAnsi="Courier New" w:cs="Courier New" w:hint="default"/>
      </w:rPr>
    </w:lvl>
    <w:lvl w:ilvl="5" w:tplc="7A741010" w:tentative="1">
      <w:start w:val="1"/>
      <w:numFmt w:val="bullet"/>
      <w:lvlText w:val=""/>
      <w:lvlJc w:val="left"/>
      <w:pPr>
        <w:ind w:left="4320" w:hanging="360"/>
      </w:pPr>
      <w:rPr>
        <w:rFonts w:ascii="Wingdings" w:hAnsi="Wingdings" w:hint="default"/>
      </w:rPr>
    </w:lvl>
    <w:lvl w:ilvl="6" w:tplc="97BA4D6A" w:tentative="1">
      <w:start w:val="1"/>
      <w:numFmt w:val="bullet"/>
      <w:lvlText w:val=""/>
      <w:lvlJc w:val="left"/>
      <w:pPr>
        <w:ind w:left="5040" w:hanging="360"/>
      </w:pPr>
      <w:rPr>
        <w:rFonts w:ascii="Symbol" w:hAnsi="Symbol" w:hint="default"/>
      </w:rPr>
    </w:lvl>
    <w:lvl w:ilvl="7" w:tplc="2FE6E83E" w:tentative="1">
      <w:start w:val="1"/>
      <w:numFmt w:val="bullet"/>
      <w:lvlText w:val="o"/>
      <w:lvlJc w:val="left"/>
      <w:pPr>
        <w:ind w:left="5760" w:hanging="360"/>
      </w:pPr>
      <w:rPr>
        <w:rFonts w:ascii="Courier New" w:hAnsi="Courier New" w:cs="Courier New" w:hint="default"/>
      </w:rPr>
    </w:lvl>
    <w:lvl w:ilvl="8" w:tplc="184A4476" w:tentative="1">
      <w:start w:val="1"/>
      <w:numFmt w:val="bullet"/>
      <w:lvlText w:val=""/>
      <w:lvlJc w:val="left"/>
      <w:pPr>
        <w:ind w:left="6480" w:hanging="360"/>
      </w:pPr>
      <w:rPr>
        <w:rFonts w:ascii="Wingdings" w:hAnsi="Wingdings" w:hint="default"/>
      </w:rPr>
    </w:lvl>
  </w:abstractNum>
  <w:abstractNum w:abstractNumId="9" w15:restartNumberingAfterBreak="0">
    <w:nsid w:val="483B3863"/>
    <w:multiLevelType w:val="hybridMultilevel"/>
    <w:tmpl w:val="3260F10E"/>
    <w:lvl w:ilvl="0" w:tplc="6750D58A">
      <w:start w:val="1"/>
      <w:numFmt w:val="decimal"/>
      <w:lvlText w:val="%1)"/>
      <w:lvlJc w:val="left"/>
      <w:pPr>
        <w:ind w:left="720" w:hanging="360"/>
      </w:pPr>
      <w:rPr>
        <w:rFonts w:hint="default"/>
      </w:rPr>
    </w:lvl>
    <w:lvl w:ilvl="1" w:tplc="B98A70D0" w:tentative="1">
      <w:start w:val="1"/>
      <w:numFmt w:val="lowerLetter"/>
      <w:lvlText w:val="%2."/>
      <w:lvlJc w:val="left"/>
      <w:pPr>
        <w:ind w:left="1440" w:hanging="360"/>
      </w:pPr>
    </w:lvl>
    <w:lvl w:ilvl="2" w:tplc="7B38AF88" w:tentative="1">
      <w:start w:val="1"/>
      <w:numFmt w:val="lowerRoman"/>
      <w:lvlText w:val="%3."/>
      <w:lvlJc w:val="right"/>
      <w:pPr>
        <w:ind w:left="2160" w:hanging="180"/>
      </w:pPr>
    </w:lvl>
    <w:lvl w:ilvl="3" w:tplc="9F02788E" w:tentative="1">
      <w:start w:val="1"/>
      <w:numFmt w:val="decimal"/>
      <w:lvlText w:val="%4."/>
      <w:lvlJc w:val="left"/>
      <w:pPr>
        <w:ind w:left="2880" w:hanging="360"/>
      </w:pPr>
    </w:lvl>
    <w:lvl w:ilvl="4" w:tplc="79C2AEA8" w:tentative="1">
      <w:start w:val="1"/>
      <w:numFmt w:val="lowerLetter"/>
      <w:lvlText w:val="%5."/>
      <w:lvlJc w:val="left"/>
      <w:pPr>
        <w:ind w:left="3600" w:hanging="360"/>
      </w:pPr>
    </w:lvl>
    <w:lvl w:ilvl="5" w:tplc="0612584E" w:tentative="1">
      <w:start w:val="1"/>
      <w:numFmt w:val="lowerRoman"/>
      <w:lvlText w:val="%6."/>
      <w:lvlJc w:val="right"/>
      <w:pPr>
        <w:ind w:left="4320" w:hanging="180"/>
      </w:pPr>
    </w:lvl>
    <w:lvl w:ilvl="6" w:tplc="3CF29270" w:tentative="1">
      <w:start w:val="1"/>
      <w:numFmt w:val="decimal"/>
      <w:lvlText w:val="%7."/>
      <w:lvlJc w:val="left"/>
      <w:pPr>
        <w:ind w:left="5040" w:hanging="360"/>
      </w:pPr>
    </w:lvl>
    <w:lvl w:ilvl="7" w:tplc="41CED9C0" w:tentative="1">
      <w:start w:val="1"/>
      <w:numFmt w:val="lowerLetter"/>
      <w:lvlText w:val="%8."/>
      <w:lvlJc w:val="left"/>
      <w:pPr>
        <w:ind w:left="5760" w:hanging="360"/>
      </w:pPr>
    </w:lvl>
    <w:lvl w:ilvl="8" w:tplc="3C82D514" w:tentative="1">
      <w:start w:val="1"/>
      <w:numFmt w:val="lowerRoman"/>
      <w:lvlText w:val="%9."/>
      <w:lvlJc w:val="right"/>
      <w:pPr>
        <w:ind w:left="6480" w:hanging="180"/>
      </w:pPr>
    </w:lvl>
  </w:abstractNum>
  <w:abstractNum w:abstractNumId="10" w15:restartNumberingAfterBreak="0">
    <w:nsid w:val="4C261B4B"/>
    <w:multiLevelType w:val="hybridMultilevel"/>
    <w:tmpl w:val="5F7A39EC"/>
    <w:lvl w:ilvl="0" w:tplc="40B25E28">
      <w:numFmt w:val="bullet"/>
      <w:lvlText w:val="-"/>
      <w:lvlJc w:val="left"/>
      <w:pPr>
        <w:ind w:left="720" w:hanging="360"/>
      </w:pPr>
      <w:rPr>
        <w:rFonts w:ascii="Times New Roman" w:eastAsia="Times New Roman" w:hAnsi="Times New Roman" w:cs="Times New Roman" w:hint="default"/>
      </w:rPr>
    </w:lvl>
    <w:lvl w:ilvl="1" w:tplc="AB1000E4" w:tentative="1">
      <w:start w:val="1"/>
      <w:numFmt w:val="bullet"/>
      <w:lvlText w:val="o"/>
      <w:lvlJc w:val="left"/>
      <w:pPr>
        <w:ind w:left="1440" w:hanging="360"/>
      </w:pPr>
      <w:rPr>
        <w:rFonts w:ascii="Courier New" w:hAnsi="Courier New" w:cs="Courier New" w:hint="default"/>
      </w:rPr>
    </w:lvl>
    <w:lvl w:ilvl="2" w:tplc="6DBC1EAA" w:tentative="1">
      <w:start w:val="1"/>
      <w:numFmt w:val="bullet"/>
      <w:lvlText w:val=""/>
      <w:lvlJc w:val="left"/>
      <w:pPr>
        <w:ind w:left="2160" w:hanging="360"/>
      </w:pPr>
      <w:rPr>
        <w:rFonts w:ascii="Wingdings" w:hAnsi="Wingdings" w:hint="default"/>
      </w:rPr>
    </w:lvl>
    <w:lvl w:ilvl="3" w:tplc="DBE8015E" w:tentative="1">
      <w:start w:val="1"/>
      <w:numFmt w:val="bullet"/>
      <w:lvlText w:val=""/>
      <w:lvlJc w:val="left"/>
      <w:pPr>
        <w:ind w:left="2880" w:hanging="360"/>
      </w:pPr>
      <w:rPr>
        <w:rFonts w:ascii="Symbol" w:hAnsi="Symbol" w:hint="default"/>
      </w:rPr>
    </w:lvl>
    <w:lvl w:ilvl="4" w:tplc="BD8E78CA" w:tentative="1">
      <w:start w:val="1"/>
      <w:numFmt w:val="bullet"/>
      <w:lvlText w:val="o"/>
      <w:lvlJc w:val="left"/>
      <w:pPr>
        <w:ind w:left="3600" w:hanging="360"/>
      </w:pPr>
      <w:rPr>
        <w:rFonts w:ascii="Courier New" w:hAnsi="Courier New" w:cs="Courier New" w:hint="default"/>
      </w:rPr>
    </w:lvl>
    <w:lvl w:ilvl="5" w:tplc="6C045C96" w:tentative="1">
      <w:start w:val="1"/>
      <w:numFmt w:val="bullet"/>
      <w:lvlText w:val=""/>
      <w:lvlJc w:val="left"/>
      <w:pPr>
        <w:ind w:left="4320" w:hanging="360"/>
      </w:pPr>
      <w:rPr>
        <w:rFonts w:ascii="Wingdings" w:hAnsi="Wingdings" w:hint="default"/>
      </w:rPr>
    </w:lvl>
    <w:lvl w:ilvl="6" w:tplc="513A7346" w:tentative="1">
      <w:start w:val="1"/>
      <w:numFmt w:val="bullet"/>
      <w:lvlText w:val=""/>
      <w:lvlJc w:val="left"/>
      <w:pPr>
        <w:ind w:left="5040" w:hanging="360"/>
      </w:pPr>
      <w:rPr>
        <w:rFonts w:ascii="Symbol" w:hAnsi="Symbol" w:hint="default"/>
      </w:rPr>
    </w:lvl>
    <w:lvl w:ilvl="7" w:tplc="A17A5F1A" w:tentative="1">
      <w:start w:val="1"/>
      <w:numFmt w:val="bullet"/>
      <w:lvlText w:val="o"/>
      <w:lvlJc w:val="left"/>
      <w:pPr>
        <w:ind w:left="5760" w:hanging="360"/>
      </w:pPr>
      <w:rPr>
        <w:rFonts w:ascii="Courier New" w:hAnsi="Courier New" w:cs="Courier New" w:hint="default"/>
      </w:rPr>
    </w:lvl>
    <w:lvl w:ilvl="8" w:tplc="D116BBEE" w:tentative="1">
      <w:start w:val="1"/>
      <w:numFmt w:val="bullet"/>
      <w:lvlText w:val=""/>
      <w:lvlJc w:val="left"/>
      <w:pPr>
        <w:ind w:left="6480" w:hanging="360"/>
      </w:pPr>
      <w:rPr>
        <w:rFonts w:ascii="Wingdings" w:hAnsi="Wingdings" w:hint="default"/>
      </w:rPr>
    </w:lvl>
  </w:abstractNum>
  <w:abstractNum w:abstractNumId="11" w15:restartNumberingAfterBreak="0">
    <w:nsid w:val="4DCA12EB"/>
    <w:multiLevelType w:val="hybridMultilevel"/>
    <w:tmpl w:val="E056CDE8"/>
    <w:lvl w:ilvl="0" w:tplc="118A4ED4">
      <w:start w:val="1"/>
      <w:numFmt w:val="bullet"/>
      <w:lvlText w:val=""/>
      <w:lvlJc w:val="left"/>
      <w:pPr>
        <w:ind w:left="360" w:hanging="360"/>
      </w:pPr>
      <w:rPr>
        <w:rFonts w:ascii="Symbol" w:hAnsi="Symbol" w:hint="default"/>
      </w:rPr>
    </w:lvl>
    <w:lvl w:ilvl="1" w:tplc="A1966B64">
      <w:start w:val="1"/>
      <w:numFmt w:val="bullet"/>
      <w:lvlText w:val="o"/>
      <w:lvlJc w:val="left"/>
      <w:pPr>
        <w:ind w:left="1080" w:hanging="360"/>
      </w:pPr>
      <w:rPr>
        <w:rFonts w:ascii="Courier New" w:hAnsi="Courier New" w:cs="Courier New" w:hint="default"/>
      </w:rPr>
    </w:lvl>
    <w:lvl w:ilvl="2" w:tplc="525298EA" w:tentative="1">
      <w:start w:val="1"/>
      <w:numFmt w:val="bullet"/>
      <w:lvlText w:val=""/>
      <w:lvlJc w:val="left"/>
      <w:pPr>
        <w:ind w:left="1800" w:hanging="360"/>
      </w:pPr>
      <w:rPr>
        <w:rFonts w:ascii="Wingdings" w:hAnsi="Wingdings" w:hint="default"/>
      </w:rPr>
    </w:lvl>
    <w:lvl w:ilvl="3" w:tplc="BFC8DBD0" w:tentative="1">
      <w:start w:val="1"/>
      <w:numFmt w:val="bullet"/>
      <w:lvlText w:val=""/>
      <w:lvlJc w:val="left"/>
      <w:pPr>
        <w:ind w:left="2520" w:hanging="360"/>
      </w:pPr>
      <w:rPr>
        <w:rFonts w:ascii="Symbol" w:hAnsi="Symbol" w:hint="default"/>
      </w:rPr>
    </w:lvl>
    <w:lvl w:ilvl="4" w:tplc="3FE24D36" w:tentative="1">
      <w:start w:val="1"/>
      <w:numFmt w:val="bullet"/>
      <w:lvlText w:val="o"/>
      <w:lvlJc w:val="left"/>
      <w:pPr>
        <w:ind w:left="3240" w:hanging="360"/>
      </w:pPr>
      <w:rPr>
        <w:rFonts w:ascii="Courier New" w:hAnsi="Courier New" w:cs="Courier New" w:hint="default"/>
      </w:rPr>
    </w:lvl>
    <w:lvl w:ilvl="5" w:tplc="7D443B76" w:tentative="1">
      <w:start w:val="1"/>
      <w:numFmt w:val="bullet"/>
      <w:lvlText w:val=""/>
      <w:lvlJc w:val="left"/>
      <w:pPr>
        <w:ind w:left="3960" w:hanging="360"/>
      </w:pPr>
      <w:rPr>
        <w:rFonts w:ascii="Wingdings" w:hAnsi="Wingdings" w:hint="default"/>
      </w:rPr>
    </w:lvl>
    <w:lvl w:ilvl="6" w:tplc="73F03B7E" w:tentative="1">
      <w:start w:val="1"/>
      <w:numFmt w:val="bullet"/>
      <w:lvlText w:val=""/>
      <w:lvlJc w:val="left"/>
      <w:pPr>
        <w:ind w:left="4680" w:hanging="360"/>
      </w:pPr>
      <w:rPr>
        <w:rFonts w:ascii="Symbol" w:hAnsi="Symbol" w:hint="default"/>
      </w:rPr>
    </w:lvl>
    <w:lvl w:ilvl="7" w:tplc="DC46E9F8" w:tentative="1">
      <w:start w:val="1"/>
      <w:numFmt w:val="bullet"/>
      <w:lvlText w:val="o"/>
      <w:lvlJc w:val="left"/>
      <w:pPr>
        <w:ind w:left="5400" w:hanging="360"/>
      </w:pPr>
      <w:rPr>
        <w:rFonts w:ascii="Courier New" w:hAnsi="Courier New" w:cs="Courier New" w:hint="default"/>
      </w:rPr>
    </w:lvl>
    <w:lvl w:ilvl="8" w:tplc="8842D8DE" w:tentative="1">
      <w:start w:val="1"/>
      <w:numFmt w:val="bullet"/>
      <w:lvlText w:val=""/>
      <w:lvlJc w:val="left"/>
      <w:pPr>
        <w:ind w:left="6120" w:hanging="360"/>
      </w:pPr>
      <w:rPr>
        <w:rFonts w:ascii="Wingdings" w:hAnsi="Wingdings" w:hint="default"/>
      </w:rPr>
    </w:lvl>
  </w:abstractNum>
  <w:abstractNum w:abstractNumId="12" w15:restartNumberingAfterBreak="0">
    <w:nsid w:val="508C6435"/>
    <w:multiLevelType w:val="hybridMultilevel"/>
    <w:tmpl w:val="3DC4E4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522926C3"/>
    <w:multiLevelType w:val="hybridMultilevel"/>
    <w:tmpl w:val="88DE0C0E"/>
    <w:lvl w:ilvl="0" w:tplc="ECA8ADB2">
      <w:numFmt w:val="bullet"/>
      <w:lvlText w:val="-"/>
      <w:lvlJc w:val="left"/>
      <w:pPr>
        <w:ind w:left="720" w:hanging="360"/>
      </w:pPr>
      <w:rPr>
        <w:rFonts w:ascii="Times New Roman" w:eastAsia="Times New Roman" w:hAnsi="Times New Roman" w:cs="Times New Roman" w:hint="default"/>
      </w:rPr>
    </w:lvl>
    <w:lvl w:ilvl="1" w:tplc="29D64D68" w:tentative="1">
      <w:start w:val="1"/>
      <w:numFmt w:val="bullet"/>
      <w:lvlText w:val="o"/>
      <w:lvlJc w:val="left"/>
      <w:pPr>
        <w:ind w:left="1440" w:hanging="360"/>
      </w:pPr>
      <w:rPr>
        <w:rFonts w:ascii="Courier New" w:hAnsi="Courier New" w:cs="Courier New" w:hint="default"/>
      </w:rPr>
    </w:lvl>
    <w:lvl w:ilvl="2" w:tplc="17EAAF44" w:tentative="1">
      <w:start w:val="1"/>
      <w:numFmt w:val="bullet"/>
      <w:lvlText w:val=""/>
      <w:lvlJc w:val="left"/>
      <w:pPr>
        <w:ind w:left="2160" w:hanging="360"/>
      </w:pPr>
      <w:rPr>
        <w:rFonts w:ascii="Wingdings" w:hAnsi="Wingdings" w:hint="default"/>
      </w:rPr>
    </w:lvl>
    <w:lvl w:ilvl="3" w:tplc="41D0283C" w:tentative="1">
      <w:start w:val="1"/>
      <w:numFmt w:val="bullet"/>
      <w:lvlText w:val=""/>
      <w:lvlJc w:val="left"/>
      <w:pPr>
        <w:ind w:left="2880" w:hanging="360"/>
      </w:pPr>
      <w:rPr>
        <w:rFonts w:ascii="Symbol" w:hAnsi="Symbol" w:hint="default"/>
      </w:rPr>
    </w:lvl>
    <w:lvl w:ilvl="4" w:tplc="DCCAEBF4" w:tentative="1">
      <w:start w:val="1"/>
      <w:numFmt w:val="bullet"/>
      <w:lvlText w:val="o"/>
      <w:lvlJc w:val="left"/>
      <w:pPr>
        <w:ind w:left="3600" w:hanging="360"/>
      </w:pPr>
      <w:rPr>
        <w:rFonts w:ascii="Courier New" w:hAnsi="Courier New" w:cs="Courier New" w:hint="default"/>
      </w:rPr>
    </w:lvl>
    <w:lvl w:ilvl="5" w:tplc="813A2086" w:tentative="1">
      <w:start w:val="1"/>
      <w:numFmt w:val="bullet"/>
      <w:lvlText w:val=""/>
      <w:lvlJc w:val="left"/>
      <w:pPr>
        <w:ind w:left="4320" w:hanging="360"/>
      </w:pPr>
      <w:rPr>
        <w:rFonts w:ascii="Wingdings" w:hAnsi="Wingdings" w:hint="default"/>
      </w:rPr>
    </w:lvl>
    <w:lvl w:ilvl="6" w:tplc="1B26DFE0" w:tentative="1">
      <w:start w:val="1"/>
      <w:numFmt w:val="bullet"/>
      <w:lvlText w:val=""/>
      <w:lvlJc w:val="left"/>
      <w:pPr>
        <w:ind w:left="5040" w:hanging="360"/>
      </w:pPr>
      <w:rPr>
        <w:rFonts w:ascii="Symbol" w:hAnsi="Symbol" w:hint="default"/>
      </w:rPr>
    </w:lvl>
    <w:lvl w:ilvl="7" w:tplc="4B4CF336" w:tentative="1">
      <w:start w:val="1"/>
      <w:numFmt w:val="bullet"/>
      <w:lvlText w:val="o"/>
      <w:lvlJc w:val="left"/>
      <w:pPr>
        <w:ind w:left="5760" w:hanging="360"/>
      </w:pPr>
      <w:rPr>
        <w:rFonts w:ascii="Courier New" w:hAnsi="Courier New" w:cs="Courier New" w:hint="default"/>
      </w:rPr>
    </w:lvl>
    <w:lvl w:ilvl="8" w:tplc="04568F52" w:tentative="1">
      <w:start w:val="1"/>
      <w:numFmt w:val="bullet"/>
      <w:lvlText w:val=""/>
      <w:lvlJc w:val="left"/>
      <w:pPr>
        <w:ind w:left="6480" w:hanging="360"/>
      </w:pPr>
      <w:rPr>
        <w:rFonts w:ascii="Wingdings" w:hAnsi="Wingdings" w:hint="default"/>
      </w:rPr>
    </w:lvl>
  </w:abstractNum>
  <w:abstractNum w:abstractNumId="14" w15:restartNumberingAfterBreak="0">
    <w:nsid w:val="537F7D4F"/>
    <w:multiLevelType w:val="hybridMultilevel"/>
    <w:tmpl w:val="929A96AC"/>
    <w:lvl w:ilvl="0" w:tplc="F4A2823C">
      <w:start w:val="1"/>
      <w:numFmt w:val="lowerLetter"/>
      <w:lvlText w:val="%1)"/>
      <w:lvlJc w:val="left"/>
      <w:pPr>
        <w:ind w:left="720" w:hanging="360"/>
      </w:pPr>
      <w:rPr>
        <w:rFonts w:hint="default"/>
      </w:rPr>
    </w:lvl>
    <w:lvl w:ilvl="1" w:tplc="CC86DB14" w:tentative="1">
      <w:start w:val="1"/>
      <w:numFmt w:val="lowerLetter"/>
      <w:lvlText w:val="%2."/>
      <w:lvlJc w:val="left"/>
      <w:pPr>
        <w:ind w:left="1440" w:hanging="360"/>
      </w:pPr>
    </w:lvl>
    <w:lvl w:ilvl="2" w:tplc="49F49D8E" w:tentative="1">
      <w:start w:val="1"/>
      <w:numFmt w:val="lowerRoman"/>
      <w:lvlText w:val="%3."/>
      <w:lvlJc w:val="right"/>
      <w:pPr>
        <w:ind w:left="2160" w:hanging="180"/>
      </w:pPr>
    </w:lvl>
    <w:lvl w:ilvl="3" w:tplc="BE984EAC" w:tentative="1">
      <w:start w:val="1"/>
      <w:numFmt w:val="decimal"/>
      <w:lvlText w:val="%4."/>
      <w:lvlJc w:val="left"/>
      <w:pPr>
        <w:ind w:left="2880" w:hanging="360"/>
      </w:pPr>
    </w:lvl>
    <w:lvl w:ilvl="4" w:tplc="7E54FE50" w:tentative="1">
      <w:start w:val="1"/>
      <w:numFmt w:val="lowerLetter"/>
      <w:lvlText w:val="%5."/>
      <w:lvlJc w:val="left"/>
      <w:pPr>
        <w:ind w:left="3600" w:hanging="360"/>
      </w:pPr>
    </w:lvl>
    <w:lvl w:ilvl="5" w:tplc="1018A830" w:tentative="1">
      <w:start w:val="1"/>
      <w:numFmt w:val="lowerRoman"/>
      <w:lvlText w:val="%6."/>
      <w:lvlJc w:val="right"/>
      <w:pPr>
        <w:ind w:left="4320" w:hanging="180"/>
      </w:pPr>
    </w:lvl>
    <w:lvl w:ilvl="6" w:tplc="D13C8FE2" w:tentative="1">
      <w:start w:val="1"/>
      <w:numFmt w:val="decimal"/>
      <w:lvlText w:val="%7."/>
      <w:lvlJc w:val="left"/>
      <w:pPr>
        <w:ind w:left="5040" w:hanging="360"/>
      </w:pPr>
    </w:lvl>
    <w:lvl w:ilvl="7" w:tplc="3A94D346" w:tentative="1">
      <w:start w:val="1"/>
      <w:numFmt w:val="lowerLetter"/>
      <w:lvlText w:val="%8."/>
      <w:lvlJc w:val="left"/>
      <w:pPr>
        <w:ind w:left="5760" w:hanging="360"/>
      </w:pPr>
    </w:lvl>
    <w:lvl w:ilvl="8" w:tplc="B9C2EE64" w:tentative="1">
      <w:start w:val="1"/>
      <w:numFmt w:val="lowerRoman"/>
      <w:lvlText w:val="%9."/>
      <w:lvlJc w:val="right"/>
      <w:pPr>
        <w:ind w:left="6480" w:hanging="180"/>
      </w:pPr>
    </w:lvl>
  </w:abstractNum>
  <w:abstractNum w:abstractNumId="15" w15:restartNumberingAfterBreak="0">
    <w:nsid w:val="5F44730C"/>
    <w:multiLevelType w:val="hybridMultilevel"/>
    <w:tmpl w:val="E820DA12"/>
    <w:lvl w:ilvl="0" w:tplc="2EA831B4">
      <w:start w:val="1"/>
      <w:numFmt w:val="bullet"/>
      <w:lvlText w:val=""/>
      <w:lvlJc w:val="left"/>
      <w:pPr>
        <w:ind w:left="720" w:hanging="360"/>
      </w:pPr>
      <w:rPr>
        <w:rFonts w:ascii="Symbol" w:hAnsi="Symbol" w:hint="default"/>
      </w:rPr>
    </w:lvl>
    <w:lvl w:ilvl="1" w:tplc="45149124" w:tentative="1">
      <w:start w:val="1"/>
      <w:numFmt w:val="bullet"/>
      <w:lvlText w:val="o"/>
      <w:lvlJc w:val="left"/>
      <w:pPr>
        <w:ind w:left="1440" w:hanging="360"/>
      </w:pPr>
      <w:rPr>
        <w:rFonts w:ascii="Courier New" w:hAnsi="Courier New" w:cs="Courier New" w:hint="default"/>
      </w:rPr>
    </w:lvl>
    <w:lvl w:ilvl="2" w:tplc="74EC0C9E" w:tentative="1">
      <w:start w:val="1"/>
      <w:numFmt w:val="bullet"/>
      <w:lvlText w:val=""/>
      <w:lvlJc w:val="left"/>
      <w:pPr>
        <w:ind w:left="2160" w:hanging="360"/>
      </w:pPr>
      <w:rPr>
        <w:rFonts w:ascii="Wingdings" w:hAnsi="Wingdings" w:hint="default"/>
      </w:rPr>
    </w:lvl>
    <w:lvl w:ilvl="3" w:tplc="6A1C2F8E" w:tentative="1">
      <w:start w:val="1"/>
      <w:numFmt w:val="bullet"/>
      <w:lvlText w:val=""/>
      <w:lvlJc w:val="left"/>
      <w:pPr>
        <w:ind w:left="2880" w:hanging="360"/>
      </w:pPr>
      <w:rPr>
        <w:rFonts w:ascii="Symbol" w:hAnsi="Symbol" w:hint="default"/>
      </w:rPr>
    </w:lvl>
    <w:lvl w:ilvl="4" w:tplc="D1F42834" w:tentative="1">
      <w:start w:val="1"/>
      <w:numFmt w:val="bullet"/>
      <w:lvlText w:val="o"/>
      <w:lvlJc w:val="left"/>
      <w:pPr>
        <w:ind w:left="3600" w:hanging="360"/>
      </w:pPr>
      <w:rPr>
        <w:rFonts w:ascii="Courier New" w:hAnsi="Courier New" w:cs="Courier New" w:hint="default"/>
      </w:rPr>
    </w:lvl>
    <w:lvl w:ilvl="5" w:tplc="E1727894" w:tentative="1">
      <w:start w:val="1"/>
      <w:numFmt w:val="bullet"/>
      <w:lvlText w:val=""/>
      <w:lvlJc w:val="left"/>
      <w:pPr>
        <w:ind w:left="4320" w:hanging="360"/>
      </w:pPr>
      <w:rPr>
        <w:rFonts w:ascii="Wingdings" w:hAnsi="Wingdings" w:hint="default"/>
      </w:rPr>
    </w:lvl>
    <w:lvl w:ilvl="6" w:tplc="5B9A9516" w:tentative="1">
      <w:start w:val="1"/>
      <w:numFmt w:val="bullet"/>
      <w:lvlText w:val=""/>
      <w:lvlJc w:val="left"/>
      <w:pPr>
        <w:ind w:left="5040" w:hanging="360"/>
      </w:pPr>
      <w:rPr>
        <w:rFonts w:ascii="Symbol" w:hAnsi="Symbol" w:hint="default"/>
      </w:rPr>
    </w:lvl>
    <w:lvl w:ilvl="7" w:tplc="0FB0575C" w:tentative="1">
      <w:start w:val="1"/>
      <w:numFmt w:val="bullet"/>
      <w:lvlText w:val="o"/>
      <w:lvlJc w:val="left"/>
      <w:pPr>
        <w:ind w:left="5760" w:hanging="360"/>
      </w:pPr>
      <w:rPr>
        <w:rFonts w:ascii="Courier New" w:hAnsi="Courier New" w:cs="Courier New" w:hint="default"/>
      </w:rPr>
    </w:lvl>
    <w:lvl w:ilvl="8" w:tplc="D54AFF82" w:tentative="1">
      <w:start w:val="1"/>
      <w:numFmt w:val="bullet"/>
      <w:lvlText w:val=""/>
      <w:lvlJc w:val="left"/>
      <w:pPr>
        <w:ind w:left="6480" w:hanging="360"/>
      </w:pPr>
      <w:rPr>
        <w:rFonts w:ascii="Wingdings" w:hAnsi="Wingdings" w:hint="default"/>
      </w:rPr>
    </w:lvl>
  </w:abstractNum>
  <w:abstractNum w:abstractNumId="16" w15:restartNumberingAfterBreak="0">
    <w:nsid w:val="629655D2"/>
    <w:multiLevelType w:val="hybridMultilevel"/>
    <w:tmpl w:val="FE5837AE"/>
    <w:lvl w:ilvl="0" w:tplc="F20EC85C">
      <w:start w:val="2"/>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656E0A3D"/>
    <w:multiLevelType w:val="hybridMultilevel"/>
    <w:tmpl w:val="B5CA8A32"/>
    <w:lvl w:ilvl="0" w:tplc="9B2EC7E4">
      <w:start w:val="1"/>
      <w:numFmt w:val="bullet"/>
      <w:lvlText w:val=""/>
      <w:lvlJc w:val="left"/>
      <w:pPr>
        <w:ind w:left="360" w:hanging="360"/>
      </w:pPr>
      <w:rPr>
        <w:rFonts w:ascii="Symbol" w:hAnsi="Symbol" w:hint="default"/>
      </w:rPr>
    </w:lvl>
    <w:lvl w:ilvl="1" w:tplc="1AAA69AE" w:tentative="1">
      <w:start w:val="1"/>
      <w:numFmt w:val="bullet"/>
      <w:lvlText w:val="o"/>
      <w:lvlJc w:val="left"/>
      <w:pPr>
        <w:ind w:left="1080" w:hanging="360"/>
      </w:pPr>
      <w:rPr>
        <w:rFonts w:ascii="Courier New" w:hAnsi="Courier New" w:cs="Courier New" w:hint="default"/>
      </w:rPr>
    </w:lvl>
    <w:lvl w:ilvl="2" w:tplc="9D741294" w:tentative="1">
      <w:start w:val="1"/>
      <w:numFmt w:val="bullet"/>
      <w:lvlText w:val=""/>
      <w:lvlJc w:val="left"/>
      <w:pPr>
        <w:ind w:left="1800" w:hanging="360"/>
      </w:pPr>
      <w:rPr>
        <w:rFonts w:ascii="Wingdings" w:hAnsi="Wingdings" w:hint="default"/>
      </w:rPr>
    </w:lvl>
    <w:lvl w:ilvl="3" w:tplc="3D1489DA" w:tentative="1">
      <w:start w:val="1"/>
      <w:numFmt w:val="bullet"/>
      <w:lvlText w:val=""/>
      <w:lvlJc w:val="left"/>
      <w:pPr>
        <w:ind w:left="2520" w:hanging="360"/>
      </w:pPr>
      <w:rPr>
        <w:rFonts w:ascii="Symbol" w:hAnsi="Symbol" w:hint="default"/>
      </w:rPr>
    </w:lvl>
    <w:lvl w:ilvl="4" w:tplc="FDFC4290" w:tentative="1">
      <w:start w:val="1"/>
      <w:numFmt w:val="bullet"/>
      <w:lvlText w:val="o"/>
      <w:lvlJc w:val="left"/>
      <w:pPr>
        <w:ind w:left="3240" w:hanging="360"/>
      </w:pPr>
      <w:rPr>
        <w:rFonts w:ascii="Courier New" w:hAnsi="Courier New" w:cs="Courier New" w:hint="default"/>
      </w:rPr>
    </w:lvl>
    <w:lvl w:ilvl="5" w:tplc="11CE47E6" w:tentative="1">
      <w:start w:val="1"/>
      <w:numFmt w:val="bullet"/>
      <w:lvlText w:val=""/>
      <w:lvlJc w:val="left"/>
      <w:pPr>
        <w:ind w:left="3960" w:hanging="360"/>
      </w:pPr>
      <w:rPr>
        <w:rFonts w:ascii="Wingdings" w:hAnsi="Wingdings" w:hint="default"/>
      </w:rPr>
    </w:lvl>
    <w:lvl w:ilvl="6" w:tplc="A07AF738" w:tentative="1">
      <w:start w:val="1"/>
      <w:numFmt w:val="bullet"/>
      <w:lvlText w:val=""/>
      <w:lvlJc w:val="left"/>
      <w:pPr>
        <w:ind w:left="4680" w:hanging="360"/>
      </w:pPr>
      <w:rPr>
        <w:rFonts w:ascii="Symbol" w:hAnsi="Symbol" w:hint="default"/>
      </w:rPr>
    </w:lvl>
    <w:lvl w:ilvl="7" w:tplc="D92CF85E" w:tentative="1">
      <w:start w:val="1"/>
      <w:numFmt w:val="bullet"/>
      <w:lvlText w:val="o"/>
      <w:lvlJc w:val="left"/>
      <w:pPr>
        <w:ind w:left="5400" w:hanging="360"/>
      </w:pPr>
      <w:rPr>
        <w:rFonts w:ascii="Courier New" w:hAnsi="Courier New" w:cs="Courier New" w:hint="default"/>
      </w:rPr>
    </w:lvl>
    <w:lvl w:ilvl="8" w:tplc="F8E4C9D2" w:tentative="1">
      <w:start w:val="1"/>
      <w:numFmt w:val="bullet"/>
      <w:lvlText w:val=""/>
      <w:lvlJc w:val="left"/>
      <w:pPr>
        <w:ind w:left="6120" w:hanging="360"/>
      </w:pPr>
      <w:rPr>
        <w:rFonts w:ascii="Wingdings" w:hAnsi="Wingdings" w:hint="default"/>
      </w:rPr>
    </w:lvl>
  </w:abstractNum>
  <w:abstractNum w:abstractNumId="18" w15:restartNumberingAfterBreak="0">
    <w:nsid w:val="69E95A54"/>
    <w:multiLevelType w:val="multilevel"/>
    <w:tmpl w:val="00000097"/>
    <w:lvl w:ilvl="0">
      <w:start w:val="1"/>
      <w:numFmt w:val="bullet"/>
      <w:lvlText w:val=""/>
      <w:lvlJc w:val="left"/>
      <w:pPr>
        <w:tabs>
          <w:tab w:val="num" w:pos="505"/>
        </w:tabs>
        <w:ind w:left="505" w:hanging="397"/>
      </w:pPr>
      <w:rPr>
        <w:rFonts w:ascii="Symbol" w:hAnsi="Symbol" w:cs="Symbol"/>
        <w:color w:val="000000"/>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9" w15:restartNumberingAfterBreak="0">
    <w:nsid w:val="6CEC6F88"/>
    <w:multiLevelType w:val="multilevel"/>
    <w:tmpl w:val="FAC634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6F9337D0"/>
    <w:multiLevelType w:val="multilevel"/>
    <w:tmpl w:val="00000047"/>
    <w:lvl w:ilvl="0">
      <w:start w:val="1"/>
      <w:numFmt w:val="bullet"/>
      <w:lvlText w:val=""/>
      <w:lvlJc w:val="left"/>
      <w:pPr>
        <w:tabs>
          <w:tab w:val="num" w:pos="468"/>
        </w:tabs>
        <w:ind w:left="828" w:hanging="360"/>
      </w:pPr>
      <w:rPr>
        <w:rFonts w:ascii="Symbol" w:hAnsi="Symbol" w:cs="Symbol"/>
        <w:color w:val="000000"/>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21" w15:restartNumberingAfterBreak="0">
    <w:nsid w:val="754D54AC"/>
    <w:multiLevelType w:val="hybridMultilevel"/>
    <w:tmpl w:val="9614E8C6"/>
    <w:lvl w:ilvl="0" w:tplc="04381E38">
      <w:start w:val="1"/>
      <w:numFmt w:val="decimal"/>
      <w:lvlText w:val="%1."/>
      <w:lvlJc w:val="left"/>
      <w:pPr>
        <w:ind w:left="570" w:hanging="570"/>
      </w:pPr>
      <w:rPr>
        <w:rFonts w:hint="default"/>
      </w:rPr>
    </w:lvl>
    <w:lvl w:ilvl="1" w:tplc="A600BC5E" w:tentative="1">
      <w:start w:val="1"/>
      <w:numFmt w:val="lowerLetter"/>
      <w:lvlText w:val="%2."/>
      <w:lvlJc w:val="left"/>
      <w:pPr>
        <w:ind w:left="1080" w:hanging="360"/>
      </w:pPr>
    </w:lvl>
    <w:lvl w:ilvl="2" w:tplc="E1506164" w:tentative="1">
      <w:start w:val="1"/>
      <w:numFmt w:val="lowerRoman"/>
      <w:lvlText w:val="%3."/>
      <w:lvlJc w:val="right"/>
      <w:pPr>
        <w:ind w:left="1800" w:hanging="180"/>
      </w:pPr>
    </w:lvl>
    <w:lvl w:ilvl="3" w:tplc="AD60D16C" w:tentative="1">
      <w:start w:val="1"/>
      <w:numFmt w:val="decimal"/>
      <w:lvlText w:val="%4."/>
      <w:lvlJc w:val="left"/>
      <w:pPr>
        <w:ind w:left="2520" w:hanging="360"/>
      </w:pPr>
    </w:lvl>
    <w:lvl w:ilvl="4" w:tplc="A2CCEA8C" w:tentative="1">
      <w:start w:val="1"/>
      <w:numFmt w:val="lowerLetter"/>
      <w:lvlText w:val="%5."/>
      <w:lvlJc w:val="left"/>
      <w:pPr>
        <w:ind w:left="3240" w:hanging="360"/>
      </w:pPr>
    </w:lvl>
    <w:lvl w:ilvl="5" w:tplc="B6207004" w:tentative="1">
      <w:start w:val="1"/>
      <w:numFmt w:val="lowerRoman"/>
      <w:lvlText w:val="%6."/>
      <w:lvlJc w:val="right"/>
      <w:pPr>
        <w:ind w:left="3960" w:hanging="180"/>
      </w:pPr>
    </w:lvl>
    <w:lvl w:ilvl="6" w:tplc="AB6616CE" w:tentative="1">
      <w:start w:val="1"/>
      <w:numFmt w:val="decimal"/>
      <w:lvlText w:val="%7."/>
      <w:lvlJc w:val="left"/>
      <w:pPr>
        <w:ind w:left="4680" w:hanging="360"/>
      </w:pPr>
    </w:lvl>
    <w:lvl w:ilvl="7" w:tplc="25349128" w:tentative="1">
      <w:start w:val="1"/>
      <w:numFmt w:val="lowerLetter"/>
      <w:lvlText w:val="%8."/>
      <w:lvlJc w:val="left"/>
      <w:pPr>
        <w:ind w:left="5400" w:hanging="360"/>
      </w:pPr>
    </w:lvl>
    <w:lvl w:ilvl="8" w:tplc="276CBA56" w:tentative="1">
      <w:start w:val="1"/>
      <w:numFmt w:val="lowerRoman"/>
      <w:lvlText w:val="%9."/>
      <w:lvlJc w:val="right"/>
      <w:pPr>
        <w:ind w:left="6120" w:hanging="180"/>
      </w:pPr>
    </w:lvl>
  </w:abstractNum>
  <w:num w:numId="1">
    <w:abstractNumId w:val="7"/>
  </w:num>
  <w:num w:numId="2">
    <w:abstractNumId w:val="11"/>
  </w:num>
  <w:num w:numId="3">
    <w:abstractNumId w:val="17"/>
  </w:num>
  <w:num w:numId="4">
    <w:abstractNumId w:val="21"/>
  </w:num>
  <w:num w:numId="5">
    <w:abstractNumId w:val="14"/>
  </w:num>
  <w:num w:numId="6">
    <w:abstractNumId w:val="11"/>
  </w:num>
  <w:num w:numId="7">
    <w:abstractNumId w:val="3"/>
  </w:num>
  <w:num w:numId="8">
    <w:abstractNumId w:val="2"/>
  </w:num>
  <w:num w:numId="9">
    <w:abstractNumId w:val="19"/>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15"/>
  </w:num>
  <w:num w:numId="16">
    <w:abstractNumId w:val="20"/>
  </w:num>
  <w:num w:numId="17">
    <w:abstractNumId w:val="18"/>
  </w:num>
  <w:num w:numId="18">
    <w:abstractNumId w:val="0"/>
  </w:num>
  <w:num w:numId="19">
    <w:abstractNumId w:val="1"/>
  </w:num>
  <w:num w:numId="20">
    <w:abstractNumId w:val="8"/>
  </w:num>
  <w:num w:numId="21">
    <w:abstractNumId w:val="10"/>
  </w:num>
  <w:num w:numId="22">
    <w:abstractNumId w:val="13"/>
  </w:num>
  <w:num w:numId="23">
    <w:abstractNumId w:val="4"/>
  </w:num>
  <w:num w:numId="24">
    <w:abstractNumId w:val="6"/>
  </w:num>
  <w:num w:numId="25">
    <w:abstractNumId w:val="16"/>
  </w:num>
  <w:num w:numId="26">
    <w:abstractNumId w:val="12"/>
  </w:num>
  <w:num w:numId="27">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gistered" w:val="-1"/>
    <w:docVar w:name="Version" w:val="0"/>
  </w:docVars>
  <w:rsids>
    <w:rsidRoot w:val="001F365C"/>
    <w:rsid w:val="000006AB"/>
    <w:rsid w:val="0000270D"/>
    <w:rsid w:val="000045B7"/>
    <w:rsid w:val="00007C6C"/>
    <w:rsid w:val="000124CF"/>
    <w:rsid w:val="0001309E"/>
    <w:rsid w:val="00014666"/>
    <w:rsid w:val="00015890"/>
    <w:rsid w:val="000207A1"/>
    <w:rsid w:val="00021BF3"/>
    <w:rsid w:val="00021EF7"/>
    <w:rsid w:val="000225EB"/>
    <w:rsid w:val="000240F1"/>
    <w:rsid w:val="0002552B"/>
    <w:rsid w:val="00030833"/>
    <w:rsid w:val="000317A7"/>
    <w:rsid w:val="00032EA1"/>
    <w:rsid w:val="00034FCB"/>
    <w:rsid w:val="00040621"/>
    <w:rsid w:val="000438FD"/>
    <w:rsid w:val="00046A47"/>
    <w:rsid w:val="00051BF2"/>
    <w:rsid w:val="000533A8"/>
    <w:rsid w:val="0005604C"/>
    <w:rsid w:val="0005688C"/>
    <w:rsid w:val="00056E6E"/>
    <w:rsid w:val="000579DE"/>
    <w:rsid w:val="00061AB0"/>
    <w:rsid w:val="00061BE1"/>
    <w:rsid w:val="00062BF7"/>
    <w:rsid w:val="000642A8"/>
    <w:rsid w:val="00064E43"/>
    <w:rsid w:val="000660A6"/>
    <w:rsid w:val="000669BE"/>
    <w:rsid w:val="00066DD5"/>
    <w:rsid w:val="00070582"/>
    <w:rsid w:val="00071919"/>
    <w:rsid w:val="0008240A"/>
    <w:rsid w:val="000830CF"/>
    <w:rsid w:val="000849F4"/>
    <w:rsid w:val="00084C13"/>
    <w:rsid w:val="00084CEA"/>
    <w:rsid w:val="00090D3B"/>
    <w:rsid w:val="00092143"/>
    <w:rsid w:val="0009504B"/>
    <w:rsid w:val="0009678F"/>
    <w:rsid w:val="000974D1"/>
    <w:rsid w:val="000A0B15"/>
    <w:rsid w:val="000A1466"/>
    <w:rsid w:val="000A2410"/>
    <w:rsid w:val="000A5254"/>
    <w:rsid w:val="000A62C9"/>
    <w:rsid w:val="000B5B45"/>
    <w:rsid w:val="000C0AD5"/>
    <w:rsid w:val="000C29BF"/>
    <w:rsid w:val="000C2C8F"/>
    <w:rsid w:val="000C3F3F"/>
    <w:rsid w:val="000C69BF"/>
    <w:rsid w:val="000C7081"/>
    <w:rsid w:val="000D0225"/>
    <w:rsid w:val="000D0EFB"/>
    <w:rsid w:val="000D2ECD"/>
    <w:rsid w:val="000D332D"/>
    <w:rsid w:val="000D4495"/>
    <w:rsid w:val="000E0617"/>
    <w:rsid w:val="000E2CE8"/>
    <w:rsid w:val="000E7EBA"/>
    <w:rsid w:val="000F0920"/>
    <w:rsid w:val="000F268E"/>
    <w:rsid w:val="000F368A"/>
    <w:rsid w:val="000F37D4"/>
    <w:rsid w:val="000F53BE"/>
    <w:rsid w:val="000F5DEC"/>
    <w:rsid w:val="000F6659"/>
    <w:rsid w:val="000F7C2B"/>
    <w:rsid w:val="0010469F"/>
    <w:rsid w:val="0010492C"/>
    <w:rsid w:val="00104FBA"/>
    <w:rsid w:val="00107FAB"/>
    <w:rsid w:val="001100D8"/>
    <w:rsid w:val="001107AB"/>
    <w:rsid w:val="001118F7"/>
    <w:rsid w:val="00113E9D"/>
    <w:rsid w:val="00114BA3"/>
    <w:rsid w:val="00115EA8"/>
    <w:rsid w:val="00115F67"/>
    <w:rsid w:val="00120E28"/>
    <w:rsid w:val="00121596"/>
    <w:rsid w:val="001224CF"/>
    <w:rsid w:val="00123F7A"/>
    <w:rsid w:val="00124AD4"/>
    <w:rsid w:val="001250D6"/>
    <w:rsid w:val="00127CEE"/>
    <w:rsid w:val="00130EEC"/>
    <w:rsid w:val="001324A3"/>
    <w:rsid w:val="00133631"/>
    <w:rsid w:val="00133932"/>
    <w:rsid w:val="00135589"/>
    <w:rsid w:val="00135828"/>
    <w:rsid w:val="00135EA5"/>
    <w:rsid w:val="001371B6"/>
    <w:rsid w:val="0014331A"/>
    <w:rsid w:val="00143788"/>
    <w:rsid w:val="00145625"/>
    <w:rsid w:val="00146774"/>
    <w:rsid w:val="00146E6D"/>
    <w:rsid w:val="00150E6D"/>
    <w:rsid w:val="001534C2"/>
    <w:rsid w:val="00153E15"/>
    <w:rsid w:val="00154A95"/>
    <w:rsid w:val="00154CE6"/>
    <w:rsid w:val="001553C8"/>
    <w:rsid w:val="00157843"/>
    <w:rsid w:val="00160324"/>
    <w:rsid w:val="00163F97"/>
    <w:rsid w:val="00164B94"/>
    <w:rsid w:val="00166AD9"/>
    <w:rsid w:val="00167E9C"/>
    <w:rsid w:val="001709F8"/>
    <w:rsid w:val="00176BEA"/>
    <w:rsid w:val="0018548D"/>
    <w:rsid w:val="00186566"/>
    <w:rsid w:val="0019219C"/>
    <w:rsid w:val="001938CC"/>
    <w:rsid w:val="0019425C"/>
    <w:rsid w:val="001949D2"/>
    <w:rsid w:val="00194F75"/>
    <w:rsid w:val="001950ED"/>
    <w:rsid w:val="001965A8"/>
    <w:rsid w:val="001A1984"/>
    <w:rsid w:val="001A56B9"/>
    <w:rsid w:val="001A57C8"/>
    <w:rsid w:val="001B078D"/>
    <w:rsid w:val="001B0805"/>
    <w:rsid w:val="001B0C3D"/>
    <w:rsid w:val="001B1551"/>
    <w:rsid w:val="001B15EE"/>
    <w:rsid w:val="001B2DFA"/>
    <w:rsid w:val="001B3D7A"/>
    <w:rsid w:val="001B5344"/>
    <w:rsid w:val="001B6A73"/>
    <w:rsid w:val="001B794D"/>
    <w:rsid w:val="001C0EF3"/>
    <w:rsid w:val="001C2455"/>
    <w:rsid w:val="001C2567"/>
    <w:rsid w:val="001C3007"/>
    <w:rsid w:val="001C4C71"/>
    <w:rsid w:val="001C4E22"/>
    <w:rsid w:val="001C548D"/>
    <w:rsid w:val="001C5B73"/>
    <w:rsid w:val="001C607C"/>
    <w:rsid w:val="001C638C"/>
    <w:rsid w:val="001C71FE"/>
    <w:rsid w:val="001C7F81"/>
    <w:rsid w:val="001D0951"/>
    <w:rsid w:val="001D24EC"/>
    <w:rsid w:val="001D45B0"/>
    <w:rsid w:val="001D633C"/>
    <w:rsid w:val="001E0C82"/>
    <w:rsid w:val="001E2727"/>
    <w:rsid w:val="001E3BF6"/>
    <w:rsid w:val="001E4C53"/>
    <w:rsid w:val="001E554B"/>
    <w:rsid w:val="001F045A"/>
    <w:rsid w:val="001F0767"/>
    <w:rsid w:val="001F1B4C"/>
    <w:rsid w:val="001F2EBE"/>
    <w:rsid w:val="001F3359"/>
    <w:rsid w:val="001F365C"/>
    <w:rsid w:val="001F5190"/>
    <w:rsid w:val="001F64A9"/>
    <w:rsid w:val="001F795B"/>
    <w:rsid w:val="0020156D"/>
    <w:rsid w:val="00202777"/>
    <w:rsid w:val="00202E74"/>
    <w:rsid w:val="00203DA6"/>
    <w:rsid w:val="00204655"/>
    <w:rsid w:val="002053AD"/>
    <w:rsid w:val="002070FB"/>
    <w:rsid w:val="0020789F"/>
    <w:rsid w:val="00210687"/>
    <w:rsid w:val="0021126B"/>
    <w:rsid w:val="00216BD8"/>
    <w:rsid w:val="00221D71"/>
    <w:rsid w:val="00225156"/>
    <w:rsid w:val="0022608B"/>
    <w:rsid w:val="00227EF5"/>
    <w:rsid w:val="002307EF"/>
    <w:rsid w:val="00231221"/>
    <w:rsid w:val="00232DB2"/>
    <w:rsid w:val="00233B81"/>
    <w:rsid w:val="00233F96"/>
    <w:rsid w:val="00234037"/>
    <w:rsid w:val="00234843"/>
    <w:rsid w:val="00240EF5"/>
    <w:rsid w:val="00241224"/>
    <w:rsid w:val="00242606"/>
    <w:rsid w:val="00243CED"/>
    <w:rsid w:val="0024796D"/>
    <w:rsid w:val="00251B7D"/>
    <w:rsid w:val="00252AD4"/>
    <w:rsid w:val="002536B8"/>
    <w:rsid w:val="002556D4"/>
    <w:rsid w:val="0025599C"/>
    <w:rsid w:val="00256AAD"/>
    <w:rsid w:val="00262965"/>
    <w:rsid w:val="00262C9C"/>
    <w:rsid w:val="002631A6"/>
    <w:rsid w:val="00263CF7"/>
    <w:rsid w:val="00263EE1"/>
    <w:rsid w:val="00266B50"/>
    <w:rsid w:val="00274EDB"/>
    <w:rsid w:val="002769D8"/>
    <w:rsid w:val="00277BDA"/>
    <w:rsid w:val="00280530"/>
    <w:rsid w:val="00280D28"/>
    <w:rsid w:val="00285D75"/>
    <w:rsid w:val="002862DE"/>
    <w:rsid w:val="00286586"/>
    <w:rsid w:val="002920AF"/>
    <w:rsid w:val="00292C40"/>
    <w:rsid w:val="002A7BAB"/>
    <w:rsid w:val="002B0D53"/>
    <w:rsid w:val="002B5F28"/>
    <w:rsid w:val="002B7C2C"/>
    <w:rsid w:val="002B7C63"/>
    <w:rsid w:val="002C3678"/>
    <w:rsid w:val="002C4F10"/>
    <w:rsid w:val="002C58B4"/>
    <w:rsid w:val="002D164E"/>
    <w:rsid w:val="002D2CA2"/>
    <w:rsid w:val="002D6371"/>
    <w:rsid w:val="002E0563"/>
    <w:rsid w:val="002E1880"/>
    <w:rsid w:val="002E6ADC"/>
    <w:rsid w:val="002E7BCC"/>
    <w:rsid w:val="002F08A6"/>
    <w:rsid w:val="002F4072"/>
    <w:rsid w:val="002F6CD3"/>
    <w:rsid w:val="002F6E76"/>
    <w:rsid w:val="0030003C"/>
    <w:rsid w:val="00300861"/>
    <w:rsid w:val="003013D6"/>
    <w:rsid w:val="00302A98"/>
    <w:rsid w:val="00302C6C"/>
    <w:rsid w:val="00310DA6"/>
    <w:rsid w:val="00311236"/>
    <w:rsid w:val="0031142D"/>
    <w:rsid w:val="003119DB"/>
    <w:rsid w:val="003142FA"/>
    <w:rsid w:val="00317115"/>
    <w:rsid w:val="00320FB9"/>
    <w:rsid w:val="003228CC"/>
    <w:rsid w:val="00322AB8"/>
    <w:rsid w:val="003255EB"/>
    <w:rsid w:val="0032588F"/>
    <w:rsid w:val="0032700A"/>
    <w:rsid w:val="003313B2"/>
    <w:rsid w:val="003349FC"/>
    <w:rsid w:val="00335245"/>
    <w:rsid w:val="00340CA6"/>
    <w:rsid w:val="00341951"/>
    <w:rsid w:val="00341A07"/>
    <w:rsid w:val="00342E0C"/>
    <w:rsid w:val="00343BCA"/>
    <w:rsid w:val="00344B8D"/>
    <w:rsid w:val="003464F2"/>
    <w:rsid w:val="003468A9"/>
    <w:rsid w:val="00353DE7"/>
    <w:rsid w:val="00354759"/>
    <w:rsid w:val="00355811"/>
    <w:rsid w:val="00356000"/>
    <w:rsid w:val="00357C85"/>
    <w:rsid w:val="003608F8"/>
    <w:rsid w:val="003631E6"/>
    <w:rsid w:val="003638F3"/>
    <w:rsid w:val="00367913"/>
    <w:rsid w:val="00370351"/>
    <w:rsid w:val="0037461E"/>
    <w:rsid w:val="0037530E"/>
    <w:rsid w:val="00377887"/>
    <w:rsid w:val="00381A33"/>
    <w:rsid w:val="003825BA"/>
    <w:rsid w:val="00382924"/>
    <w:rsid w:val="00382DB0"/>
    <w:rsid w:val="00387848"/>
    <w:rsid w:val="00387D0B"/>
    <w:rsid w:val="0039121D"/>
    <w:rsid w:val="00391F27"/>
    <w:rsid w:val="003933A7"/>
    <w:rsid w:val="003938D8"/>
    <w:rsid w:val="003952A3"/>
    <w:rsid w:val="0039624D"/>
    <w:rsid w:val="00397106"/>
    <w:rsid w:val="003973A7"/>
    <w:rsid w:val="00397BB9"/>
    <w:rsid w:val="003A7B86"/>
    <w:rsid w:val="003B040C"/>
    <w:rsid w:val="003B127D"/>
    <w:rsid w:val="003B18F8"/>
    <w:rsid w:val="003B1BA9"/>
    <w:rsid w:val="003B3317"/>
    <w:rsid w:val="003B337D"/>
    <w:rsid w:val="003B3B1E"/>
    <w:rsid w:val="003B5519"/>
    <w:rsid w:val="003B56D4"/>
    <w:rsid w:val="003C0571"/>
    <w:rsid w:val="003C1CB2"/>
    <w:rsid w:val="003C1F52"/>
    <w:rsid w:val="003C267C"/>
    <w:rsid w:val="003C393A"/>
    <w:rsid w:val="003C4999"/>
    <w:rsid w:val="003C65AC"/>
    <w:rsid w:val="003C7719"/>
    <w:rsid w:val="003C7FE1"/>
    <w:rsid w:val="003D0B8F"/>
    <w:rsid w:val="003D1C42"/>
    <w:rsid w:val="003D314D"/>
    <w:rsid w:val="003D7D71"/>
    <w:rsid w:val="003E042B"/>
    <w:rsid w:val="003E0E4F"/>
    <w:rsid w:val="003E1B79"/>
    <w:rsid w:val="003E32A4"/>
    <w:rsid w:val="003E38FB"/>
    <w:rsid w:val="003E5098"/>
    <w:rsid w:val="003E5EA6"/>
    <w:rsid w:val="003E61B5"/>
    <w:rsid w:val="003E702D"/>
    <w:rsid w:val="003E7842"/>
    <w:rsid w:val="003F184D"/>
    <w:rsid w:val="003F196C"/>
    <w:rsid w:val="003F1C00"/>
    <w:rsid w:val="003F299B"/>
    <w:rsid w:val="003F2F6E"/>
    <w:rsid w:val="003F34E3"/>
    <w:rsid w:val="003F3E52"/>
    <w:rsid w:val="003F45E6"/>
    <w:rsid w:val="003F4F6F"/>
    <w:rsid w:val="004012F7"/>
    <w:rsid w:val="004013A8"/>
    <w:rsid w:val="00402D63"/>
    <w:rsid w:val="004038E3"/>
    <w:rsid w:val="0040403D"/>
    <w:rsid w:val="004057F9"/>
    <w:rsid w:val="00405860"/>
    <w:rsid w:val="00411401"/>
    <w:rsid w:val="00411920"/>
    <w:rsid w:val="004136E3"/>
    <w:rsid w:val="00413DBA"/>
    <w:rsid w:val="00414F29"/>
    <w:rsid w:val="004167DE"/>
    <w:rsid w:val="00417319"/>
    <w:rsid w:val="004209F4"/>
    <w:rsid w:val="00425E15"/>
    <w:rsid w:val="00426541"/>
    <w:rsid w:val="004273B7"/>
    <w:rsid w:val="00430A11"/>
    <w:rsid w:val="0043520E"/>
    <w:rsid w:val="00437407"/>
    <w:rsid w:val="004407BE"/>
    <w:rsid w:val="00441733"/>
    <w:rsid w:val="00445973"/>
    <w:rsid w:val="00446998"/>
    <w:rsid w:val="004477A0"/>
    <w:rsid w:val="0045101C"/>
    <w:rsid w:val="00462EE9"/>
    <w:rsid w:val="00464D73"/>
    <w:rsid w:val="00465E8C"/>
    <w:rsid w:val="00470DAB"/>
    <w:rsid w:val="00476DE6"/>
    <w:rsid w:val="00481C37"/>
    <w:rsid w:val="00482FD5"/>
    <w:rsid w:val="00485333"/>
    <w:rsid w:val="00485347"/>
    <w:rsid w:val="00485D8B"/>
    <w:rsid w:val="00487CB2"/>
    <w:rsid w:val="00492743"/>
    <w:rsid w:val="00495758"/>
    <w:rsid w:val="004A1BCE"/>
    <w:rsid w:val="004A232F"/>
    <w:rsid w:val="004A2C10"/>
    <w:rsid w:val="004A2EB8"/>
    <w:rsid w:val="004A3233"/>
    <w:rsid w:val="004A5BFE"/>
    <w:rsid w:val="004A603F"/>
    <w:rsid w:val="004A6984"/>
    <w:rsid w:val="004B0AE9"/>
    <w:rsid w:val="004B394A"/>
    <w:rsid w:val="004B4D83"/>
    <w:rsid w:val="004B4F52"/>
    <w:rsid w:val="004B5742"/>
    <w:rsid w:val="004B5906"/>
    <w:rsid w:val="004B7DED"/>
    <w:rsid w:val="004C0D38"/>
    <w:rsid w:val="004C5305"/>
    <w:rsid w:val="004C62C5"/>
    <w:rsid w:val="004C6B55"/>
    <w:rsid w:val="004C6D74"/>
    <w:rsid w:val="004D03B7"/>
    <w:rsid w:val="004D1285"/>
    <w:rsid w:val="004D2472"/>
    <w:rsid w:val="004D573A"/>
    <w:rsid w:val="004E0075"/>
    <w:rsid w:val="004E1FDA"/>
    <w:rsid w:val="004E26A5"/>
    <w:rsid w:val="004E4384"/>
    <w:rsid w:val="004E6539"/>
    <w:rsid w:val="004E673C"/>
    <w:rsid w:val="004F0533"/>
    <w:rsid w:val="004F3BB4"/>
    <w:rsid w:val="004F78A1"/>
    <w:rsid w:val="00500BDD"/>
    <w:rsid w:val="005012A9"/>
    <w:rsid w:val="00502093"/>
    <w:rsid w:val="005044B4"/>
    <w:rsid w:val="005051B4"/>
    <w:rsid w:val="00505C2F"/>
    <w:rsid w:val="0050773C"/>
    <w:rsid w:val="005078B8"/>
    <w:rsid w:val="00512D32"/>
    <w:rsid w:val="005171A3"/>
    <w:rsid w:val="005208C7"/>
    <w:rsid w:val="00525B60"/>
    <w:rsid w:val="00527086"/>
    <w:rsid w:val="00531604"/>
    <w:rsid w:val="005324E5"/>
    <w:rsid w:val="00533496"/>
    <w:rsid w:val="005347AE"/>
    <w:rsid w:val="00535D3B"/>
    <w:rsid w:val="005404BC"/>
    <w:rsid w:val="00541B5A"/>
    <w:rsid w:val="005441BD"/>
    <w:rsid w:val="00545A6B"/>
    <w:rsid w:val="00546635"/>
    <w:rsid w:val="00550C21"/>
    <w:rsid w:val="00552407"/>
    <w:rsid w:val="0055741B"/>
    <w:rsid w:val="00560451"/>
    <w:rsid w:val="00561640"/>
    <w:rsid w:val="0056167C"/>
    <w:rsid w:val="00566940"/>
    <w:rsid w:val="0057209D"/>
    <w:rsid w:val="00583946"/>
    <w:rsid w:val="00583C28"/>
    <w:rsid w:val="00586A6E"/>
    <w:rsid w:val="00590852"/>
    <w:rsid w:val="00592FFA"/>
    <w:rsid w:val="005954DA"/>
    <w:rsid w:val="0059552C"/>
    <w:rsid w:val="00595956"/>
    <w:rsid w:val="005A0C32"/>
    <w:rsid w:val="005A1778"/>
    <w:rsid w:val="005A1A44"/>
    <w:rsid w:val="005A2595"/>
    <w:rsid w:val="005A2675"/>
    <w:rsid w:val="005A333B"/>
    <w:rsid w:val="005A46FC"/>
    <w:rsid w:val="005A69BC"/>
    <w:rsid w:val="005A71B8"/>
    <w:rsid w:val="005B0373"/>
    <w:rsid w:val="005B415E"/>
    <w:rsid w:val="005B4E3A"/>
    <w:rsid w:val="005B4FF6"/>
    <w:rsid w:val="005B5B4F"/>
    <w:rsid w:val="005B5D4D"/>
    <w:rsid w:val="005C28BD"/>
    <w:rsid w:val="005C35A8"/>
    <w:rsid w:val="005C35D3"/>
    <w:rsid w:val="005C43DC"/>
    <w:rsid w:val="005C465C"/>
    <w:rsid w:val="005C6EE4"/>
    <w:rsid w:val="005C72E6"/>
    <w:rsid w:val="005C7DCA"/>
    <w:rsid w:val="005D02BF"/>
    <w:rsid w:val="005D0FFC"/>
    <w:rsid w:val="005D2D0E"/>
    <w:rsid w:val="005D2DC7"/>
    <w:rsid w:val="005D420E"/>
    <w:rsid w:val="005D4D6A"/>
    <w:rsid w:val="005D5214"/>
    <w:rsid w:val="005D58E5"/>
    <w:rsid w:val="005E2577"/>
    <w:rsid w:val="005E508A"/>
    <w:rsid w:val="005E545C"/>
    <w:rsid w:val="005E67A9"/>
    <w:rsid w:val="005F26DC"/>
    <w:rsid w:val="005F26ED"/>
    <w:rsid w:val="005F2CDC"/>
    <w:rsid w:val="005F62A5"/>
    <w:rsid w:val="005F7C02"/>
    <w:rsid w:val="006006C7"/>
    <w:rsid w:val="00601D44"/>
    <w:rsid w:val="00603B23"/>
    <w:rsid w:val="00604A5F"/>
    <w:rsid w:val="00607760"/>
    <w:rsid w:val="006176A1"/>
    <w:rsid w:val="00620077"/>
    <w:rsid w:val="00627303"/>
    <w:rsid w:val="0062799A"/>
    <w:rsid w:val="006346FE"/>
    <w:rsid w:val="00636D11"/>
    <w:rsid w:val="00640C47"/>
    <w:rsid w:val="0064349C"/>
    <w:rsid w:val="006456FA"/>
    <w:rsid w:val="00645759"/>
    <w:rsid w:val="0064601F"/>
    <w:rsid w:val="00652AEB"/>
    <w:rsid w:val="006531C0"/>
    <w:rsid w:val="006538A3"/>
    <w:rsid w:val="00654DA8"/>
    <w:rsid w:val="0066168C"/>
    <w:rsid w:val="00662578"/>
    <w:rsid w:val="00662D3C"/>
    <w:rsid w:val="00663383"/>
    <w:rsid w:val="00666666"/>
    <w:rsid w:val="006730A8"/>
    <w:rsid w:val="006738F4"/>
    <w:rsid w:val="00675D0E"/>
    <w:rsid w:val="00680EE6"/>
    <w:rsid w:val="00682325"/>
    <w:rsid w:val="00684772"/>
    <w:rsid w:val="00684E91"/>
    <w:rsid w:val="006860D3"/>
    <w:rsid w:val="00686214"/>
    <w:rsid w:val="00687977"/>
    <w:rsid w:val="00690607"/>
    <w:rsid w:val="00691D59"/>
    <w:rsid w:val="0069345D"/>
    <w:rsid w:val="00694D84"/>
    <w:rsid w:val="00695E9B"/>
    <w:rsid w:val="006969D6"/>
    <w:rsid w:val="00697CB5"/>
    <w:rsid w:val="006A42BE"/>
    <w:rsid w:val="006A47D5"/>
    <w:rsid w:val="006B19B5"/>
    <w:rsid w:val="006B4CD3"/>
    <w:rsid w:val="006B6B37"/>
    <w:rsid w:val="006B7B6B"/>
    <w:rsid w:val="006C244F"/>
    <w:rsid w:val="006C2834"/>
    <w:rsid w:val="006C3A8C"/>
    <w:rsid w:val="006C4B64"/>
    <w:rsid w:val="006C6893"/>
    <w:rsid w:val="006D1EBB"/>
    <w:rsid w:val="006D566D"/>
    <w:rsid w:val="006D755A"/>
    <w:rsid w:val="006E0424"/>
    <w:rsid w:val="006E1605"/>
    <w:rsid w:val="006E4406"/>
    <w:rsid w:val="006E500B"/>
    <w:rsid w:val="006E5726"/>
    <w:rsid w:val="006E5AC5"/>
    <w:rsid w:val="006E6C7C"/>
    <w:rsid w:val="006F0D0F"/>
    <w:rsid w:val="006F11B2"/>
    <w:rsid w:val="006F1F05"/>
    <w:rsid w:val="0070252D"/>
    <w:rsid w:val="00702630"/>
    <w:rsid w:val="00704CE0"/>
    <w:rsid w:val="00705297"/>
    <w:rsid w:val="00706C42"/>
    <w:rsid w:val="00710890"/>
    <w:rsid w:val="00711416"/>
    <w:rsid w:val="00711B1C"/>
    <w:rsid w:val="0072135A"/>
    <w:rsid w:val="00722C30"/>
    <w:rsid w:val="00730FFD"/>
    <w:rsid w:val="00736930"/>
    <w:rsid w:val="00737A6E"/>
    <w:rsid w:val="00737B67"/>
    <w:rsid w:val="007433F2"/>
    <w:rsid w:val="007470E8"/>
    <w:rsid w:val="00747B73"/>
    <w:rsid w:val="00754CB9"/>
    <w:rsid w:val="007567D8"/>
    <w:rsid w:val="007570E5"/>
    <w:rsid w:val="00757D6D"/>
    <w:rsid w:val="00762C70"/>
    <w:rsid w:val="007648FC"/>
    <w:rsid w:val="0076571D"/>
    <w:rsid w:val="00771802"/>
    <w:rsid w:val="00775830"/>
    <w:rsid w:val="00776837"/>
    <w:rsid w:val="0077714F"/>
    <w:rsid w:val="00780A6D"/>
    <w:rsid w:val="00781F24"/>
    <w:rsid w:val="00782314"/>
    <w:rsid w:val="00783D19"/>
    <w:rsid w:val="00790557"/>
    <w:rsid w:val="0079158D"/>
    <w:rsid w:val="00793893"/>
    <w:rsid w:val="00793903"/>
    <w:rsid w:val="00795856"/>
    <w:rsid w:val="00796CF6"/>
    <w:rsid w:val="007977DC"/>
    <w:rsid w:val="00797C0B"/>
    <w:rsid w:val="00797F6E"/>
    <w:rsid w:val="007A1179"/>
    <w:rsid w:val="007A2E43"/>
    <w:rsid w:val="007A62BB"/>
    <w:rsid w:val="007A65E3"/>
    <w:rsid w:val="007B3657"/>
    <w:rsid w:val="007B397E"/>
    <w:rsid w:val="007B472C"/>
    <w:rsid w:val="007B4849"/>
    <w:rsid w:val="007B69AD"/>
    <w:rsid w:val="007C192D"/>
    <w:rsid w:val="007C68EF"/>
    <w:rsid w:val="007C6CBD"/>
    <w:rsid w:val="007D1698"/>
    <w:rsid w:val="007D2B85"/>
    <w:rsid w:val="007D3560"/>
    <w:rsid w:val="007D40CE"/>
    <w:rsid w:val="007D6448"/>
    <w:rsid w:val="007D65AF"/>
    <w:rsid w:val="007E0794"/>
    <w:rsid w:val="007E0B7F"/>
    <w:rsid w:val="007E1C2F"/>
    <w:rsid w:val="007E1ED1"/>
    <w:rsid w:val="007E4A68"/>
    <w:rsid w:val="007E5F06"/>
    <w:rsid w:val="007F46FE"/>
    <w:rsid w:val="007F6CD7"/>
    <w:rsid w:val="007F7D28"/>
    <w:rsid w:val="008023D4"/>
    <w:rsid w:val="00803F87"/>
    <w:rsid w:val="00805730"/>
    <w:rsid w:val="00806DF8"/>
    <w:rsid w:val="00807D89"/>
    <w:rsid w:val="00810DA5"/>
    <w:rsid w:val="00811034"/>
    <w:rsid w:val="00811106"/>
    <w:rsid w:val="00811BA8"/>
    <w:rsid w:val="00811D99"/>
    <w:rsid w:val="008159C6"/>
    <w:rsid w:val="00815B5C"/>
    <w:rsid w:val="00816ED7"/>
    <w:rsid w:val="008202BF"/>
    <w:rsid w:val="00820F48"/>
    <w:rsid w:val="0082188F"/>
    <w:rsid w:val="008224D4"/>
    <w:rsid w:val="00831B5C"/>
    <w:rsid w:val="00831F83"/>
    <w:rsid w:val="008324A6"/>
    <w:rsid w:val="00836BA2"/>
    <w:rsid w:val="00842E0D"/>
    <w:rsid w:val="00845A88"/>
    <w:rsid w:val="00846178"/>
    <w:rsid w:val="00846301"/>
    <w:rsid w:val="00847592"/>
    <w:rsid w:val="00851B33"/>
    <w:rsid w:val="00851CC3"/>
    <w:rsid w:val="00851EB9"/>
    <w:rsid w:val="00853FA3"/>
    <w:rsid w:val="0085473E"/>
    <w:rsid w:val="008556DB"/>
    <w:rsid w:val="0085590C"/>
    <w:rsid w:val="00855F20"/>
    <w:rsid w:val="00860064"/>
    <w:rsid w:val="00861874"/>
    <w:rsid w:val="0086543B"/>
    <w:rsid w:val="008657DA"/>
    <w:rsid w:val="0086605C"/>
    <w:rsid w:val="00866CDB"/>
    <w:rsid w:val="008679C7"/>
    <w:rsid w:val="00871DA2"/>
    <w:rsid w:val="00871E7F"/>
    <w:rsid w:val="00875035"/>
    <w:rsid w:val="0087553D"/>
    <w:rsid w:val="008764E8"/>
    <w:rsid w:val="00876A1E"/>
    <w:rsid w:val="008801FD"/>
    <w:rsid w:val="0088060C"/>
    <w:rsid w:val="0088087D"/>
    <w:rsid w:val="00882FE8"/>
    <w:rsid w:val="00885F0C"/>
    <w:rsid w:val="008906AA"/>
    <w:rsid w:val="00893D04"/>
    <w:rsid w:val="0089704F"/>
    <w:rsid w:val="0089750B"/>
    <w:rsid w:val="008A2359"/>
    <w:rsid w:val="008A401D"/>
    <w:rsid w:val="008A47AA"/>
    <w:rsid w:val="008A493C"/>
    <w:rsid w:val="008B05ED"/>
    <w:rsid w:val="008B62C1"/>
    <w:rsid w:val="008B6B23"/>
    <w:rsid w:val="008B76DF"/>
    <w:rsid w:val="008B7EC3"/>
    <w:rsid w:val="008C0309"/>
    <w:rsid w:val="008C1808"/>
    <w:rsid w:val="008C393A"/>
    <w:rsid w:val="008C5FA6"/>
    <w:rsid w:val="008C7C4F"/>
    <w:rsid w:val="008D0FA9"/>
    <w:rsid w:val="008D341B"/>
    <w:rsid w:val="008D4236"/>
    <w:rsid w:val="008D719B"/>
    <w:rsid w:val="008D7CC9"/>
    <w:rsid w:val="008E01FC"/>
    <w:rsid w:val="008E38A0"/>
    <w:rsid w:val="008E6A20"/>
    <w:rsid w:val="008F0015"/>
    <w:rsid w:val="008F0B98"/>
    <w:rsid w:val="008F1C91"/>
    <w:rsid w:val="008F23BF"/>
    <w:rsid w:val="008F2A1C"/>
    <w:rsid w:val="008F6B53"/>
    <w:rsid w:val="00900B92"/>
    <w:rsid w:val="00901F9F"/>
    <w:rsid w:val="00902212"/>
    <w:rsid w:val="00902603"/>
    <w:rsid w:val="00903400"/>
    <w:rsid w:val="00905267"/>
    <w:rsid w:val="009057D7"/>
    <w:rsid w:val="009065CC"/>
    <w:rsid w:val="00907967"/>
    <w:rsid w:val="00911CF3"/>
    <w:rsid w:val="00913D5A"/>
    <w:rsid w:val="00914317"/>
    <w:rsid w:val="00915284"/>
    <w:rsid w:val="009306FA"/>
    <w:rsid w:val="00931A92"/>
    <w:rsid w:val="00932A08"/>
    <w:rsid w:val="00934E46"/>
    <w:rsid w:val="009413EE"/>
    <w:rsid w:val="009416E4"/>
    <w:rsid w:val="009426BD"/>
    <w:rsid w:val="00943E66"/>
    <w:rsid w:val="00944C96"/>
    <w:rsid w:val="00950A7D"/>
    <w:rsid w:val="00951388"/>
    <w:rsid w:val="009528DB"/>
    <w:rsid w:val="00953AEA"/>
    <w:rsid w:val="00954C65"/>
    <w:rsid w:val="009609B4"/>
    <w:rsid w:val="00960D08"/>
    <w:rsid w:val="0097261B"/>
    <w:rsid w:val="00973CB6"/>
    <w:rsid w:val="0097556B"/>
    <w:rsid w:val="00976A34"/>
    <w:rsid w:val="0098192D"/>
    <w:rsid w:val="00983D9B"/>
    <w:rsid w:val="00987706"/>
    <w:rsid w:val="009934CD"/>
    <w:rsid w:val="00994227"/>
    <w:rsid w:val="00995C76"/>
    <w:rsid w:val="00997A14"/>
    <w:rsid w:val="009A0107"/>
    <w:rsid w:val="009A0460"/>
    <w:rsid w:val="009A06E4"/>
    <w:rsid w:val="009A0825"/>
    <w:rsid w:val="009A12A5"/>
    <w:rsid w:val="009A1625"/>
    <w:rsid w:val="009A1E23"/>
    <w:rsid w:val="009A2716"/>
    <w:rsid w:val="009A2F8A"/>
    <w:rsid w:val="009A4186"/>
    <w:rsid w:val="009A5BF5"/>
    <w:rsid w:val="009A73C9"/>
    <w:rsid w:val="009A7DCF"/>
    <w:rsid w:val="009B2260"/>
    <w:rsid w:val="009B2988"/>
    <w:rsid w:val="009B2A18"/>
    <w:rsid w:val="009B3D1F"/>
    <w:rsid w:val="009C1DAF"/>
    <w:rsid w:val="009C2AA9"/>
    <w:rsid w:val="009C3E25"/>
    <w:rsid w:val="009C5C34"/>
    <w:rsid w:val="009C5DF3"/>
    <w:rsid w:val="009C7183"/>
    <w:rsid w:val="009D005F"/>
    <w:rsid w:val="009D1434"/>
    <w:rsid w:val="009D29EF"/>
    <w:rsid w:val="009D455E"/>
    <w:rsid w:val="009D4DAF"/>
    <w:rsid w:val="009D56B1"/>
    <w:rsid w:val="009D5F5C"/>
    <w:rsid w:val="009D6B1F"/>
    <w:rsid w:val="009D7673"/>
    <w:rsid w:val="009E1D53"/>
    <w:rsid w:val="009E28B5"/>
    <w:rsid w:val="009E350F"/>
    <w:rsid w:val="009E3EE5"/>
    <w:rsid w:val="009F5314"/>
    <w:rsid w:val="00A008A3"/>
    <w:rsid w:val="00A01246"/>
    <w:rsid w:val="00A05511"/>
    <w:rsid w:val="00A079C5"/>
    <w:rsid w:val="00A12CEB"/>
    <w:rsid w:val="00A14EFA"/>
    <w:rsid w:val="00A15BCC"/>
    <w:rsid w:val="00A177E7"/>
    <w:rsid w:val="00A20A50"/>
    <w:rsid w:val="00A247AF"/>
    <w:rsid w:val="00A24802"/>
    <w:rsid w:val="00A25A02"/>
    <w:rsid w:val="00A31099"/>
    <w:rsid w:val="00A32382"/>
    <w:rsid w:val="00A329F5"/>
    <w:rsid w:val="00A32DE3"/>
    <w:rsid w:val="00A35F97"/>
    <w:rsid w:val="00A37407"/>
    <w:rsid w:val="00A41464"/>
    <w:rsid w:val="00A417F5"/>
    <w:rsid w:val="00A41BF0"/>
    <w:rsid w:val="00A43960"/>
    <w:rsid w:val="00A5106B"/>
    <w:rsid w:val="00A51E29"/>
    <w:rsid w:val="00A5259D"/>
    <w:rsid w:val="00A52620"/>
    <w:rsid w:val="00A52980"/>
    <w:rsid w:val="00A53D7E"/>
    <w:rsid w:val="00A5441D"/>
    <w:rsid w:val="00A617FE"/>
    <w:rsid w:val="00A62500"/>
    <w:rsid w:val="00A626F8"/>
    <w:rsid w:val="00A70520"/>
    <w:rsid w:val="00A73E72"/>
    <w:rsid w:val="00A74404"/>
    <w:rsid w:val="00A75005"/>
    <w:rsid w:val="00A76146"/>
    <w:rsid w:val="00A76CBC"/>
    <w:rsid w:val="00A80C5C"/>
    <w:rsid w:val="00A810B0"/>
    <w:rsid w:val="00A818D2"/>
    <w:rsid w:val="00A85912"/>
    <w:rsid w:val="00A85A3B"/>
    <w:rsid w:val="00A86ECC"/>
    <w:rsid w:val="00A87632"/>
    <w:rsid w:val="00A87E2A"/>
    <w:rsid w:val="00A90512"/>
    <w:rsid w:val="00A9071F"/>
    <w:rsid w:val="00A90B58"/>
    <w:rsid w:val="00A95565"/>
    <w:rsid w:val="00A969BA"/>
    <w:rsid w:val="00AA178C"/>
    <w:rsid w:val="00AA2696"/>
    <w:rsid w:val="00AA3852"/>
    <w:rsid w:val="00AA3909"/>
    <w:rsid w:val="00AA5328"/>
    <w:rsid w:val="00AA7BF7"/>
    <w:rsid w:val="00AB13B0"/>
    <w:rsid w:val="00AB2E1F"/>
    <w:rsid w:val="00AB2EEF"/>
    <w:rsid w:val="00AB3CCB"/>
    <w:rsid w:val="00AB4CA4"/>
    <w:rsid w:val="00AC19FE"/>
    <w:rsid w:val="00AC5470"/>
    <w:rsid w:val="00AC5B5D"/>
    <w:rsid w:val="00AC645E"/>
    <w:rsid w:val="00AC7656"/>
    <w:rsid w:val="00AD2BD9"/>
    <w:rsid w:val="00AD44E2"/>
    <w:rsid w:val="00AD4821"/>
    <w:rsid w:val="00AD663C"/>
    <w:rsid w:val="00AD728F"/>
    <w:rsid w:val="00AD7A15"/>
    <w:rsid w:val="00AE0750"/>
    <w:rsid w:val="00AE1BB1"/>
    <w:rsid w:val="00AE4231"/>
    <w:rsid w:val="00AE7653"/>
    <w:rsid w:val="00AF21FF"/>
    <w:rsid w:val="00AF531E"/>
    <w:rsid w:val="00AF6756"/>
    <w:rsid w:val="00AF72FB"/>
    <w:rsid w:val="00B00930"/>
    <w:rsid w:val="00B00DCE"/>
    <w:rsid w:val="00B037C1"/>
    <w:rsid w:val="00B057EF"/>
    <w:rsid w:val="00B071F1"/>
    <w:rsid w:val="00B077AC"/>
    <w:rsid w:val="00B10342"/>
    <w:rsid w:val="00B11DFA"/>
    <w:rsid w:val="00B13C1C"/>
    <w:rsid w:val="00B146AA"/>
    <w:rsid w:val="00B25C86"/>
    <w:rsid w:val="00B274B7"/>
    <w:rsid w:val="00B27963"/>
    <w:rsid w:val="00B306FA"/>
    <w:rsid w:val="00B324D1"/>
    <w:rsid w:val="00B3263F"/>
    <w:rsid w:val="00B33B49"/>
    <w:rsid w:val="00B366EA"/>
    <w:rsid w:val="00B42C48"/>
    <w:rsid w:val="00B430D8"/>
    <w:rsid w:val="00B433BC"/>
    <w:rsid w:val="00B43B87"/>
    <w:rsid w:val="00B4663E"/>
    <w:rsid w:val="00B4674A"/>
    <w:rsid w:val="00B47C25"/>
    <w:rsid w:val="00B5551A"/>
    <w:rsid w:val="00B57CFE"/>
    <w:rsid w:val="00B60800"/>
    <w:rsid w:val="00B61AA7"/>
    <w:rsid w:val="00B6603D"/>
    <w:rsid w:val="00B66825"/>
    <w:rsid w:val="00B66C1F"/>
    <w:rsid w:val="00B673E8"/>
    <w:rsid w:val="00B679B2"/>
    <w:rsid w:val="00B721AF"/>
    <w:rsid w:val="00B734EA"/>
    <w:rsid w:val="00B744F9"/>
    <w:rsid w:val="00B75CE7"/>
    <w:rsid w:val="00B85D11"/>
    <w:rsid w:val="00B868D2"/>
    <w:rsid w:val="00B879E9"/>
    <w:rsid w:val="00B91033"/>
    <w:rsid w:val="00B92425"/>
    <w:rsid w:val="00B95050"/>
    <w:rsid w:val="00B96FD0"/>
    <w:rsid w:val="00BA4BF5"/>
    <w:rsid w:val="00BA5A04"/>
    <w:rsid w:val="00BA719F"/>
    <w:rsid w:val="00BA763A"/>
    <w:rsid w:val="00BA7980"/>
    <w:rsid w:val="00BA7A3F"/>
    <w:rsid w:val="00BA7A73"/>
    <w:rsid w:val="00BB37CE"/>
    <w:rsid w:val="00BB4EC8"/>
    <w:rsid w:val="00BB5D73"/>
    <w:rsid w:val="00BB6DEC"/>
    <w:rsid w:val="00BC0159"/>
    <w:rsid w:val="00BC09C2"/>
    <w:rsid w:val="00BC1F4A"/>
    <w:rsid w:val="00BC41B7"/>
    <w:rsid w:val="00BC4785"/>
    <w:rsid w:val="00BC5939"/>
    <w:rsid w:val="00BC5CE9"/>
    <w:rsid w:val="00BD029D"/>
    <w:rsid w:val="00BD2463"/>
    <w:rsid w:val="00BD6AE4"/>
    <w:rsid w:val="00BD6C4A"/>
    <w:rsid w:val="00BD71A7"/>
    <w:rsid w:val="00BE163D"/>
    <w:rsid w:val="00BE18C4"/>
    <w:rsid w:val="00BE4C9E"/>
    <w:rsid w:val="00BE7922"/>
    <w:rsid w:val="00BF07A7"/>
    <w:rsid w:val="00BF2581"/>
    <w:rsid w:val="00BF3C81"/>
    <w:rsid w:val="00BF7A1C"/>
    <w:rsid w:val="00C0147E"/>
    <w:rsid w:val="00C05424"/>
    <w:rsid w:val="00C0725A"/>
    <w:rsid w:val="00C11DDD"/>
    <w:rsid w:val="00C11EE7"/>
    <w:rsid w:val="00C126D8"/>
    <w:rsid w:val="00C14FEF"/>
    <w:rsid w:val="00C15484"/>
    <w:rsid w:val="00C1756D"/>
    <w:rsid w:val="00C213F2"/>
    <w:rsid w:val="00C21F74"/>
    <w:rsid w:val="00C27519"/>
    <w:rsid w:val="00C277EC"/>
    <w:rsid w:val="00C30260"/>
    <w:rsid w:val="00C310CC"/>
    <w:rsid w:val="00C32053"/>
    <w:rsid w:val="00C33228"/>
    <w:rsid w:val="00C43D49"/>
    <w:rsid w:val="00C444F1"/>
    <w:rsid w:val="00C502AA"/>
    <w:rsid w:val="00C5141B"/>
    <w:rsid w:val="00C53442"/>
    <w:rsid w:val="00C547BA"/>
    <w:rsid w:val="00C54A7A"/>
    <w:rsid w:val="00C55559"/>
    <w:rsid w:val="00C56146"/>
    <w:rsid w:val="00C56B34"/>
    <w:rsid w:val="00C57B2B"/>
    <w:rsid w:val="00C60F72"/>
    <w:rsid w:val="00C6198E"/>
    <w:rsid w:val="00C61D4F"/>
    <w:rsid w:val="00C622F2"/>
    <w:rsid w:val="00C66281"/>
    <w:rsid w:val="00C707ED"/>
    <w:rsid w:val="00C714D1"/>
    <w:rsid w:val="00C7171E"/>
    <w:rsid w:val="00C76261"/>
    <w:rsid w:val="00C8260A"/>
    <w:rsid w:val="00C835FA"/>
    <w:rsid w:val="00C83BB7"/>
    <w:rsid w:val="00C85E04"/>
    <w:rsid w:val="00C90CCA"/>
    <w:rsid w:val="00C931AB"/>
    <w:rsid w:val="00C932E5"/>
    <w:rsid w:val="00C93C68"/>
    <w:rsid w:val="00C95A27"/>
    <w:rsid w:val="00CA22C8"/>
    <w:rsid w:val="00CA2536"/>
    <w:rsid w:val="00CA4329"/>
    <w:rsid w:val="00CA56B6"/>
    <w:rsid w:val="00CB054E"/>
    <w:rsid w:val="00CB05AF"/>
    <w:rsid w:val="00CB1005"/>
    <w:rsid w:val="00CB1611"/>
    <w:rsid w:val="00CB37C4"/>
    <w:rsid w:val="00CB3D6E"/>
    <w:rsid w:val="00CB4C3C"/>
    <w:rsid w:val="00CC0802"/>
    <w:rsid w:val="00CC0BDE"/>
    <w:rsid w:val="00CC14D1"/>
    <w:rsid w:val="00CC3ADA"/>
    <w:rsid w:val="00CC5B9F"/>
    <w:rsid w:val="00CD14FA"/>
    <w:rsid w:val="00CD2347"/>
    <w:rsid w:val="00CD4D9C"/>
    <w:rsid w:val="00CD4F25"/>
    <w:rsid w:val="00CE16B2"/>
    <w:rsid w:val="00CE191E"/>
    <w:rsid w:val="00CE3491"/>
    <w:rsid w:val="00CE5F1A"/>
    <w:rsid w:val="00CE6D58"/>
    <w:rsid w:val="00CE7E82"/>
    <w:rsid w:val="00CF06F8"/>
    <w:rsid w:val="00CF2082"/>
    <w:rsid w:val="00CF2A54"/>
    <w:rsid w:val="00CF2B7C"/>
    <w:rsid w:val="00CF7877"/>
    <w:rsid w:val="00D01EE7"/>
    <w:rsid w:val="00D03402"/>
    <w:rsid w:val="00D054DB"/>
    <w:rsid w:val="00D0634E"/>
    <w:rsid w:val="00D07447"/>
    <w:rsid w:val="00D106B6"/>
    <w:rsid w:val="00D10AD0"/>
    <w:rsid w:val="00D12C75"/>
    <w:rsid w:val="00D1529A"/>
    <w:rsid w:val="00D22FE1"/>
    <w:rsid w:val="00D25263"/>
    <w:rsid w:val="00D25AED"/>
    <w:rsid w:val="00D2612E"/>
    <w:rsid w:val="00D26700"/>
    <w:rsid w:val="00D32785"/>
    <w:rsid w:val="00D34F42"/>
    <w:rsid w:val="00D352C1"/>
    <w:rsid w:val="00D35D7E"/>
    <w:rsid w:val="00D37562"/>
    <w:rsid w:val="00D428DE"/>
    <w:rsid w:val="00D46384"/>
    <w:rsid w:val="00D468EE"/>
    <w:rsid w:val="00D46EAE"/>
    <w:rsid w:val="00D47456"/>
    <w:rsid w:val="00D47EAD"/>
    <w:rsid w:val="00D50987"/>
    <w:rsid w:val="00D52527"/>
    <w:rsid w:val="00D54E7C"/>
    <w:rsid w:val="00D564AF"/>
    <w:rsid w:val="00D564C1"/>
    <w:rsid w:val="00D622C3"/>
    <w:rsid w:val="00D6280E"/>
    <w:rsid w:val="00D6441C"/>
    <w:rsid w:val="00D648AD"/>
    <w:rsid w:val="00D65774"/>
    <w:rsid w:val="00D65EF2"/>
    <w:rsid w:val="00D66164"/>
    <w:rsid w:val="00D677AF"/>
    <w:rsid w:val="00D747E0"/>
    <w:rsid w:val="00D74F6D"/>
    <w:rsid w:val="00D75572"/>
    <w:rsid w:val="00D77374"/>
    <w:rsid w:val="00D81672"/>
    <w:rsid w:val="00D81C13"/>
    <w:rsid w:val="00D9173D"/>
    <w:rsid w:val="00D919F8"/>
    <w:rsid w:val="00D93680"/>
    <w:rsid w:val="00D946C0"/>
    <w:rsid w:val="00D96639"/>
    <w:rsid w:val="00D96D20"/>
    <w:rsid w:val="00DA090B"/>
    <w:rsid w:val="00DA09B2"/>
    <w:rsid w:val="00DA1E73"/>
    <w:rsid w:val="00DB1A23"/>
    <w:rsid w:val="00DB2296"/>
    <w:rsid w:val="00DB53A7"/>
    <w:rsid w:val="00DB6932"/>
    <w:rsid w:val="00DC075C"/>
    <w:rsid w:val="00DC1D06"/>
    <w:rsid w:val="00DC2BB8"/>
    <w:rsid w:val="00DC5848"/>
    <w:rsid w:val="00DC630E"/>
    <w:rsid w:val="00DC680F"/>
    <w:rsid w:val="00DC684B"/>
    <w:rsid w:val="00DD0C11"/>
    <w:rsid w:val="00DD3C32"/>
    <w:rsid w:val="00DD678F"/>
    <w:rsid w:val="00DE24CA"/>
    <w:rsid w:val="00DE4873"/>
    <w:rsid w:val="00DE5276"/>
    <w:rsid w:val="00DF066E"/>
    <w:rsid w:val="00DF2887"/>
    <w:rsid w:val="00DF323F"/>
    <w:rsid w:val="00E00840"/>
    <w:rsid w:val="00E00CC7"/>
    <w:rsid w:val="00E00F5F"/>
    <w:rsid w:val="00E011FE"/>
    <w:rsid w:val="00E012E8"/>
    <w:rsid w:val="00E02428"/>
    <w:rsid w:val="00E032E7"/>
    <w:rsid w:val="00E040C0"/>
    <w:rsid w:val="00E0526B"/>
    <w:rsid w:val="00E10B81"/>
    <w:rsid w:val="00E1100E"/>
    <w:rsid w:val="00E11403"/>
    <w:rsid w:val="00E11471"/>
    <w:rsid w:val="00E12731"/>
    <w:rsid w:val="00E152F9"/>
    <w:rsid w:val="00E174EB"/>
    <w:rsid w:val="00E2436F"/>
    <w:rsid w:val="00E248C7"/>
    <w:rsid w:val="00E26120"/>
    <w:rsid w:val="00E27790"/>
    <w:rsid w:val="00E302C2"/>
    <w:rsid w:val="00E400C8"/>
    <w:rsid w:val="00E42B96"/>
    <w:rsid w:val="00E52698"/>
    <w:rsid w:val="00E54D81"/>
    <w:rsid w:val="00E563C1"/>
    <w:rsid w:val="00E57CC3"/>
    <w:rsid w:val="00E60CCB"/>
    <w:rsid w:val="00E61A0F"/>
    <w:rsid w:val="00E62F40"/>
    <w:rsid w:val="00E65FD7"/>
    <w:rsid w:val="00E660C3"/>
    <w:rsid w:val="00E701AF"/>
    <w:rsid w:val="00E7349D"/>
    <w:rsid w:val="00E7395A"/>
    <w:rsid w:val="00E74A0D"/>
    <w:rsid w:val="00E74BFA"/>
    <w:rsid w:val="00E74D9E"/>
    <w:rsid w:val="00E76935"/>
    <w:rsid w:val="00E778DA"/>
    <w:rsid w:val="00E77CB0"/>
    <w:rsid w:val="00E77F6B"/>
    <w:rsid w:val="00E83236"/>
    <w:rsid w:val="00E86AEB"/>
    <w:rsid w:val="00E87013"/>
    <w:rsid w:val="00E87129"/>
    <w:rsid w:val="00E87A0E"/>
    <w:rsid w:val="00E97F61"/>
    <w:rsid w:val="00EA0AD6"/>
    <w:rsid w:val="00EA37EC"/>
    <w:rsid w:val="00EA3EC2"/>
    <w:rsid w:val="00EA4B60"/>
    <w:rsid w:val="00EA5F1C"/>
    <w:rsid w:val="00EA633C"/>
    <w:rsid w:val="00EA636E"/>
    <w:rsid w:val="00EB050E"/>
    <w:rsid w:val="00EB0D16"/>
    <w:rsid w:val="00EB4955"/>
    <w:rsid w:val="00EB63E6"/>
    <w:rsid w:val="00EB67AE"/>
    <w:rsid w:val="00EB7019"/>
    <w:rsid w:val="00EC040E"/>
    <w:rsid w:val="00EC0E72"/>
    <w:rsid w:val="00EC166F"/>
    <w:rsid w:val="00EC3FD8"/>
    <w:rsid w:val="00EC5557"/>
    <w:rsid w:val="00EC56DE"/>
    <w:rsid w:val="00ED13A2"/>
    <w:rsid w:val="00ED2A3C"/>
    <w:rsid w:val="00ED3A50"/>
    <w:rsid w:val="00ED4397"/>
    <w:rsid w:val="00EE247A"/>
    <w:rsid w:val="00EE600C"/>
    <w:rsid w:val="00EE7E6E"/>
    <w:rsid w:val="00EF0E5B"/>
    <w:rsid w:val="00EF3E90"/>
    <w:rsid w:val="00EF5769"/>
    <w:rsid w:val="00EF6F6D"/>
    <w:rsid w:val="00F01273"/>
    <w:rsid w:val="00F01D37"/>
    <w:rsid w:val="00F0212C"/>
    <w:rsid w:val="00F0458E"/>
    <w:rsid w:val="00F0490E"/>
    <w:rsid w:val="00F07ED5"/>
    <w:rsid w:val="00F126AF"/>
    <w:rsid w:val="00F1336F"/>
    <w:rsid w:val="00F13F24"/>
    <w:rsid w:val="00F14813"/>
    <w:rsid w:val="00F22D5C"/>
    <w:rsid w:val="00F23197"/>
    <w:rsid w:val="00F2414F"/>
    <w:rsid w:val="00F24FBA"/>
    <w:rsid w:val="00F26530"/>
    <w:rsid w:val="00F26A73"/>
    <w:rsid w:val="00F305D0"/>
    <w:rsid w:val="00F309AC"/>
    <w:rsid w:val="00F311E6"/>
    <w:rsid w:val="00F31AD6"/>
    <w:rsid w:val="00F32C40"/>
    <w:rsid w:val="00F340D1"/>
    <w:rsid w:val="00F3598B"/>
    <w:rsid w:val="00F36E2D"/>
    <w:rsid w:val="00F40F37"/>
    <w:rsid w:val="00F41A56"/>
    <w:rsid w:val="00F42E59"/>
    <w:rsid w:val="00F42F7D"/>
    <w:rsid w:val="00F451C2"/>
    <w:rsid w:val="00F4781B"/>
    <w:rsid w:val="00F47C4A"/>
    <w:rsid w:val="00F52506"/>
    <w:rsid w:val="00F602A5"/>
    <w:rsid w:val="00F61D43"/>
    <w:rsid w:val="00F62D29"/>
    <w:rsid w:val="00F64164"/>
    <w:rsid w:val="00F64209"/>
    <w:rsid w:val="00F70213"/>
    <w:rsid w:val="00F70D7B"/>
    <w:rsid w:val="00F74C2E"/>
    <w:rsid w:val="00F76724"/>
    <w:rsid w:val="00F77141"/>
    <w:rsid w:val="00F7737D"/>
    <w:rsid w:val="00F777C8"/>
    <w:rsid w:val="00F7789A"/>
    <w:rsid w:val="00F77921"/>
    <w:rsid w:val="00F80781"/>
    <w:rsid w:val="00F84EBC"/>
    <w:rsid w:val="00F862F5"/>
    <w:rsid w:val="00F90E20"/>
    <w:rsid w:val="00F92E7F"/>
    <w:rsid w:val="00F93860"/>
    <w:rsid w:val="00F93B7E"/>
    <w:rsid w:val="00F93CE2"/>
    <w:rsid w:val="00F94C0D"/>
    <w:rsid w:val="00F95C50"/>
    <w:rsid w:val="00F97542"/>
    <w:rsid w:val="00FA20F9"/>
    <w:rsid w:val="00FB42DF"/>
    <w:rsid w:val="00FB781C"/>
    <w:rsid w:val="00FC0EA3"/>
    <w:rsid w:val="00FC1F68"/>
    <w:rsid w:val="00FC34F5"/>
    <w:rsid w:val="00FC3D7B"/>
    <w:rsid w:val="00FC7475"/>
    <w:rsid w:val="00FD0395"/>
    <w:rsid w:val="00FD2140"/>
    <w:rsid w:val="00FD2BA2"/>
    <w:rsid w:val="00FD4B81"/>
    <w:rsid w:val="00FD6DED"/>
    <w:rsid w:val="00FE1734"/>
    <w:rsid w:val="00FE26E8"/>
    <w:rsid w:val="00FE49F9"/>
    <w:rsid w:val="00FF3486"/>
    <w:rsid w:val="00FF49A3"/>
    <w:rsid w:val="00FF4AAE"/>
    <w:rsid w:val="07120F5B"/>
    <w:rsid w:val="11069103"/>
    <w:rsid w:val="151C112A"/>
    <w:rsid w:val="17FA741D"/>
    <w:rsid w:val="1EF4305F"/>
    <w:rsid w:val="21BFFCDE"/>
    <w:rsid w:val="2386F9C1"/>
    <w:rsid w:val="2AB524B8"/>
    <w:rsid w:val="3273E4A6"/>
    <w:rsid w:val="3C8AF052"/>
    <w:rsid w:val="3FB28FC5"/>
    <w:rsid w:val="4C7539F4"/>
    <w:rsid w:val="5046B1E3"/>
    <w:rsid w:val="50BD9E82"/>
    <w:rsid w:val="532559B5"/>
    <w:rsid w:val="542CDC9D"/>
    <w:rsid w:val="59148887"/>
    <w:rsid w:val="5F2EC82B"/>
    <w:rsid w:val="7B22E02E"/>
    <w:rsid w:val="7B37706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1EC4D4"/>
  <w15:docId w15:val="{1ABFDA94-6E36-4806-B208-489AE6039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sdException w:name="Smart Link Error" w:semiHidden="1" w:uiPriority="99" w:unhideWhenUsed="1"/>
  </w:latentStyles>
  <w:style w:type="paragraph" w:default="1" w:styleId="Normal">
    <w:name w:val="Normal"/>
    <w:qFormat/>
    <w:rsid w:val="004765D6"/>
    <w:pPr>
      <w:tabs>
        <w:tab w:val="left" w:pos="567"/>
      </w:tabs>
      <w:spacing w:line="260" w:lineRule="exact"/>
    </w:pPr>
    <w:rPr>
      <w:rFonts w:eastAsia="Times New Roman"/>
      <w:sz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536"/>
        <w:tab w:val="right" w:pos="8306"/>
      </w:tabs>
    </w:pPr>
    <w:rPr>
      <w:rFonts w:ascii="Arial" w:hAnsi="Arial"/>
      <w:noProof/>
      <w:sz w:val="16"/>
    </w:rPr>
  </w:style>
  <w:style w:type="paragraph" w:styleId="Header">
    <w:name w:val="header"/>
    <w:basedOn w:val="Normal"/>
    <w:pPr>
      <w:tabs>
        <w:tab w:val="center" w:pos="4153"/>
        <w:tab w:val="right" w:pos="8306"/>
      </w:tabs>
    </w:pPr>
    <w:rPr>
      <w:rFonts w:ascii="Arial" w:hAnsi="Arial"/>
      <w:sz w:val="20"/>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link w:val="BodyTextChar"/>
    <w:uiPriority w:val="99"/>
    <w:rsid w:val="00812D16"/>
    <w:pPr>
      <w:tabs>
        <w:tab w:val="clear" w:pos="567"/>
      </w:tabs>
      <w:spacing w:line="240" w:lineRule="auto"/>
    </w:pPr>
    <w:rPr>
      <w:i/>
      <w:color w:val="008000"/>
    </w:rPr>
  </w:style>
  <w:style w:type="paragraph" w:styleId="CommentText">
    <w:name w:val="annotation text"/>
    <w:aliases w:val="Annotationtext,Comment Text Char1 Char,Comment Text Char Char Char,Comment Text Char1, Char"/>
    <w:basedOn w:val="Normal"/>
    <w:link w:val="CommentTextChar"/>
    <w:rsid w:val="00812D16"/>
    <w:rPr>
      <w:sz w:val="20"/>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rPr>
      <w:lang w:val="en-US"/>
    </w:r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rsid w:val="00345F9C"/>
    <w:pPr>
      <w:tabs>
        <w:tab w:val="clear" w:pos="567"/>
      </w:tabs>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rsid w:val="00345F9C"/>
    <w:rPr>
      <w:rFonts w:ascii="Verdana" w:eastAsia="Verdana" w:hAnsi="Verdana" w:cs="Verdana"/>
      <w:sz w:val="18"/>
      <w:szCs w:val="18"/>
      <w:lang w:val="en-GB" w:eastAsia="en-GB" w:bidi="ar-SA"/>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lang w:eastAsia="en-GB"/>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en-GB" w:eastAsia="en-GB" w:bidi="ar-SA"/>
    </w:rPr>
  </w:style>
  <w:style w:type="paragraph" w:customStyle="1" w:styleId="NormalAgency">
    <w:name w:val="Normal (Agency)"/>
    <w:link w:val="NormalAgencyChar"/>
    <w:rsid w:val="00C179B0"/>
    <w:rPr>
      <w:rFonts w:ascii="Verdana" w:eastAsia="Verdana" w:hAnsi="Verdana" w:cs="Verdana"/>
      <w:sz w:val="18"/>
      <w:szCs w:val="18"/>
      <w:lang w:val="en-GB" w:eastAsia="en-GB"/>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MS Mincho" w:hAnsi="MS Mincho"/>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rsid w:val="00C179B0"/>
    <w:rPr>
      <w:rFonts w:ascii="Verdana" w:eastAsia="Verdana" w:hAnsi="Verdana" w:cs="Verdana"/>
      <w:sz w:val="18"/>
      <w:szCs w:val="18"/>
      <w:lang w:val="en-GB" w:eastAsia="en-GB" w:bidi="ar-SA"/>
    </w:rPr>
  </w:style>
  <w:style w:type="character" w:styleId="CommentReference">
    <w:name w:val="annotation reference"/>
    <w:uiPriority w:val="99"/>
    <w:rsid w:val="00BC6DC2"/>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aliases w:val="Annotationtext Char,Comment Text Char1 Char Char,Comment Text Char Char Char Char,Comment Text Char1 Char1, Char Char"/>
    <w:link w:val="CommentText"/>
    <w:rsid w:val="00BC6DC2"/>
    <w:rPr>
      <w:rFonts w:eastAsia="Times New Roman"/>
      <w:lang w:eastAsia="en-US"/>
    </w:rPr>
  </w:style>
  <w:style w:type="character" w:customStyle="1" w:styleId="CommentSubjectChar">
    <w:name w:val="Comment Subject Char"/>
    <w:link w:val="CommentSubject"/>
    <w:rsid w:val="00BC6DC2"/>
    <w:rPr>
      <w:rFonts w:eastAsia="Times New Roman"/>
      <w:b/>
      <w:bCs/>
      <w:lang w:eastAsia="en-US"/>
    </w:rPr>
  </w:style>
  <w:style w:type="paragraph" w:customStyle="1" w:styleId="ColorfulShading-Accent11">
    <w:name w:val="Colorful Shading - Accent 11"/>
    <w:hidden/>
    <w:uiPriority w:val="99"/>
    <w:semiHidden/>
    <w:rsid w:val="00B21BE7"/>
    <w:rPr>
      <w:rFonts w:eastAsia="Times New Roman"/>
      <w:sz w:val="22"/>
      <w:lang w:val="en-GB" w:eastAsia="en-US"/>
    </w:rPr>
  </w:style>
  <w:style w:type="paragraph" w:customStyle="1" w:styleId="ColorfulList-Accent11">
    <w:name w:val="Colorful List - Accent 11"/>
    <w:basedOn w:val="Normal"/>
    <w:uiPriority w:val="34"/>
    <w:qFormat/>
    <w:rsid w:val="004765D6"/>
    <w:pPr>
      <w:ind w:left="720"/>
    </w:pPr>
  </w:style>
  <w:style w:type="paragraph" w:styleId="NormalWeb">
    <w:name w:val="Normal (Web)"/>
    <w:basedOn w:val="Normal"/>
    <w:uiPriority w:val="99"/>
    <w:unhideWhenUsed/>
    <w:rsid w:val="00634EE9"/>
    <w:pPr>
      <w:tabs>
        <w:tab w:val="clear" w:pos="567"/>
      </w:tabs>
      <w:spacing w:before="100" w:beforeAutospacing="1" w:after="100" w:afterAutospacing="1" w:line="240" w:lineRule="auto"/>
    </w:pPr>
    <w:rPr>
      <w:sz w:val="24"/>
      <w:szCs w:val="24"/>
      <w:lang w:val="en-US"/>
    </w:rPr>
  </w:style>
  <w:style w:type="paragraph" w:styleId="Caption">
    <w:name w:val="caption"/>
    <w:aliases w:val="Char"/>
    <w:basedOn w:val="Normal"/>
    <w:next w:val="Normal"/>
    <w:link w:val="CaptionChar"/>
    <w:qFormat/>
    <w:rsid w:val="0089645B"/>
    <w:rPr>
      <w:b/>
      <w:bCs/>
      <w:sz w:val="20"/>
    </w:rPr>
  </w:style>
  <w:style w:type="character" w:customStyle="1" w:styleId="CaptionChar">
    <w:name w:val="Caption Char"/>
    <w:aliases w:val="Char Char"/>
    <w:link w:val="Caption"/>
    <w:locked/>
    <w:rsid w:val="0089645B"/>
    <w:rPr>
      <w:rFonts w:eastAsia="Times New Roman"/>
      <w:b/>
      <w:bCs/>
      <w:lang w:val="en-GB"/>
    </w:rPr>
  </w:style>
  <w:style w:type="paragraph" w:customStyle="1" w:styleId="TableCellCenter">
    <w:name w:val="Table Cell Center"/>
    <w:basedOn w:val="BodyText"/>
    <w:rsid w:val="00A822A8"/>
    <w:pPr>
      <w:spacing w:before="40" w:after="40"/>
      <w:jc w:val="center"/>
    </w:pPr>
    <w:rPr>
      <w:i w:val="0"/>
      <w:color w:val="auto"/>
      <w:sz w:val="24"/>
      <w:szCs w:val="24"/>
      <w:lang w:val="en-US"/>
    </w:rPr>
  </w:style>
  <w:style w:type="paragraph" w:customStyle="1" w:styleId="Default">
    <w:name w:val="Default"/>
    <w:rsid w:val="00CF6D98"/>
    <w:pPr>
      <w:autoSpaceDE w:val="0"/>
      <w:autoSpaceDN w:val="0"/>
      <w:adjustRightInd w:val="0"/>
    </w:pPr>
    <w:rPr>
      <w:color w:val="000000"/>
      <w:sz w:val="24"/>
      <w:szCs w:val="24"/>
      <w:lang w:eastAsia="en-US"/>
    </w:rPr>
  </w:style>
  <w:style w:type="table" w:customStyle="1" w:styleId="GridTable1Light-Accent11">
    <w:name w:val="Grid Table 1 Light - Accent 11"/>
    <w:basedOn w:val="TableNormal"/>
    <w:uiPriority w:val="46"/>
    <w:rsid w:val="00CF6D98"/>
    <w:rPr>
      <w:lang w:val="en-GB" w:eastAsia="en-GB"/>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character" w:customStyle="1" w:styleId="apple-converted-space">
    <w:name w:val="apple-converted-space"/>
    <w:rsid w:val="007E38E3"/>
  </w:style>
  <w:style w:type="table" w:styleId="TableGrid">
    <w:name w:val="Table Grid"/>
    <w:basedOn w:val="TableNormal"/>
    <w:rsid w:val="00871D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71"/>
    <w:semiHidden/>
    <w:rsid w:val="00222A69"/>
    <w:rPr>
      <w:rFonts w:eastAsia="Times New Roman"/>
      <w:sz w:val="22"/>
      <w:lang w:val="en-GB" w:eastAsia="en-US"/>
    </w:rPr>
  </w:style>
  <w:style w:type="paragraph" w:styleId="ListParagraph">
    <w:name w:val="List Paragraph"/>
    <w:basedOn w:val="Normal"/>
    <w:uiPriority w:val="34"/>
    <w:qFormat/>
    <w:rsid w:val="00094E26"/>
    <w:pPr>
      <w:ind w:left="720"/>
      <w:contextualSpacing/>
    </w:pPr>
  </w:style>
  <w:style w:type="paragraph" w:customStyle="1" w:styleId="CM38">
    <w:name w:val="CM38"/>
    <w:basedOn w:val="Default"/>
    <w:next w:val="Default"/>
    <w:uiPriority w:val="99"/>
    <w:rsid w:val="00716C2C"/>
    <w:rPr>
      <w:color w:val="auto"/>
      <w:lang w:eastAsia="ja-JP"/>
    </w:rPr>
  </w:style>
  <w:style w:type="paragraph" w:customStyle="1" w:styleId="PIHeading2">
    <w:name w:val="PI Heading 2"/>
    <w:basedOn w:val="Normal"/>
    <w:link w:val="PIHeading2Char"/>
    <w:rsid w:val="006D0F24"/>
    <w:pPr>
      <w:keepNext/>
      <w:keepLines/>
      <w:tabs>
        <w:tab w:val="clear" w:pos="567"/>
      </w:tabs>
      <w:spacing w:before="360" w:after="120" w:line="240" w:lineRule="auto"/>
      <w:outlineLvl w:val="1"/>
    </w:pPr>
    <w:rPr>
      <w:rFonts w:ascii="Arial" w:hAnsi="Arial"/>
      <w:b/>
      <w:sz w:val="24"/>
      <w:lang w:val="en-US"/>
    </w:rPr>
  </w:style>
  <w:style w:type="character" w:customStyle="1" w:styleId="PIHeading2Char">
    <w:name w:val="PI Heading 2 Char"/>
    <w:link w:val="PIHeading2"/>
    <w:rsid w:val="006D0F24"/>
    <w:rPr>
      <w:rFonts w:ascii="Arial" w:eastAsia="Times New Roman" w:hAnsi="Arial"/>
      <w:b/>
      <w:sz w:val="24"/>
      <w:lang w:eastAsia="en-US"/>
    </w:rPr>
  </w:style>
  <w:style w:type="character" w:styleId="LineNumber">
    <w:name w:val="line number"/>
    <w:basedOn w:val="DefaultParagraphFont"/>
    <w:semiHidden/>
    <w:unhideWhenUsed/>
    <w:rsid w:val="004E52E3"/>
  </w:style>
  <w:style w:type="character" w:customStyle="1" w:styleId="normaltextrun">
    <w:name w:val="normaltextrun"/>
    <w:basedOn w:val="DefaultParagraphFont"/>
    <w:rsid w:val="007D294B"/>
  </w:style>
  <w:style w:type="character" w:styleId="FollowedHyperlink">
    <w:name w:val="FollowedHyperlink"/>
    <w:basedOn w:val="DefaultParagraphFont"/>
    <w:semiHidden/>
    <w:unhideWhenUsed/>
    <w:rsid w:val="003E1B79"/>
    <w:rPr>
      <w:color w:val="954F72" w:themeColor="followedHyperlink"/>
      <w:u w:val="single"/>
    </w:rPr>
  </w:style>
  <w:style w:type="paragraph" w:customStyle="1" w:styleId="TitleA">
    <w:name w:val="Title A"/>
    <w:basedOn w:val="Normal"/>
    <w:qFormat/>
    <w:rsid w:val="00AC5B5D"/>
    <w:pPr>
      <w:spacing w:line="240" w:lineRule="auto"/>
      <w:jc w:val="center"/>
      <w:outlineLvl w:val="0"/>
    </w:pPr>
    <w:rPr>
      <w:b/>
      <w:bCs/>
    </w:rPr>
  </w:style>
  <w:style w:type="paragraph" w:customStyle="1" w:styleId="TitleB">
    <w:name w:val="Title B"/>
    <w:basedOn w:val="Normal"/>
    <w:qFormat/>
    <w:rsid w:val="00AC5B5D"/>
    <w:pPr>
      <w:keepNext/>
      <w:widowControl w:val="0"/>
      <w:tabs>
        <w:tab w:val="clear" w:pos="567"/>
      </w:tabs>
      <w:autoSpaceDE w:val="0"/>
      <w:autoSpaceDN w:val="0"/>
      <w:adjustRightInd w:val="0"/>
      <w:spacing w:line="240" w:lineRule="auto"/>
      <w:ind w:left="567" w:hanging="567"/>
    </w:pPr>
    <w:rPr>
      <w:rFonts w:eastAsia="SimSun"/>
      <w:b/>
      <w:bCs/>
      <w:color w:val="000000"/>
      <w:szCs w:val="22"/>
      <w:lang w:eastAsia="en-GB"/>
    </w:rPr>
  </w:style>
  <w:style w:type="character" w:customStyle="1" w:styleId="BodyTextChar">
    <w:name w:val="Body Text Char"/>
    <w:basedOn w:val="DefaultParagraphFont"/>
    <w:link w:val="BodyText"/>
    <w:uiPriority w:val="99"/>
    <w:rsid w:val="00F0458E"/>
    <w:rPr>
      <w:rFonts w:eastAsia="Times New Roman"/>
      <w:i/>
      <w:color w:val="008000"/>
      <w:sz w:val="22"/>
      <w:lang w:val="en-GB" w:eastAsia="en-US"/>
    </w:rPr>
  </w:style>
  <w:style w:type="paragraph" w:customStyle="1" w:styleId="TableCellLeft">
    <w:name w:val="Table Cell Left"/>
    <w:basedOn w:val="Normal"/>
    <w:link w:val="TableCellLeftChar"/>
    <w:rsid w:val="00F0458E"/>
    <w:pPr>
      <w:tabs>
        <w:tab w:val="clear" w:pos="567"/>
      </w:tabs>
      <w:spacing w:before="60" w:after="60" w:line="240" w:lineRule="auto"/>
    </w:pPr>
    <w:rPr>
      <w:sz w:val="20"/>
      <w:szCs w:val="24"/>
      <w:lang w:val="en-US"/>
    </w:rPr>
  </w:style>
  <w:style w:type="character" w:customStyle="1" w:styleId="TableCellLeftChar">
    <w:name w:val="Table Cell Left Char"/>
    <w:link w:val="TableCellLeft"/>
    <w:locked/>
    <w:rsid w:val="00F0458E"/>
    <w:rPr>
      <w:rFonts w:eastAsia="Times New Roman"/>
      <w:szCs w:val="24"/>
      <w:lang w:eastAsia="en-US"/>
    </w:rPr>
  </w:style>
  <w:style w:type="paragraph" w:customStyle="1" w:styleId="TableFootnote">
    <w:name w:val="Table Footnote"/>
    <w:basedOn w:val="Normal"/>
    <w:link w:val="TableFootnoteChar"/>
    <w:qFormat/>
    <w:rsid w:val="00F0458E"/>
    <w:pPr>
      <w:tabs>
        <w:tab w:val="clear" w:pos="567"/>
        <w:tab w:val="left" w:pos="360"/>
      </w:tabs>
      <w:spacing w:line="240" w:lineRule="auto"/>
      <w:ind w:left="360" w:hanging="360"/>
    </w:pPr>
    <w:rPr>
      <w:sz w:val="20"/>
      <w:szCs w:val="24"/>
      <w:lang w:val="en-US"/>
    </w:rPr>
  </w:style>
  <w:style w:type="character" w:customStyle="1" w:styleId="TableFootnoteChar">
    <w:name w:val="Table Footnote Char"/>
    <w:link w:val="TableFootnote"/>
    <w:rsid w:val="00F0458E"/>
    <w:rPr>
      <w:rFonts w:eastAsia="Times New Roman"/>
      <w:szCs w:val="24"/>
      <w:lang w:eastAsia="en-US"/>
    </w:rPr>
  </w:style>
  <w:style w:type="table" w:styleId="TableColumns1">
    <w:name w:val="Table Columns 1"/>
    <w:basedOn w:val="TableNormal"/>
    <w:rsid w:val="00F0458E"/>
    <w:rPr>
      <w:rFonts w:eastAsia="Times New Roman"/>
      <w:b/>
      <w:bCs/>
      <w:sz w:val="24"/>
      <w:szCs w:val="24"/>
      <w:lang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BodyText">
    <w:name w:val="C-Body Text"/>
    <w:link w:val="C-BodyTextChar"/>
    <w:rsid w:val="00F0458E"/>
    <w:pPr>
      <w:spacing w:before="120" w:after="120" w:line="280" w:lineRule="atLeast"/>
    </w:pPr>
    <w:rPr>
      <w:rFonts w:eastAsia="Times New Roman"/>
      <w:sz w:val="24"/>
      <w:lang w:eastAsia="en-US"/>
    </w:rPr>
  </w:style>
  <w:style w:type="character" w:customStyle="1" w:styleId="C-BodyTextChar">
    <w:name w:val="C-Body Text Char"/>
    <w:basedOn w:val="DefaultParagraphFont"/>
    <w:link w:val="C-BodyText"/>
    <w:rsid w:val="00F0458E"/>
    <w:rPr>
      <w:rFonts w:eastAsia="Times New Roman"/>
      <w:sz w:val="24"/>
      <w:lang w:eastAsia="en-US"/>
    </w:rPr>
  </w:style>
  <w:style w:type="paragraph" w:customStyle="1" w:styleId="FigureLegend">
    <w:name w:val="Figure Legend"/>
    <w:basedOn w:val="TableFootnote"/>
    <w:rsid w:val="009A12A5"/>
    <w:pPr>
      <w:tabs>
        <w:tab w:val="clear" w:pos="360"/>
      </w:tabs>
      <w:ind w:left="0" w:firstLine="0"/>
    </w:pPr>
  </w:style>
  <w:style w:type="paragraph" w:customStyle="1" w:styleId="Paragraph">
    <w:name w:val="Paragraph"/>
    <w:rsid w:val="00CF2B7C"/>
    <w:pPr>
      <w:spacing w:before="120" w:after="120" w:line="300" w:lineRule="auto"/>
    </w:pPr>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5409">
      <w:bodyDiv w:val="1"/>
      <w:marLeft w:val="0"/>
      <w:marRight w:val="0"/>
      <w:marTop w:val="0"/>
      <w:marBottom w:val="0"/>
      <w:divBdr>
        <w:top w:val="none" w:sz="0" w:space="0" w:color="auto"/>
        <w:left w:val="none" w:sz="0" w:space="0" w:color="auto"/>
        <w:bottom w:val="none" w:sz="0" w:space="0" w:color="auto"/>
        <w:right w:val="none" w:sz="0" w:space="0" w:color="auto"/>
      </w:divBdr>
    </w:div>
    <w:div w:id="93484064">
      <w:bodyDiv w:val="1"/>
      <w:marLeft w:val="0"/>
      <w:marRight w:val="0"/>
      <w:marTop w:val="0"/>
      <w:marBottom w:val="0"/>
      <w:divBdr>
        <w:top w:val="none" w:sz="0" w:space="0" w:color="auto"/>
        <w:left w:val="none" w:sz="0" w:space="0" w:color="auto"/>
        <w:bottom w:val="none" w:sz="0" w:space="0" w:color="auto"/>
        <w:right w:val="none" w:sz="0" w:space="0" w:color="auto"/>
      </w:divBdr>
    </w:div>
    <w:div w:id="303659321">
      <w:bodyDiv w:val="1"/>
      <w:marLeft w:val="0"/>
      <w:marRight w:val="0"/>
      <w:marTop w:val="0"/>
      <w:marBottom w:val="0"/>
      <w:divBdr>
        <w:top w:val="none" w:sz="0" w:space="0" w:color="auto"/>
        <w:left w:val="none" w:sz="0" w:space="0" w:color="auto"/>
        <w:bottom w:val="none" w:sz="0" w:space="0" w:color="auto"/>
        <w:right w:val="none" w:sz="0" w:space="0" w:color="auto"/>
      </w:divBdr>
    </w:div>
    <w:div w:id="332219918">
      <w:bodyDiv w:val="1"/>
      <w:marLeft w:val="0"/>
      <w:marRight w:val="0"/>
      <w:marTop w:val="0"/>
      <w:marBottom w:val="0"/>
      <w:divBdr>
        <w:top w:val="none" w:sz="0" w:space="0" w:color="auto"/>
        <w:left w:val="none" w:sz="0" w:space="0" w:color="auto"/>
        <w:bottom w:val="none" w:sz="0" w:space="0" w:color="auto"/>
        <w:right w:val="none" w:sz="0" w:space="0" w:color="auto"/>
      </w:divBdr>
    </w:div>
    <w:div w:id="717776059">
      <w:bodyDiv w:val="1"/>
      <w:marLeft w:val="0"/>
      <w:marRight w:val="0"/>
      <w:marTop w:val="0"/>
      <w:marBottom w:val="0"/>
      <w:divBdr>
        <w:top w:val="none" w:sz="0" w:space="0" w:color="auto"/>
        <w:left w:val="none" w:sz="0" w:space="0" w:color="auto"/>
        <w:bottom w:val="none" w:sz="0" w:space="0" w:color="auto"/>
        <w:right w:val="none" w:sz="0" w:space="0" w:color="auto"/>
      </w:divBdr>
    </w:div>
    <w:div w:id="867983121">
      <w:bodyDiv w:val="1"/>
      <w:marLeft w:val="0"/>
      <w:marRight w:val="0"/>
      <w:marTop w:val="0"/>
      <w:marBottom w:val="0"/>
      <w:divBdr>
        <w:top w:val="none" w:sz="0" w:space="0" w:color="auto"/>
        <w:left w:val="none" w:sz="0" w:space="0" w:color="auto"/>
        <w:bottom w:val="none" w:sz="0" w:space="0" w:color="auto"/>
        <w:right w:val="none" w:sz="0" w:space="0" w:color="auto"/>
      </w:divBdr>
    </w:div>
    <w:div w:id="1024283586">
      <w:bodyDiv w:val="1"/>
      <w:marLeft w:val="0"/>
      <w:marRight w:val="0"/>
      <w:marTop w:val="0"/>
      <w:marBottom w:val="0"/>
      <w:divBdr>
        <w:top w:val="none" w:sz="0" w:space="0" w:color="auto"/>
        <w:left w:val="none" w:sz="0" w:space="0" w:color="auto"/>
        <w:bottom w:val="none" w:sz="0" w:space="0" w:color="auto"/>
        <w:right w:val="none" w:sz="0" w:space="0" w:color="auto"/>
      </w:divBdr>
    </w:div>
    <w:div w:id="1121996086">
      <w:bodyDiv w:val="1"/>
      <w:marLeft w:val="0"/>
      <w:marRight w:val="0"/>
      <w:marTop w:val="0"/>
      <w:marBottom w:val="0"/>
      <w:divBdr>
        <w:top w:val="none" w:sz="0" w:space="0" w:color="auto"/>
        <w:left w:val="none" w:sz="0" w:space="0" w:color="auto"/>
        <w:bottom w:val="none" w:sz="0" w:space="0" w:color="auto"/>
        <w:right w:val="none" w:sz="0" w:space="0" w:color="auto"/>
      </w:divBdr>
    </w:div>
    <w:div w:id="1131827855">
      <w:bodyDiv w:val="1"/>
      <w:marLeft w:val="0"/>
      <w:marRight w:val="0"/>
      <w:marTop w:val="0"/>
      <w:marBottom w:val="0"/>
      <w:divBdr>
        <w:top w:val="none" w:sz="0" w:space="0" w:color="auto"/>
        <w:left w:val="none" w:sz="0" w:space="0" w:color="auto"/>
        <w:bottom w:val="none" w:sz="0" w:space="0" w:color="auto"/>
        <w:right w:val="none" w:sz="0" w:space="0" w:color="auto"/>
      </w:divBdr>
      <w:divsChild>
        <w:div w:id="246579130">
          <w:marLeft w:val="0"/>
          <w:marRight w:val="0"/>
          <w:marTop w:val="0"/>
          <w:marBottom w:val="0"/>
          <w:divBdr>
            <w:top w:val="none" w:sz="0" w:space="0" w:color="auto"/>
            <w:left w:val="none" w:sz="0" w:space="0" w:color="auto"/>
            <w:bottom w:val="none" w:sz="0" w:space="0" w:color="auto"/>
            <w:right w:val="none" w:sz="0" w:space="0" w:color="auto"/>
          </w:divBdr>
          <w:divsChild>
            <w:div w:id="824392477">
              <w:marLeft w:val="0"/>
              <w:marRight w:val="0"/>
              <w:marTop w:val="0"/>
              <w:marBottom w:val="0"/>
              <w:divBdr>
                <w:top w:val="none" w:sz="0" w:space="0" w:color="auto"/>
                <w:left w:val="none" w:sz="0" w:space="0" w:color="auto"/>
                <w:bottom w:val="none" w:sz="0" w:space="0" w:color="auto"/>
                <w:right w:val="none" w:sz="0" w:space="0" w:color="auto"/>
              </w:divBdr>
            </w:div>
            <w:div w:id="180114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3193">
      <w:bodyDiv w:val="1"/>
      <w:marLeft w:val="0"/>
      <w:marRight w:val="0"/>
      <w:marTop w:val="0"/>
      <w:marBottom w:val="0"/>
      <w:divBdr>
        <w:top w:val="none" w:sz="0" w:space="0" w:color="auto"/>
        <w:left w:val="none" w:sz="0" w:space="0" w:color="auto"/>
        <w:bottom w:val="none" w:sz="0" w:space="0" w:color="auto"/>
        <w:right w:val="none" w:sz="0" w:space="0" w:color="auto"/>
      </w:divBdr>
    </w:div>
    <w:div w:id="1335841355">
      <w:bodyDiv w:val="1"/>
      <w:marLeft w:val="0"/>
      <w:marRight w:val="0"/>
      <w:marTop w:val="0"/>
      <w:marBottom w:val="0"/>
      <w:divBdr>
        <w:top w:val="none" w:sz="0" w:space="0" w:color="auto"/>
        <w:left w:val="none" w:sz="0" w:space="0" w:color="auto"/>
        <w:bottom w:val="none" w:sz="0" w:space="0" w:color="auto"/>
        <w:right w:val="none" w:sz="0" w:space="0" w:color="auto"/>
      </w:divBdr>
    </w:div>
    <w:div w:id="1383212988">
      <w:bodyDiv w:val="1"/>
      <w:marLeft w:val="0"/>
      <w:marRight w:val="0"/>
      <w:marTop w:val="0"/>
      <w:marBottom w:val="0"/>
      <w:divBdr>
        <w:top w:val="none" w:sz="0" w:space="0" w:color="auto"/>
        <w:left w:val="none" w:sz="0" w:space="0" w:color="auto"/>
        <w:bottom w:val="none" w:sz="0" w:space="0" w:color="auto"/>
        <w:right w:val="none" w:sz="0" w:space="0" w:color="auto"/>
      </w:divBdr>
    </w:div>
    <w:div w:id="1402144903">
      <w:bodyDiv w:val="1"/>
      <w:marLeft w:val="0"/>
      <w:marRight w:val="0"/>
      <w:marTop w:val="0"/>
      <w:marBottom w:val="0"/>
      <w:divBdr>
        <w:top w:val="none" w:sz="0" w:space="0" w:color="auto"/>
        <w:left w:val="none" w:sz="0" w:space="0" w:color="auto"/>
        <w:bottom w:val="none" w:sz="0" w:space="0" w:color="auto"/>
        <w:right w:val="none" w:sz="0" w:space="0" w:color="auto"/>
      </w:divBdr>
    </w:div>
    <w:div w:id="1484196160">
      <w:bodyDiv w:val="1"/>
      <w:marLeft w:val="0"/>
      <w:marRight w:val="0"/>
      <w:marTop w:val="0"/>
      <w:marBottom w:val="0"/>
      <w:divBdr>
        <w:top w:val="none" w:sz="0" w:space="0" w:color="auto"/>
        <w:left w:val="none" w:sz="0" w:space="0" w:color="auto"/>
        <w:bottom w:val="none" w:sz="0" w:space="0" w:color="auto"/>
        <w:right w:val="none" w:sz="0" w:space="0" w:color="auto"/>
      </w:divBdr>
    </w:div>
    <w:div w:id="1579746270">
      <w:bodyDiv w:val="1"/>
      <w:marLeft w:val="0"/>
      <w:marRight w:val="0"/>
      <w:marTop w:val="0"/>
      <w:marBottom w:val="0"/>
      <w:divBdr>
        <w:top w:val="none" w:sz="0" w:space="0" w:color="auto"/>
        <w:left w:val="none" w:sz="0" w:space="0" w:color="auto"/>
        <w:bottom w:val="none" w:sz="0" w:space="0" w:color="auto"/>
        <w:right w:val="none" w:sz="0" w:space="0" w:color="auto"/>
      </w:divBdr>
    </w:div>
    <w:div w:id="1595167506">
      <w:bodyDiv w:val="1"/>
      <w:marLeft w:val="0"/>
      <w:marRight w:val="0"/>
      <w:marTop w:val="0"/>
      <w:marBottom w:val="0"/>
      <w:divBdr>
        <w:top w:val="none" w:sz="0" w:space="0" w:color="auto"/>
        <w:left w:val="none" w:sz="0" w:space="0" w:color="auto"/>
        <w:bottom w:val="none" w:sz="0" w:space="0" w:color="auto"/>
        <w:right w:val="none" w:sz="0" w:space="0" w:color="auto"/>
      </w:divBdr>
    </w:div>
    <w:div w:id="1631740924">
      <w:bodyDiv w:val="1"/>
      <w:marLeft w:val="0"/>
      <w:marRight w:val="0"/>
      <w:marTop w:val="0"/>
      <w:marBottom w:val="0"/>
      <w:divBdr>
        <w:top w:val="none" w:sz="0" w:space="0" w:color="auto"/>
        <w:left w:val="none" w:sz="0" w:space="0" w:color="auto"/>
        <w:bottom w:val="none" w:sz="0" w:space="0" w:color="auto"/>
        <w:right w:val="none" w:sz="0" w:space="0" w:color="auto"/>
      </w:divBdr>
    </w:div>
    <w:div w:id="1927496333">
      <w:bodyDiv w:val="1"/>
      <w:marLeft w:val="0"/>
      <w:marRight w:val="0"/>
      <w:marTop w:val="0"/>
      <w:marBottom w:val="0"/>
      <w:divBdr>
        <w:top w:val="none" w:sz="0" w:space="0" w:color="auto"/>
        <w:left w:val="none" w:sz="0" w:space="0" w:color="auto"/>
        <w:bottom w:val="none" w:sz="0" w:space="0" w:color="auto"/>
        <w:right w:val="none" w:sz="0" w:space="0" w:color="auto"/>
      </w:divBdr>
    </w:div>
    <w:div w:id="209369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www.ema.europa.eu"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mailto:medinfo@kyowakirin.com"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mailto:medinfo@kyowakirin.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ema.europa.eu/docs/en_GB/document_library/Template_or_form/2013/03/WC500139752.do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0ac2e3cc-46bd-4320-b2ac-d7f7d167e1a9">
      <UserInfo>
        <DisplayName>Monica Sandberg</DisplayName>
        <AccountId>187</AccountId>
        <AccountType/>
      </UserInfo>
      <UserInfo>
        <DisplayName>Cynthia Rich</DisplayName>
        <AccountId>74</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A0B45B1-31F6-41F4-991B-3090B1D1433C}"/>
</file>

<file path=customXml/itemProps2.xml><?xml version="1.0" encoding="utf-8"?>
<ds:datastoreItem xmlns:ds="http://schemas.openxmlformats.org/officeDocument/2006/customXml" ds:itemID="{1EF91E16-A5D2-4BEF-9FA9-08FC730BE457}">
  <ds:schemaRefs>
    <ds:schemaRef ds:uri="http://purl.org/dc/terms/"/>
    <ds:schemaRef ds:uri="http://schemas.openxmlformats.org/package/2006/metadata/core-properties"/>
    <ds:schemaRef ds:uri="http://schemas.microsoft.com/office/2006/documentManagement/types"/>
    <ds:schemaRef ds:uri="84e43d3e-f2aa-4bb3-a207-a860311d271e"/>
    <ds:schemaRef ds:uri="http://purl.org/dc/elements/1.1/"/>
    <ds:schemaRef ds:uri="http://schemas.microsoft.com/office/2006/metadata/properties"/>
    <ds:schemaRef ds:uri="http://schemas.microsoft.com/office/infopath/2007/PartnerControls"/>
    <ds:schemaRef ds:uri="cb319915-14eb-4587-a68d-f1d1f76788e6"/>
    <ds:schemaRef ds:uri="http://www.w3.org/XML/1998/namespace"/>
    <ds:schemaRef ds:uri="http://purl.org/dc/dcmitype/"/>
  </ds:schemaRefs>
</ds:datastoreItem>
</file>

<file path=customXml/itemProps3.xml><?xml version="1.0" encoding="utf-8"?>
<ds:datastoreItem xmlns:ds="http://schemas.openxmlformats.org/officeDocument/2006/customXml" ds:itemID="{C72CFA6E-7563-430A-9447-AD756D0511A0}">
  <ds:schemaRefs>
    <ds:schemaRef ds:uri="http://schemas.microsoft.com/sharepoint/v3/contenttype/forms"/>
  </ds:schemaRefs>
</ds:datastoreItem>
</file>

<file path=customXml/itemProps4.xml><?xml version="1.0" encoding="utf-8"?>
<ds:datastoreItem xmlns:ds="http://schemas.openxmlformats.org/officeDocument/2006/customXml" ds:itemID="{F778927D-95B9-4F16-B22A-D5C495CDD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41</Pages>
  <Words>9321</Words>
  <Characters>52697</Characters>
  <Application>Microsoft Office Word</Application>
  <DocSecurity>0</DocSecurity>
  <Lines>439</Lines>
  <Paragraphs>123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Crysvita, INN-burosumab;</vt:lpstr>
      <vt:lpstr>Crysvita, INN-burosumab;</vt:lpstr>
    </vt:vector>
  </TitlesOfParts>
  <Company>HP</Company>
  <LinksUpToDate>false</LinksUpToDate>
  <CharactersWithSpaces>61895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Crysvita, INN-burosumab;</dc:title>
  <dc:subject>EPAR</dc:subject>
  <dc:creator>CHMP</dc:creator>
  <cp:keywords>Crysvita, INN-burosumab</cp:keywords>
  <cp:lastModifiedBy>Anvita Bhonsle</cp:lastModifiedBy>
  <cp:revision>3</cp:revision>
  <cp:lastPrinted>2019-03-27T15:39:00Z</cp:lastPrinted>
  <dcterms:created xsi:type="dcterms:W3CDTF">2020-07-20T11:14:00Z</dcterms:created>
  <dcterms:modified xsi:type="dcterms:W3CDTF">2020-07-20T11:15:00Z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0x010100726F91DD1AE57B44B1BCEB7F1056F5D0</vt:lpwstr>
  </property>
  <property fmtid="{D5CDD505-2E9C-101B-9397-08002B2CF9AE}" pid="3" name="DM_Author">
    <vt:lpwstr/>
  </property>
  <property fmtid="{D5CDD505-2E9C-101B-9397-08002B2CF9AE}" pid="4" name="DM_Authors">
    <vt:lpwstr/>
  </property>
  <property fmtid="{D5CDD505-2E9C-101B-9397-08002B2CF9AE}" pid="5" name="DM_Category">
    <vt:lpwstr>Product Information</vt:lpwstr>
  </property>
  <property fmtid="{D5CDD505-2E9C-101B-9397-08002B2CF9AE}" pid="6" name="DM_Creation_Date">
    <vt:lpwstr>14/10/2019 16:16:09</vt:lpwstr>
  </property>
  <property fmtid="{D5CDD505-2E9C-101B-9397-08002B2CF9AE}" pid="7" name="DM_Creator_Name">
    <vt:lpwstr>Albakri Lina</vt:lpwstr>
  </property>
  <property fmtid="{D5CDD505-2E9C-101B-9397-08002B2CF9AE}" pid="8" name="DM_DocRefId">
    <vt:lpwstr>EMA/562500/2019</vt:lpwstr>
  </property>
  <property fmtid="{D5CDD505-2E9C-101B-9397-08002B2CF9AE}" pid="9" name="DM_emea_bcc">
    <vt:lpwstr/>
  </property>
  <property fmtid="{D5CDD505-2E9C-101B-9397-08002B2CF9AE}" pid="10" name="DM_emea_cc">
    <vt:lpwstr/>
  </property>
  <property fmtid="{D5CDD505-2E9C-101B-9397-08002B2CF9AE}" pid="11" name="DM_emea_doc_category">
    <vt:lpwstr>General</vt:lpwstr>
  </property>
  <property fmtid="{D5CDD505-2E9C-101B-9397-08002B2CF9AE}" pid="12" name="DM_emea_doc_lang">
    <vt:lpwstr/>
  </property>
  <property fmtid="{D5CDD505-2E9C-101B-9397-08002B2CF9AE}" pid="13" name="DM_emea_doc_number">
    <vt:lpwstr>423415</vt:lpwstr>
  </property>
  <property fmtid="{D5CDD505-2E9C-101B-9397-08002B2CF9AE}" pid="14" name="DM_emea_doc_ref_id">
    <vt:lpwstr>EMA/562500/2019</vt:lpwstr>
  </property>
  <property fmtid="{D5CDD505-2E9C-101B-9397-08002B2CF9AE}" pid="15" name="DM_emea_from">
    <vt:lpwstr/>
  </property>
  <property fmtid="{D5CDD505-2E9C-101B-9397-08002B2CF9AE}" pid="16" name="DM_emea_internal_label">
    <vt:lpwstr>EMA</vt:lpwstr>
  </property>
  <property fmtid="{D5CDD505-2E9C-101B-9397-08002B2CF9AE}" pid="17" name="DM_emea_legal_date">
    <vt:lpwstr>nulldate</vt:lpwstr>
  </property>
  <property fmtid="{D5CDD505-2E9C-101B-9397-08002B2CF9AE}" pid="18" name="DM_emea_meeting_action">
    <vt:lpwstr/>
  </property>
  <property fmtid="{D5CDD505-2E9C-101B-9397-08002B2CF9AE}" pid="19" name="DM_emea_meeting_flags">
    <vt:lpwstr/>
  </property>
  <property fmtid="{D5CDD505-2E9C-101B-9397-08002B2CF9AE}" pid="20" name="DM_emea_meeting_hyperlink">
    <vt:lpwstr/>
  </property>
  <property fmtid="{D5CDD505-2E9C-101B-9397-08002B2CF9AE}" pid="21" name="DM_emea_meeting_ref">
    <vt:lpwstr/>
  </property>
  <property fmtid="{D5CDD505-2E9C-101B-9397-08002B2CF9AE}" pid="22" name="DM_emea_meeting_status">
    <vt:lpwstr/>
  </property>
  <property fmtid="{D5CDD505-2E9C-101B-9397-08002B2CF9AE}" pid="23" name="DM_emea_meeting_title">
    <vt:lpwstr/>
  </property>
  <property fmtid="{D5CDD505-2E9C-101B-9397-08002B2CF9AE}" pid="24" name="DM_emea_message_subject">
    <vt:lpwstr/>
  </property>
  <property fmtid="{D5CDD505-2E9C-101B-9397-08002B2CF9AE}" pid="25" name="DM_emea_received_date">
    <vt:lpwstr>nulldate</vt:lpwstr>
  </property>
  <property fmtid="{D5CDD505-2E9C-101B-9397-08002B2CF9AE}" pid="26" name="DM_emea_resp_body">
    <vt:lpwstr/>
  </property>
  <property fmtid="{D5CDD505-2E9C-101B-9397-08002B2CF9AE}" pid="27" name="DM_emea_revision_label">
    <vt:lpwstr/>
  </property>
  <property fmtid="{D5CDD505-2E9C-101B-9397-08002B2CF9AE}" pid="28" name="DM_emea_sent_date">
    <vt:lpwstr>nulldate</vt:lpwstr>
  </property>
  <property fmtid="{D5CDD505-2E9C-101B-9397-08002B2CF9AE}" pid="29" name="DM_emea_to">
    <vt:lpwstr/>
  </property>
  <property fmtid="{D5CDD505-2E9C-101B-9397-08002B2CF9AE}" pid="30" name="DM_emea_year">
    <vt:lpwstr>2010</vt:lpwstr>
  </property>
  <property fmtid="{D5CDD505-2E9C-101B-9397-08002B2CF9AE}" pid="31" name="DM_Keywords">
    <vt:lpwstr/>
  </property>
  <property fmtid="{D5CDD505-2E9C-101B-9397-08002B2CF9AE}" pid="32" name="DM_Language">
    <vt:lpwstr/>
  </property>
  <property fmtid="{D5CDD505-2E9C-101B-9397-08002B2CF9AE}" pid="33" name="DM_Modifer_Name">
    <vt:lpwstr>Kapralova Daniela</vt:lpwstr>
  </property>
  <property fmtid="{D5CDD505-2E9C-101B-9397-08002B2CF9AE}" pid="34" name="DM_Modified_Date">
    <vt:lpwstr>14/10/2019 18:28:05</vt:lpwstr>
  </property>
  <property fmtid="{D5CDD505-2E9C-101B-9397-08002B2CF9AE}" pid="35" name="DM_Modifier_Name">
    <vt:lpwstr>Kapralova Daniela</vt:lpwstr>
  </property>
  <property fmtid="{D5CDD505-2E9C-101B-9397-08002B2CF9AE}" pid="36" name="DM_Modify_Date">
    <vt:lpwstr>14/10/2019 18:28:05</vt:lpwstr>
  </property>
  <property fmtid="{D5CDD505-2E9C-101B-9397-08002B2CF9AE}" pid="37" name="DM_Name">
    <vt:lpwstr>Crysvita II-04 - EN PI track changes</vt:lpwstr>
  </property>
  <property fmtid="{D5CDD505-2E9C-101B-9397-08002B2CF9AE}" pid="38" name="DM_Owner">
    <vt:lpwstr>Espinasse Claire</vt:lpwstr>
  </property>
  <property fmtid="{D5CDD505-2E9C-101B-9397-08002B2CF9AE}" pid="39" name="DM_Path">
    <vt:lpwstr>/01. Evaluation of Medicines/H-C/A-C/Crysvita (Bunesumab) - 004275/05 Post Authorisation/Post Activities/2019-xx-xx-4275-II-0004-I-IIIB/03. Opinion</vt:lpwstr>
  </property>
  <property fmtid="{D5CDD505-2E9C-101B-9397-08002B2CF9AE}" pid="40" name="DM_Status">
    <vt:lpwstr/>
  </property>
  <property fmtid="{D5CDD505-2E9C-101B-9397-08002B2CF9AE}" pid="41" name="DM_Subject">
    <vt:lpwstr/>
  </property>
  <property fmtid="{D5CDD505-2E9C-101B-9397-08002B2CF9AE}" pid="42" name="DM_Title">
    <vt:lpwstr/>
  </property>
  <property fmtid="{D5CDD505-2E9C-101B-9397-08002B2CF9AE}" pid="43" name="DM_Type">
    <vt:lpwstr>emea_document</vt:lpwstr>
  </property>
  <property fmtid="{D5CDD505-2E9C-101B-9397-08002B2CF9AE}" pid="44" name="DM_Version">
    <vt:lpwstr>1.0,CURRENT</vt:lpwstr>
  </property>
  <property fmtid="{D5CDD505-2E9C-101B-9397-08002B2CF9AE}" pid="45" name="SharedWithUsers">
    <vt:lpwstr>187;#Monica Sandberg;#74;#Cynthia Rich</vt:lpwstr>
  </property>
  <property fmtid="{D5CDD505-2E9C-101B-9397-08002B2CF9AE}" pid="46" name="MC_CF_RA Language">
    <vt:lpwstr>English</vt:lpwstr>
  </property>
  <property fmtid="{D5CDD505-2E9C-101B-9397-08002B2CF9AE}" pid="47" name="MC_EffectiveDate">
    <vt:lpwstr/>
  </property>
  <property fmtid="{D5CDD505-2E9C-101B-9397-08002B2CF9AE}" pid="48" name="MC_ReleaseDate">
    <vt:lpwstr/>
  </property>
  <property fmtid="{D5CDD505-2E9C-101B-9397-08002B2CF9AE}" pid="49" name="MC_Revision">
    <vt:lpwstr>16</vt:lpwstr>
  </property>
  <property fmtid="{D5CDD505-2E9C-101B-9397-08002B2CF9AE}" pid="50" name="MC_ExpirationDate">
    <vt:lpwstr/>
  </property>
  <property fmtid="{D5CDD505-2E9C-101B-9397-08002B2CF9AE}" pid="51" name="MC_CF_API">
    <vt:lpwstr>Burosumab</vt:lpwstr>
  </property>
  <property fmtid="{D5CDD505-2E9C-101B-9397-08002B2CF9AE}" pid="52" name="MC_CreatedDate">
    <vt:lpwstr>30 Jun 2020</vt:lpwstr>
  </property>
  <property fmtid="{D5CDD505-2E9C-101B-9397-08002B2CF9AE}" pid="53" name="MC_Status">
    <vt:lpwstr>Draft</vt:lpwstr>
  </property>
  <property fmtid="{D5CDD505-2E9C-101B-9397-08002B2CF9AE}" pid="54" name="MC_NextReviewDate">
    <vt:lpwstr/>
  </property>
  <property fmtid="{D5CDD505-2E9C-101B-9397-08002B2CF9AE}" pid="55" name="MC_Owner">
    <vt:lpwstr>ANDREA.MCLACHLAN</vt:lpwstr>
  </property>
  <property fmtid="{D5CDD505-2E9C-101B-9397-08002B2CF9AE}" pid="56" name="MC_Title">
    <vt:lpwstr>Burosumab sol for inj (Crysvita) CPPI English</vt:lpwstr>
  </property>
  <property fmtid="{D5CDD505-2E9C-101B-9397-08002B2CF9AE}" pid="57" name="MC_Notes">
    <vt:lpwstr/>
  </property>
  <property fmtid="{D5CDD505-2E9C-101B-9397-08002B2CF9AE}" pid="58" name="MC_Number">
    <vt:lpwstr>RA-CPPI-0085</vt:lpwstr>
  </property>
  <property fmtid="{D5CDD505-2E9C-101B-9397-08002B2CF9AE}" pid="59" name="MC_Author">
    <vt:lpwstr>ANDREA.MCLACHLAN</vt:lpwstr>
  </property>
  <property fmtid="{D5CDD505-2E9C-101B-9397-08002B2CF9AE}" pid="60" name="MC_Vault">
    <vt:lpwstr>Regulatory Draft</vt:lpwstr>
  </property>
</Properties>
</file>