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customXml/item1.xml" ContentType="application/xml"/>
  <Override PartName="/customXml/item10.xml" ContentType="application/xml"/>
  <Override PartName="/customXml/item11.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6.xml" ContentType="application/xml"/>
  <Override PartName="/customXml/item7.xml" ContentType="application/xml"/>
  <Override PartName="/customXml/item8.xml" ContentType="application/xml"/>
  <Override PartName="/customXml/item9.xml" ContentType="application/xml"/>
  <Override PartName="/customXml/itemProps1.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customXml/itemProps12.xml" ContentType="application/vnd.openxmlformats-officedocument.customXml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0 -->
  <w:body>
    <w:p w:rsidR="008D43BD" w:rsidRPr="009F39F6" w:rsidP="008D43BD">
      <w:pPr>
        <w:widowControl w:val="0"/>
        <w:rPr>
          <w:i/>
          <w:szCs w:val="22"/>
        </w:rPr>
      </w:pPr>
    </w:p>
    <w:p w:rsidR="008D43BD" w:rsidRPr="00123D7D" w:rsidP="008D43BD">
      <w:pPr>
        <w:rPr>
          <w:szCs w:val="22"/>
        </w:rPr>
      </w:pPr>
    </w:p>
    <w:p w:rsidR="008D43BD" w:rsidRPr="00123D7D" w:rsidP="008D43BD">
      <w:pPr>
        <w:rPr>
          <w:szCs w:val="22"/>
        </w:rPr>
      </w:pPr>
    </w:p>
    <w:p w:rsidR="008D43BD" w:rsidRPr="00123D7D" w:rsidP="008D43BD">
      <w:pPr>
        <w:rPr>
          <w:szCs w:val="22"/>
        </w:rPr>
      </w:pPr>
    </w:p>
    <w:p w:rsidR="008D43BD" w:rsidRPr="00123D7D" w:rsidP="008D43BD">
      <w:pPr>
        <w:rPr>
          <w:szCs w:val="22"/>
        </w:rPr>
      </w:pPr>
    </w:p>
    <w:p w:rsidR="008D43BD" w:rsidRPr="00123D7D" w:rsidP="008D43BD">
      <w:pPr>
        <w:rPr>
          <w:szCs w:val="22"/>
        </w:rPr>
      </w:pPr>
    </w:p>
    <w:p w:rsidR="008D43BD" w:rsidRPr="00123D7D" w:rsidP="008D43BD">
      <w:pPr>
        <w:rPr>
          <w:szCs w:val="22"/>
        </w:rPr>
      </w:pPr>
    </w:p>
    <w:p w:rsidR="008D43BD" w:rsidRPr="00123D7D" w:rsidP="008D43BD">
      <w:pPr>
        <w:rPr>
          <w:szCs w:val="22"/>
        </w:rPr>
      </w:pPr>
    </w:p>
    <w:p w:rsidR="008D43BD" w:rsidRPr="00123D7D" w:rsidP="008D43BD">
      <w:pPr>
        <w:rPr>
          <w:szCs w:val="22"/>
        </w:rPr>
      </w:pPr>
    </w:p>
    <w:p w:rsidR="008D43BD" w:rsidRPr="00123D7D" w:rsidP="008D43BD">
      <w:pPr>
        <w:rPr>
          <w:szCs w:val="22"/>
        </w:rPr>
      </w:pPr>
    </w:p>
    <w:p w:rsidR="008D43BD" w:rsidRPr="00123D7D" w:rsidP="008D43BD">
      <w:pPr>
        <w:rPr>
          <w:szCs w:val="22"/>
        </w:rPr>
      </w:pPr>
    </w:p>
    <w:p w:rsidR="00F409D5" w:rsidRPr="00F409D5" w:rsidP="008D43BD">
      <w:pPr>
        <w:rPr>
          <w:b/>
        </w:rPr>
      </w:pPr>
    </w:p>
    <w:p w:rsidR="00F409D5" w:rsidP="00F459D2">
      <w:pPr>
        <w:ind w:left="720"/>
      </w:pPr>
      <w:r>
        <w:t xml:space="preserve"> </w:t>
      </w:r>
    </w:p>
    <w:p w:rsidR="00F409D5" w:rsidP="00F459D2">
      <w:pPr>
        <w:ind w:left="720"/>
      </w:pPr>
    </w:p>
    <w:p w:rsidR="008D43BD" w:rsidRPr="00123D7D" w:rsidP="00F459D2">
      <w:pPr>
        <w:ind w:left="720"/>
        <w:rPr>
          <w:szCs w:val="22"/>
        </w:rPr>
      </w:pPr>
    </w:p>
    <w:p w:rsidR="008D43BD" w:rsidRPr="00123D7D" w:rsidP="008D43BD">
      <w:pPr>
        <w:rPr>
          <w:szCs w:val="22"/>
        </w:rPr>
      </w:pPr>
    </w:p>
    <w:p w:rsidR="008D43BD" w:rsidRPr="00123D7D" w:rsidP="008D43BD">
      <w:pPr>
        <w:rPr>
          <w:szCs w:val="22"/>
        </w:rPr>
      </w:pPr>
    </w:p>
    <w:p w:rsidR="008D43BD" w:rsidRPr="00123D7D" w:rsidP="008D43BD">
      <w:pPr>
        <w:rPr>
          <w:szCs w:val="22"/>
        </w:rPr>
      </w:pPr>
    </w:p>
    <w:p w:rsidR="008D43BD" w:rsidRPr="00123D7D" w:rsidP="008D43BD">
      <w:pPr>
        <w:rPr>
          <w:szCs w:val="22"/>
        </w:rPr>
      </w:pPr>
    </w:p>
    <w:p w:rsidR="008D43BD" w:rsidRPr="00123D7D" w:rsidP="008D43BD">
      <w:pPr>
        <w:rPr>
          <w:szCs w:val="22"/>
        </w:rPr>
      </w:pPr>
    </w:p>
    <w:p w:rsidR="008D43BD" w:rsidRPr="00123D7D" w:rsidP="008D43BD">
      <w:pPr>
        <w:rPr>
          <w:szCs w:val="22"/>
        </w:rPr>
      </w:pPr>
    </w:p>
    <w:p w:rsidR="008D43BD" w:rsidRPr="00123D7D" w:rsidP="008D43BD">
      <w:pPr>
        <w:rPr>
          <w:szCs w:val="22"/>
        </w:rPr>
      </w:pPr>
    </w:p>
    <w:p w:rsidR="008D43BD" w:rsidRPr="00123D7D" w:rsidP="008D43BD">
      <w:pPr>
        <w:rPr>
          <w:szCs w:val="22"/>
        </w:rPr>
      </w:pPr>
    </w:p>
    <w:p w:rsidR="008D43BD" w:rsidRPr="00123D7D" w:rsidP="008D43BD">
      <w:pPr>
        <w:rPr>
          <w:szCs w:val="22"/>
        </w:rPr>
      </w:pPr>
    </w:p>
    <w:p w:rsidR="008D43BD" w:rsidRPr="00123D7D" w:rsidP="008D43BD">
      <w:pPr>
        <w:rPr>
          <w:szCs w:val="22"/>
        </w:rPr>
      </w:pPr>
    </w:p>
    <w:p w:rsidR="008D43BD" w:rsidRPr="00123D7D" w:rsidP="008D43BD">
      <w:pPr>
        <w:rPr>
          <w:szCs w:val="22"/>
        </w:rPr>
      </w:pPr>
    </w:p>
    <w:p w:rsidR="008D43BD" w:rsidRPr="00A30921" w:rsidP="008D43BD">
      <w:pPr>
        <w:tabs>
          <w:tab w:val="left" w:pos="-1440"/>
          <w:tab w:val="left" w:pos="-720"/>
        </w:tabs>
        <w:jc w:val="center"/>
        <w:rPr>
          <w:b/>
          <w:szCs w:val="22"/>
        </w:rPr>
      </w:pPr>
      <w:r w:rsidRPr="00A30921" w:rsidR="00A4080A">
        <w:rPr>
          <w:b/>
          <w:szCs w:val="22"/>
        </w:rPr>
        <w:t>ANNEX I</w:t>
      </w:r>
    </w:p>
    <w:p w:rsidR="008D43BD" w:rsidRPr="00A30921" w:rsidP="008D43BD">
      <w:pPr>
        <w:tabs>
          <w:tab w:val="left" w:pos="-1440"/>
          <w:tab w:val="left" w:pos="-720"/>
        </w:tabs>
        <w:jc w:val="center"/>
        <w:rPr>
          <w:szCs w:val="22"/>
        </w:rPr>
      </w:pPr>
    </w:p>
    <w:p w:rsidR="008D43BD" w:rsidRPr="00A30921" w:rsidP="008D43BD">
      <w:pPr>
        <w:pStyle w:val="Annex"/>
        <w:rPr>
          <w:szCs w:val="22"/>
        </w:rPr>
      </w:pPr>
      <w:r w:rsidRPr="00A30921" w:rsidR="00A4080A">
        <w:rPr>
          <w:szCs w:val="22"/>
        </w:rPr>
        <w:t>SUMMARY OF PRODUCT CHARACTERISTICS</w:t>
      </w:r>
    </w:p>
    <w:p w:rsidR="008D43BD" w:rsidRPr="00A30921" w:rsidP="008D43BD">
      <w:pPr>
        <w:tabs>
          <w:tab w:val="left" w:pos="-1440"/>
          <w:tab w:val="left" w:pos="-720"/>
        </w:tabs>
        <w:jc w:val="center"/>
        <w:rPr>
          <w:szCs w:val="22"/>
        </w:rPr>
      </w:pPr>
    </w:p>
    <w:p w:rsidR="008D43BD" w:rsidRPr="00CF5B1D" w:rsidP="008D43BD">
      <w:pPr>
        <w:rPr>
          <w:szCs w:val="22"/>
        </w:rPr>
      </w:pPr>
      <w:r w:rsidRPr="00A30921" w:rsidR="00A4080A">
        <w:rPr>
          <w:color w:val="008000"/>
          <w:szCs w:val="22"/>
        </w:rPr>
        <w:br w:type="page"/>
      </w:r>
      <w:r w:rsidRPr="00A30921" w:rsidR="00A4080A">
        <w:rPr>
          <w:szCs w:val="22"/>
        </w:rPr>
        <w:t xml:space="preserve"> </w:t>
      </w:r>
    </w:p>
    <w:p w:rsidR="008D43BD" w:rsidRPr="00CF5B1D" w:rsidP="008D43BD">
      <w:pPr>
        <w:widowControl w:val="0"/>
        <w:ind w:left="567" w:hanging="567"/>
        <w:rPr>
          <w:szCs w:val="22"/>
        </w:rPr>
      </w:pPr>
    </w:p>
    <w:p w:rsidR="008D43BD" w:rsidRPr="00A30921" w:rsidP="008D43BD">
      <w:pPr>
        <w:widowControl w:val="0"/>
        <w:ind w:left="567" w:hanging="567"/>
        <w:rPr>
          <w:b/>
          <w:szCs w:val="22"/>
        </w:rPr>
      </w:pPr>
      <w:r w:rsidRPr="00A30921" w:rsidR="00A4080A">
        <w:rPr>
          <w:b/>
          <w:szCs w:val="22"/>
        </w:rPr>
        <w:t>1.</w:t>
        <w:tab/>
        <w:t>NAME OF THE MEDICINAL PRODUCT</w:t>
      </w:r>
    </w:p>
    <w:p w:rsidR="008D43BD" w:rsidRPr="00A30921" w:rsidP="008D43BD">
      <w:pPr>
        <w:rPr>
          <w:szCs w:val="22"/>
        </w:rPr>
      </w:pPr>
    </w:p>
    <w:p w:rsidR="008D43BD" w:rsidRPr="00A30921" w:rsidP="008D43BD">
      <w:pPr>
        <w:rPr>
          <w:szCs w:val="22"/>
        </w:rPr>
      </w:pPr>
      <w:r w:rsidRPr="00A30921" w:rsidR="00A4080A">
        <w:rPr>
          <w:szCs w:val="22"/>
        </w:rPr>
        <w:t>Kadcyla 100 mg powder for concentrate for solution for infusion.</w:t>
      </w:r>
    </w:p>
    <w:p w:rsidR="008D43BD" w:rsidRPr="00A30921" w:rsidP="008D43BD">
      <w:pPr>
        <w:rPr>
          <w:szCs w:val="22"/>
        </w:rPr>
      </w:pPr>
      <w:r w:rsidRPr="00CF5B1D" w:rsidR="00A4080A">
        <w:rPr>
          <w:szCs w:val="22"/>
        </w:rPr>
        <w:t>Kadcyla 160 mg powder for concentrate for solution for infusion.</w:t>
      </w:r>
    </w:p>
    <w:p w:rsidR="008D43BD" w:rsidRPr="00A30921" w:rsidP="008D43BD">
      <w:pPr>
        <w:rPr>
          <w:szCs w:val="22"/>
        </w:rPr>
      </w:pPr>
    </w:p>
    <w:p w:rsidR="008D43BD" w:rsidRPr="00A30921" w:rsidP="008D43BD">
      <w:pPr>
        <w:rPr>
          <w:szCs w:val="22"/>
        </w:rPr>
      </w:pPr>
    </w:p>
    <w:p w:rsidR="008D43BD" w:rsidRPr="00A30921" w:rsidP="008D43BD">
      <w:pPr>
        <w:widowControl w:val="0"/>
        <w:ind w:left="567" w:hanging="567"/>
        <w:rPr>
          <w:szCs w:val="22"/>
        </w:rPr>
      </w:pPr>
      <w:r w:rsidRPr="00A30921" w:rsidR="00A4080A">
        <w:rPr>
          <w:b/>
          <w:szCs w:val="22"/>
        </w:rPr>
        <w:t>2.</w:t>
        <w:tab/>
        <w:t>QUALITATIVE AND QUANTITATIVE COMPOSITION</w:t>
      </w:r>
    </w:p>
    <w:p w:rsidR="008D43BD" w:rsidRPr="00A30921" w:rsidP="008D43BD">
      <w:pPr>
        <w:rPr>
          <w:szCs w:val="22"/>
        </w:rPr>
      </w:pPr>
    </w:p>
    <w:p w:rsidR="008D43BD" w:rsidRPr="00405F86" w:rsidP="008D43BD">
      <w:pPr>
        <w:rPr>
          <w:szCs w:val="22"/>
          <w:u w:val="single"/>
        </w:rPr>
      </w:pPr>
      <w:r w:rsidRPr="00405F86" w:rsidR="00A4080A">
        <w:rPr>
          <w:szCs w:val="22"/>
          <w:u w:val="single"/>
        </w:rPr>
        <w:t>Kadcyla 100 mg powder for concentrate for solution for infusion</w:t>
      </w:r>
    </w:p>
    <w:p w:rsidR="008D43BD" w:rsidP="008D43BD">
      <w:pPr>
        <w:autoSpaceDE w:val="0"/>
        <w:autoSpaceDN w:val="0"/>
        <w:adjustRightInd w:val="0"/>
        <w:rPr>
          <w:szCs w:val="22"/>
        </w:rPr>
      </w:pPr>
      <w:r w:rsidRPr="00F143BC" w:rsidR="00A4080A">
        <w:rPr>
          <w:szCs w:val="22"/>
        </w:rPr>
        <w:t>One vial of powder for concentrate for solution for infusion contains 100 mg of trastuzumab emtansine. After reconstitution one vial of 5 mL solution contains 20 mg/mL of trastuzumab emtansine (see section 6.6).</w:t>
      </w:r>
    </w:p>
    <w:p w:rsidR="008D43BD" w:rsidRPr="00A30921" w:rsidP="008D43BD">
      <w:pPr>
        <w:autoSpaceDE w:val="0"/>
        <w:autoSpaceDN w:val="0"/>
        <w:adjustRightInd w:val="0"/>
        <w:rPr>
          <w:szCs w:val="22"/>
        </w:rPr>
      </w:pPr>
    </w:p>
    <w:p w:rsidR="008D43BD" w:rsidRPr="00405F86" w:rsidP="008D43BD">
      <w:pPr>
        <w:autoSpaceDE w:val="0"/>
        <w:autoSpaceDN w:val="0"/>
        <w:adjustRightInd w:val="0"/>
        <w:rPr>
          <w:szCs w:val="22"/>
          <w:u w:val="single"/>
        </w:rPr>
      </w:pPr>
      <w:r w:rsidRPr="00405F86" w:rsidR="00A4080A">
        <w:rPr>
          <w:szCs w:val="22"/>
          <w:u w:val="single"/>
        </w:rPr>
        <w:t>Kadcyla 160 mg powder for concentrate for solution for infusion</w:t>
      </w:r>
    </w:p>
    <w:p w:rsidR="008D43BD" w:rsidRPr="00A30921" w:rsidP="008D43BD">
      <w:pPr>
        <w:autoSpaceDE w:val="0"/>
        <w:autoSpaceDN w:val="0"/>
        <w:adjustRightInd w:val="0"/>
        <w:rPr>
          <w:szCs w:val="22"/>
        </w:rPr>
      </w:pPr>
      <w:r w:rsidRPr="00F143BC" w:rsidR="00A4080A">
        <w:rPr>
          <w:szCs w:val="22"/>
        </w:rPr>
        <w:t>One vial of powder for concentrate for solution for infusion contains 160 mg of trastuzumab emtansine. After reconstitution one vial of 8 mL solution contains 20 mg/mL of trastuzumab emtansine (see section 6.6).</w:t>
      </w:r>
    </w:p>
    <w:p w:rsidR="008D43BD" w:rsidRPr="00A30921" w:rsidP="008D43BD">
      <w:pPr>
        <w:autoSpaceDE w:val="0"/>
        <w:autoSpaceDN w:val="0"/>
        <w:adjustRightInd w:val="0"/>
        <w:rPr>
          <w:szCs w:val="22"/>
        </w:rPr>
      </w:pPr>
    </w:p>
    <w:p w:rsidR="008D43BD" w:rsidRPr="00A30921" w:rsidP="008D43BD">
      <w:pPr>
        <w:autoSpaceDE w:val="0"/>
        <w:autoSpaceDN w:val="0"/>
        <w:adjustRightInd w:val="0"/>
        <w:rPr>
          <w:szCs w:val="22"/>
        </w:rPr>
      </w:pPr>
      <w:r w:rsidRPr="00A30921" w:rsidR="00A4080A">
        <w:rPr>
          <w:szCs w:val="22"/>
        </w:rPr>
        <w:t>Trastuzumab emtansine is an antibody</w:t>
      </w:r>
      <w:r w:rsidRPr="00A30921" w:rsidR="00A4080A">
        <w:rPr>
          <w:szCs w:val="22"/>
        </w:rPr>
        <w:noBreakHyphen/>
        <w:t>drug conjugate that contains trastuzumab, a humanised IgG1 monoclonal antibody produced by mammalian (Chinese hamster ovary) cell suspension culture, covalently linked to DM1, a microtubule inhibitor, via the stable thioether linker MCC (4</w:t>
      </w:r>
      <w:r w:rsidRPr="00A30921" w:rsidR="00A4080A">
        <w:rPr>
          <w:szCs w:val="22"/>
        </w:rPr>
        <w:noBreakHyphen/>
        <w:t>[N</w:t>
      </w:r>
      <w:r w:rsidRPr="00A30921" w:rsidR="00A4080A">
        <w:rPr>
          <w:szCs w:val="22"/>
        </w:rPr>
        <w:noBreakHyphen/>
        <w:t>maleimidomethyl] cyclohexane</w:t>
      </w:r>
      <w:r w:rsidRPr="00A30921" w:rsidR="00A4080A">
        <w:rPr>
          <w:szCs w:val="22"/>
        </w:rPr>
        <w:noBreakHyphen/>
        <w:t>1</w:t>
      </w:r>
      <w:r w:rsidRPr="00A30921" w:rsidR="00A4080A">
        <w:rPr>
          <w:szCs w:val="22"/>
        </w:rPr>
        <w:noBreakHyphen/>
        <w:t>carboxylate).</w:t>
      </w:r>
    </w:p>
    <w:p w:rsidR="008D43BD" w:rsidRPr="00A30921" w:rsidP="008D43BD">
      <w:pPr>
        <w:rPr>
          <w:szCs w:val="22"/>
        </w:rPr>
      </w:pPr>
    </w:p>
    <w:p w:rsidR="008D43BD" w:rsidRPr="00A30921" w:rsidP="008D43BD">
      <w:pPr>
        <w:rPr>
          <w:szCs w:val="22"/>
        </w:rPr>
      </w:pPr>
      <w:r w:rsidRPr="00A30921" w:rsidR="00A4080A">
        <w:rPr>
          <w:szCs w:val="22"/>
        </w:rPr>
        <w:t>For the full list of excipients, see section 6.1.</w:t>
      </w:r>
    </w:p>
    <w:p w:rsidR="008D43BD" w:rsidRPr="00A30921" w:rsidP="008D43BD">
      <w:pPr>
        <w:rPr>
          <w:szCs w:val="22"/>
        </w:rPr>
      </w:pPr>
    </w:p>
    <w:p w:rsidR="008D43BD" w:rsidRPr="00A30921" w:rsidP="008D43BD">
      <w:pPr>
        <w:rPr>
          <w:szCs w:val="22"/>
        </w:rPr>
      </w:pPr>
    </w:p>
    <w:p w:rsidR="008D43BD" w:rsidRPr="00A30921" w:rsidP="008D43BD">
      <w:pPr>
        <w:ind w:left="567" w:hanging="567"/>
        <w:rPr>
          <w:caps/>
          <w:szCs w:val="22"/>
        </w:rPr>
      </w:pPr>
      <w:r w:rsidRPr="00A30921" w:rsidR="00A4080A">
        <w:rPr>
          <w:b/>
          <w:szCs w:val="22"/>
        </w:rPr>
        <w:t>3.</w:t>
        <w:tab/>
        <w:t>PHARMACEUTICAL FORM</w:t>
      </w:r>
    </w:p>
    <w:p w:rsidR="008D43BD" w:rsidRPr="00A30921" w:rsidP="008D43BD">
      <w:pPr>
        <w:rPr>
          <w:szCs w:val="22"/>
        </w:rPr>
      </w:pPr>
    </w:p>
    <w:p w:rsidR="008D43BD" w:rsidRPr="00A30921" w:rsidP="008D43BD">
      <w:pPr>
        <w:rPr>
          <w:szCs w:val="22"/>
        </w:rPr>
      </w:pPr>
      <w:r w:rsidRPr="00A30921" w:rsidR="00A4080A">
        <w:rPr>
          <w:szCs w:val="22"/>
        </w:rPr>
        <w:t>Powder for concentrate for solution for infusion.</w:t>
      </w:r>
    </w:p>
    <w:p w:rsidR="008D43BD" w:rsidRPr="00A30921" w:rsidP="008D43BD">
      <w:pPr>
        <w:rPr>
          <w:szCs w:val="22"/>
        </w:rPr>
      </w:pPr>
    </w:p>
    <w:p w:rsidR="008D43BD" w:rsidRPr="00A30921" w:rsidP="008D43BD">
      <w:pPr>
        <w:rPr>
          <w:szCs w:val="22"/>
        </w:rPr>
      </w:pPr>
      <w:r w:rsidRPr="00A30921" w:rsidR="00A4080A">
        <w:rPr>
          <w:szCs w:val="22"/>
        </w:rPr>
        <w:t>White to off</w:t>
      </w:r>
      <w:r w:rsidRPr="00A30921" w:rsidR="00A4080A">
        <w:rPr>
          <w:szCs w:val="22"/>
        </w:rPr>
        <w:noBreakHyphen/>
        <w:t>white lyophilised powder.</w:t>
      </w:r>
    </w:p>
    <w:p w:rsidR="008D43BD" w:rsidRPr="00A30921" w:rsidP="008D43BD">
      <w:pPr>
        <w:rPr>
          <w:szCs w:val="22"/>
        </w:rPr>
      </w:pPr>
    </w:p>
    <w:p w:rsidR="008D43BD" w:rsidRPr="00A30921" w:rsidP="008D43BD">
      <w:pPr>
        <w:rPr>
          <w:szCs w:val="22"/>
        </w:rPr>
      </w:pPr>
    </w:p>
    <w:p w:rsidR="008D43BD" w:rsidRPr="00A30921" w:rsidP="008D43BD">
      <w:pPr>
        <w:rPr>
          <w:b/>
          <w:szCs w:val="22"/>
        </w:rPr>
      </w:pPr>
      <w:r w:rsidRPr="00A30921" w:rsidR="00A4080A">
        <w:rPr>
          <w:b/>
          <w:caps/>
          <w:szCs w:val="22"/>
        </w:rPr>
        <w:t>4.</w:t>
        <w:tab/>
      </w:r>
      <w:r w:rsidRPr="00A30921" w:rsidR="00A4080A">
        <w:rPr>
          <w:b/>
          <w:szCs w:val="22"/>
        </w:rPr>
        <w:t>CLINICAL PARTICULARS</w:t>
      </w:r>
    </w:p>
    <w:p w:rsidR="008D43BD" w:rsidRPr="00A30921" w:rsidP="008D43BD">
      <w:pPr>
        <w:rPr>
          <w:szCs w:val="22"/>
        </w:rPr>
      </w:pPr>
    </w:p>
    <w:p w:rsidR="008D43BD" w:rsidRPr="00A30921" w:rsidP="008D43BD">
      <w:pPr>
        <w:ind w:left="567" w:hanging="567"/>
        <w:outlineLvl w:val="0"/>
        <w:rPr>
          <w:szCs w:val="22"/>
        </w:rPr>
      </w:pPr>
      <w:r w:rsidRPr="00A30921" w:rsidR="00A4080A">
        <w:rPr>
          <w:b/>
          <w:szCs w:val="22"/>
        </w:rPr>
        <w:t>4.1</w:t>
        <w:tab/>
        <w:t>Therapeutic indications</w:t>
      </w:r>
    </w:p>
    <w:p w:rsidR="008D43BD" w:rsidRPr="00A30921" w:rsidP="008D43BD">
      <w:pPr>
        <w:rPr>
          <w:szCs w:val="22"/>
        </w:rPr>
      </w:pPr>
    </w:p>
    <w:p w:rsidR="00D81C9D" w:rsidRPr="003168AE" w:rsidP="00D81C9D">
      <w:pPr>
        <w:rPr>
          <w:szCs w:val="22"/>
          <w:u w:val="single"/>
        </w:rPr>
      </w:pPr>
      <w:r w:rsidRPr="003168AE">
        <w:rPr>
          <w:szCs w:val="22"/>
          <w:u w:val="single"/>
        </w:rPr>
        <w:t>Early Breast Cancer (EBC)</w:t>
      </w:r>
    </w:p>
    <w:p w:rsidR="008D43BD" w:rsidP="00D81C9D">
      <w:pPr>
        <w:rPr>
          <w:szCs w:val="22"/>
        </w:rPr>
      </w:pPr>
      <w:r w:rsidRPr="003168AE" w:rsidR="00D81C9D">
        <w:rPr>
          <w:szCs w:val="22"/>
        </w:rPr>
        <w:t>Kadcyla, as a single agent, is indicated for the adjuvant treatment of adult patients with HER2-positive early breast cancer who have residual</w:t>
      </w:r>
      <w:r w:rsidRPr="003168AE" w:rsidR="00C62698">
        <w:rPr>
          <w:szCs w:val="22"/>
        </w:rPr>
        <w:t xml:space="preserve"> invasive</w:t>
      </w:r>
      <w:r w:rsidRPr="003168AE" w:rsidR="00D81C9D">
        <w:rPr>
          <w:szCs w:val="22"/>
        </w:rPr>
        <w:t xml:space="preserve"> disease</w:t>
      </w:r>
      <w:r w:rsidRPr="003168AE" w:rsidR="00A16005">
        <w:rPr>
          <w:szCs w:val="22"/>
        </w:rPr>
        <w:t>,</w:t>
      </w:r>
      <w:r w:rsidRPr="003168AE" w:rsidR="00D81C9D">
        <w:rPr>
          <w:szCs w:val="22"/>
        </w:rPr>
        <w:t xml:space="preserve"> in the breast and/or lymph nodes, after </w:t>
      </w:r>
      <w:r w:rsidRPr="003168AE" w:rsidR="000C1E78">
        <w:rPr>
          <w:szCs w:val="22"/>
        </w:rPr>
        <w:t>neoadjuvant taxane</w:t>
      </w:r>
      <w:r w:rsidRPr="003168AE" w:rsidR="00EB5CC5">
        <w:rPr>
          <w:szCs w:val="22"/>
        </w:rPr>
        <w:t>-</w:t>
      </w:r>
      <w:r w:rsidRPr="003168AE" w:rsidR="000F4BD8">
        <w:rPr>
          <w:szCs w:val="22"/>
        </w:rPr>
        <w:t>based</w:t>
      </w:r>
      <w:r w:rsidRPr="003168AE" w:rsidR="000C1E78">
        <w:rPr>
          <w:szCs w:val="22"/>
        </w:rPr>
        <w:t xml:space="preserve"> and</w:t>
      </w:r>
      <w:r w:rsidRPr="003168AE" w:rsidR="004D3A86">
        <w:rPr>
          <w:szCs w:val="22"/>
        </w:rPr>
        <w:t xml:space="preserve"> HER2</w:t>
      </w:r>
      <w:r w:rsidR="003168AE">
        <w:rPr>
          <w:szCs w:val="22"/>
        </w:rPr>
        <w:t>-</w:t>
      </w:r>
      <w:r w:rsidRPr="003168AE" w:rsidR="004D3A86">
        <w:rPr>
          <w:szCs w:val="22"/>
        </w:rPr>
        <w:t>targeted therapy</w:t>
      </w:r>
      <w:r w:rsidRPr="003168AE" w:rsidR="00D81C9D">
        <w:rPr>
          <w:szCs w:val="22"/>
        </w:rPr>
        <w:t>.</w:t>
      </w:r>
    </w:p>
    <w:p w:rsidR="00B02926" w:rsidP="00D81C9D">
      <w:pPr>
        <w:rPr>
          <w:i/>
          <w:szCs w:val="22"/>
        </w:rPr>
      </w:pPr>
    </w:p>
    <w:p w:rsidR="008D43BD" w:rsidRPr="002D0245" w:rsidP="008D43BD">
      <w:pPr>
        <w:rPr>
          <w:szCs w:val="22"/>
          <w:u w:val="single"/>
        </w:rPr>
      </w:pPr>
      <w:r w:rsidRPr="002D0245" w:rsidR="00A4080A">
        <w:rPr>
          <w:szCs w:val="22"/>
          <w:u w:val="single"/>
        </w:rPr>
        <w:t>Metastatic Breast Cancer (MBC)</w:t>
      </w:r>
    </w:p>
    <w:p w:rsidR="008D43BD" w:rsidRPr="00A30921" w:rsidP="008D43BD">
      <w:pPr>
        <w:rPr>
          <w:szCs w:val="22"/>
        </w:rPr>
      </w:pPr>
      <w:r w:rsidRPr="00A30921" w:rsidR="00A4080A">
        <w:rPr>
          <w:szCs w:val="22"/>
        </w:rPr>
        <w:t xml:space="preserve">Kadcyla, as a single agent, is indicated for the treatment of adult patients with HER2-positive, </w:t>
      </w:r>
    </w:p>
    <w:p w:rsidR="008D43BD" w:rsidRPr="00A30921" w:rsidP="008D43BD">
      <w:pPr>
        <w:rPr>
          <w:szCs w:val="22"/>
        </w:rPr>
      </w:pPr>
      <w:r w:rsidRPr="00A30921" w:rsidR="00A4080A">
        <w:rPr>
          <w:szCs w:val="22"/>
        </w:rPr>
        <w:t>unresectable locally advanced or metastatic breast cancer who previously received trastuzumab and a taxane, separately or in combination. Patients should have either:</w:t>
      </w:r>
    </w:p>
    <w:p w:rsidR="008D43BD" w:rsidRPr="00A30921" w:rsidP="008D43BD">
      <w:pPr>
        <w:ind w:left="714" w:hanging="357"/>
        <w:rPr>
          <w:szCs w:val="22"/>
        </w:rPr>
      </w:pPr>
      <w:r w:rsidRPr="002D59C9" w:rsidR="00A4080A">
        <w:rPr>
          <w:rFonts w:ascii="Symbol" w:hAnsi="Symbol"/>
          <w:szCs w:val="22"/>
          <w:lang w:val="es-ES"/>
        </w:rPr>
        <w:sym w:font="Symbol" w:char="F0B7"/>
      </w:r>
      <w:r w:rsidRPr="00FF5E1A" w:rsidR="00A4080A">
        <w:rPr>
          <w:szCs w:val="24"/>
        </w:rPr>
        <w:tab/>
      </w:r>
      <w:r w:rsidRPr="00A30921" w:rsidR="00A4080A">
        <w:rPr>
          <w:szCs w:val="22"/>
        </w:rPr>
        <w:t>Received prior therapy for locally advanced or metastatic disease, or</w:t>
      </w:r>
    </w:p>
    <w:p w:rsidR="00C77EBF" w:rsidRPr="00A30921" w:rsidP="00C56DE6">
      <w:pPr>
        <w:rPr>
          <w:szCs w:val="22"/>
        </w:rPr>
      </w:pPr>
      <w:r w:rsidRPr="00F459D2" w:rsidR="00A4080A">
        <w:rPr>
          <w:rFonts w:ascii="Symbol" w:hAnsi="Symbol"/>
          <w:szCs w:val="22"/>
          <w:lang w:val="es-ES"/>
        </w:rPr>
        <w:sym w:font="Symbol" w:char="F0B7"/>
      </w:r>
      <w:r w:rsidRPr="00F459D2" w:rsidR="00A4080A">
        <w:rPr>
          <w:szCs w:val="24"/>
        </w:rPr>
        <w:tab/>
      </w:r>
      <w:r w:rsidRPr="00F459D2" w:rsidR="00A4080A">
        <w:rPr>
          <w:szCs w:val="22"/>
        </w:rPr>
        <w:t>Developed disease recurrence during or within six months of completing adjuvant therapy.</w:t>
      </w:r>
    </w:p>
    <w:p w:rsidR="008D43BD" w:rsidRPr="00123D7D" w:rsidP="008D43BD">
      <w:pPr>
        <w:rPr>
          <w:szCs w:val="22"/>
        </w:rPr>
      </w:pPr>
    </w:p>
    <w:p w:rsidR="008D43BD" w:rsidRPr="00F459D2" w:rsidP="008D43BD">
      <w:pPr>
        <w:ind w:left="567" w:hanging="567"/>
        <w:outlineLvl w:val="0"/>
        <w:rPr>
          <w:b/>
          <w:szCs w:val="22"/>
        </w:rPr>
      </w:pPr>
      <w:r w:rsidRPr="00F459D2" w:rsidR="00A4080A">
        <w:rPr>
          <w:b/>
          <w:szCs w:val="22"/>
        </w:rPr>
        <w:t>4.2</w:t>
        <w:tab/>
        <w:t>Posology and method of administration</w:t>
      </w:r>
    </w:p>
    <w:p w:rsidR="008D43BD" w:rsidRPr="001B4A07" w:rsidP="008D43BD">
      <w:pPr>
        <w:rPr>
          <w:szCs w:val="22"/>
        </w:rPr>
      </w:pPr>
    </w:p>
    <w:p w:rsidR="008D43BD" w:rsidRPr="003D51C6" w:rsidP="008D43BD">
      <w:pPr>
        <w:rPr>
          <w:szCs w:val="22"/>
        </w:rPr>
      </w:pPr>
      <w:r w:rsidRPr="001B4A07" w:rsidR="00A4080A">
        <w:rPr>
          <w:rFonts w:eastAsia="SimSun"/>
          <w:szCs w:val="22"/>
        </w:rPr>
        <w:t xml:space="preserve">Kadcyla </w:t>
      </w:r>
      <w:r w:rsidRPr="001B4A07" w:rsidR="00A4080A">
        <w:rPr>
          <w:szCs w:val="22"/>
        </w:rPr>
        <w:t>should only be prescribed by a physician and administered as an intravenous infusion under the supervision of a healthcare professional who is experienced in the treatment of cancer patients</w:t>
      </w:r>
      <w:r w:rsidRPr="003D51C6" w:rsidR="00A4080A">
        <w:rPr>
          <w:szCs w:val="22"/>
        </w:rPr>
        <w:t xml:space="preserve"> (</w:t>
      </w:r>
      <w:r w:rsidRPr="00F459D2" w:rsidR="007F42F4">
        <w:rPr>
          <w:szCs w:val="22"/>
        </w:rPr>
        <w:t xml:space="preserve">i.e. </w:t>
      </w:r>
      <w:r w:rsidRPr="001B4A07" w:rsidR="00A4080A">
        <w:rPr>
          <w:rFonts w:eastAsia="SimSun"/>
          <w:lang w:val="en-GB"/>
        </w:rPr>
        <w:t xml:space="preserve">prepared to manage allergic/anaphylactic infusion reactions and </w:t>
      </w:r>
      <w:r w:rsidRPr="001B4A07" w:rsidR="00A4080A">
        <w:rPr>
          <w:lang w:val="en-GB"/>
        </w:rPr>
        <w:t>in an environment where full resuscitation facilities are immediately available (see section 4.4))</w:t>
      </w:r>
      <w:r w:rsidRPr="003D51C6" w:rsidR="00A4080A">
        <w:rPr>
          <w:szCs w:val="22"/>
        </w:rPr>
        <w:t>.</w:t>
      </w:r>
    </w:p>
    <w:p w:rsidR="008D43BD" w:rsidRPr="003D51C6" w:rsidP="008D43BD">
      <w:pPr>
        <w:rPr>
          <w:szCs w:val="22"/>
        </w:rPr>
      </w:pPr>
    </w:p>
    <w:p w:rsidR="008D43BD" w:rsidRPr="00B34766" w:rsidP="008D43BD">
      <w:pPr>
        <w:rPr>
          <w:szCs w:val="22"/>
        </w:rPr>
      </w:pPr>
      <w:r w:rsidRPr="003D51C6" w:rsidR="00A4080A">
        <w:rPr>
          <w:szCs w:val="22"/>
        </w:rPr>
        <w:t>Patients treated w</w:t>
      </w:r>
      <w:r w:rsidRPr="003D51C6" w:rsidR="00A4080A">
        <w:rPr>
          <w:szCs w:val="22"/>
        </w:rPr>
        <w:t>ith trastuzumab emtansine should have HER2 positive tumour status, defined as a score of 3 + by immunohistochemistry (IHC) or a ratio of ≥ 2.0 by in situ hybridization (ISH)</w:t>
      </w:r>
      <w:r w:rsidRPr="003D51C6" w:rsidR="00503F91">
        <w:rPr>
          <w:szCs w:val="22"/>
        </w:rPr>
        <w:t xml:space="preserve"> or by fluorescence in situ hybridization (FISH)</w:t>
      </w:r>
      <w:r w:rsidRPr="003D51C6" w:rsidR="00A4080A">
        <w:rPr>
          <w:szCs w:val="22"/>
        </w:rPr>
        <w:t xml:space="preserve"> assessed by a CE-marked In Vitro D</w:t>
      </w:r>
      <w:r w:rsidRPr="003D51C6" w:rsidR="00A4080A">
        <w:rPr>
          <w:szCs w:val="22"/>
        </w:rPr>
        <w:t xml:space="preserve">iagnostic (IVD) medical device. If a CE-marked IVD is not available, the HER2-status should be assessed by an alternate validated test. </w:t>
      </w:r>
    </w:p>
    <w:p w:rsidR="008D43BD" w:rsidRPr="000911BD" w:rsidP="008D43BD">
      <w:pPr>
        <w:rPr>
          <w:szCs w:val="22"/>
        </w:rPr>
      </w:pPr>
    </w:p>
    <w:p w:rsidR="008D43BD" w:rsidRPr="00621665" w:rsidP="008D43BD">
      <w:pPr>
        <w:keepNext/>
        <w:keepLines/>
        <w:rPr>
          <w:szCs w:val="22"/>
        </w:rPr>
      </w:pPr>
      <w:r w:rsidRPr="00621665" w:rsidR="00A4080A">
        <w:rPr>
          <w:szCs w:val="22"/>
        </w:rPr>
        <w:t>In order to prevent medicinal product errors it is important to check the vial labels to ensure that the medicinal product being prepared and administered is Kadcyla (trastuzumab emtansine) and not Herceptin (trastuzumab).</w:t>
      </w:r>
    </w:p>
    <w:p w:rsidR="00503F91" w:rsidRPr="00913B0D" w:rsidP="008D43BD">
      <w:pPr>
        <w:keepNext/>
        <w:keepLines/>
        <w:rPr>
          <w:szCs w:val="22"/>
        </w:rPr>
      </w:pPr>
    </w:p>
    <w:p w:rsidR="008D43BD" w:rsidRPr="00A30921" w:rsidP="008D43BD">
      <w:pPr>
        <w:keepNext/>
        <w:keepLines/>
        <w:rPr>
          <w:szCs w:val="22"/>
        </w:rPr>
      </w:pPr>
    </w:p>
    <w:p w:rsidR="008D43BD" w:rsidRPr="00A30921" w:rsidP="008D43BD">
      <w:pPr>
        <w:keepNext/>
        <w:keepLines/>
        <w:rPr>
          <w:i/>
          <w:szCs w:val="22"/>
          <w:u w:val="single"/>
        </w:rPr>
      </w:pPr>
      <w:r w:rsidRPr="00A30921" w:rsidR="00A4080A">
        <w:rPr>
          <w:szCs w:val="22"/>
          <w:u w:val="single"/>
        </w:rPr>
        <w:t>Posology</w:t>
      </w:r>
    </w:p>
    <w:p w:rsidR="008D43BD" w:rsidRPr="00A30921" w:rsidP="008D43BD">
      <w:pPr>
        <w:keepNext/>
        <w:keepLines/>
        <w:rPr>
          <w:szCs w:val="22"/>
        </w:rPr>
      </w:pPr>
    </w:p>
    <w:p w:rsidR="008D43BD" w:rsidRPr="00A30921" w:rsidP="008D43BD">
      <w:pPr>
        <w:keepNext/>
        <w:keepLines/>
        <w:rPr>
          <w:szCs w:val="22"/>
        </w:rPr>
      </w:pPr>
      <w:r w:rsidRPr="00A30921" w:rsidR="00A4080A">
        <w:rPr>
          <w:szCs w:val="22"/>
        </w:rPr>
        <w:t>The recommended dose of trastuzumab emtansine is 3.6 mg/kg bodyweight administered as an intravenous infusion every 3 weeks (21</w:t>
      </w:r>
      <w:r w:rsidRPr="00A30921" w:rsidR="00A4080A">
        <w:rPr>
          <w:szCs w:val="22"/>
        </w:rPr>
        <w:noBreakHyphen/>
        <w:t xml:space="preserve">day cycle). </w:t>
      </w:r>
    </w:p>
    <w:p w:rsidR="008D43BD" w:rsidRPr="00A30921" w:rsidP="008D43BD">
      <w:pPr>
        <w:rPr>
          <w:szCs w:val="22"/>
        </w:rPr>
      </w:pPr>
    </w:p>
    <w:p w:rsidR="008D43BD" w:rsidRPr="00A30921" w:rsidP="008D43BD">
      <w:pPr>
        <w:rPr>
          <w:szCs w:val="22"/>
        </w:rPr>
      </w:pPr>
      <w:r w:rsidRPr="00A30921" w:rsidR="00A4080A">
        <w:rPr>
          <w:szCs w:val="22"/>
        </w:rPr>
        <w:t>The initial dose should be administered as a 90 minute intravenous infusion. Patients should be observed during the infusion and for at least 90 minutes following the initial infusion for fever, chills, or other infusion</w:t>
      </w:r>
      <w:r w:rsidRPr="00A30921" w:rsidR="00A4080A">
        <w:rPr>
          <w:szCs w:val="22"/>
        </w:rPr>
        <w:noBreakHyphen/>
        <w:t>related reactions. The infusion site should be closely monitored for possible subcutaneous infiltration during administration (see section 4.8).</w:t>
      </w:r>
    </w:p>
    <w:p w:rsidR="008D43BD" w:rsidRPr="00A30921" w:rsidP="008D43BD">
      <w:pPr>
        <w:rPr>
          <w:i/>
          <w:szCs w:val="22"/>
        </w:rPr>
      </w:pPr>
    </w:p>
    <w:p w:rsidR="008D43BD" w:rsidRPr="00A30921" w:rsidP="008D43BD">
      <w:pPr>
        <w:rPr>
          <w:szCs w:val="22"/>
        </w:rPr>
      </w:pPr>
      <w:r w:rsidRPr="00A30921" w:rsidR="00A4080A">
        <w:rPr>
          <w:szCs w:val="22"/>
        </w:rPr>
        <w:t>If the prior infusion was well tolerated, subsequent doses of trastuzumab emtansine may be administered as 30 minute infusions. Patients should be observed during the infusion and for at least 30 minutes after infusion.</w:t>
      </w:r>
    </w:p>
    <w:p w:rsidR="008D43BD" w:rsidRPr="00A30921" w:rsidP="008D43BD">
      <w:pPr>
        <w:rPr>
          <w:b/>
          <w:szCs w:val="22"/>
          <w:u w:val="single"/>
        </w:rPr>
      </w:pPr>
    </w:p>
    <w:p w:rsidR="008D43BD" w:rsidRPr="00A30921" w:rsidP="008D43BD">
      <w:pPr>
        <w:rPr>
          <w:szCs w:val="22"/>
        </w:rPr>
      </w:pPr>
      <w:r w:rsidRPr="00A30921" w:rsidR="00A4080A">
        <w:rPr>
          <w:szCs w:val="22"/>
        </w:rPr>
        <w:t>The infusion rate of trastuzumab emtansine should be slowed or interrupted if the patient develops infusion</w:t>
      </w:r>
      <w:r w:rsidRPr="00A30921" w:rsidR="00A4080A">
        <w:rPr>
          <w:szCs w:val="22"/>
        </w:rPr>
        <w:noBreakHyphen/>
        <w:t>related symptoms (see sections 4.4 and 4.8). Trastuzumab emtansine should be discontinued in case of life</w:t>
      </w:r>
      <w:r w:rsidRPr="00A30921" w:rsidR="00A4080A">
        <w:rPr>
          <w:szCs w:val="22"/>
        </w:rPr>
        <w:noBreakHyphen/>
        <w:t>threatening infusion reactions.</w:t>
      </w:r>
    </w:p>
    <w:p w:rsidR="008D43BD" w:rsidP="008D43BD">
      <w:pPr>
        <w:rPr>
          <w:b/>
          <w:szCs w:val="22"/>
          <w:u w:val="single"/>
        </w:rPr>
      </w:pPr>
    </w:p>
    <w:p w:rsidR="008D43BD" w:rsidRPr="002D0245" w:rsidP="008D43BD">
      <w:pPr>
        <w:rPr>
          <w:szCs w:val="22"/>
          <w:u w:val="single"/>
        </w:rPr>
      </w:pPr>
      <w:r w:rsidRPr="002D0245" w:rsidR="00A4080A">
        <w:rPr>
          <w:szCs w:val="22"/>
          <w:u w:val="single"/>
        </w:rPr>
        <w:t>Duration of treatment</w:t>
      </w:r>
    </w:p>
    <w:p w:rsidR="008D43BD" w:rsidP="008D43BD">
      <w:pPr>
        <w:rPr>
          <w:i/>
          <w:szCs w:val="22"/>
          <w:u w:val="single"/>
        </w:rPr>
      </w:pPr>
    </w:p>
    <w:p w:rsidR="008D43BD" w:rsidRPr="0088581A" w:rsidP="008D43BD">
      <w:pPr>
        <w:rPr>
          <w:i/>
          <w:szCs w:val="22"/>
        </w:rPr>
      </w:pPr>
      <w:r w:rsidRPr="0088581A" w:rsidR="00A4080A">
        <w:rPr>
          <w:i/>
          <w:szCs w:val="22"/>
        </w:rPr>
        <w:t>Early Breast Cancer (EBC)</w:t>
      </w:r>
    </w:p>
    <w:p w:rsidR="008D43BD" w:rsidRPr="0088581A" w:rsidP="008D43BD">
      <w:pPr>
        <w:rPr>
          <w:szCs w:val="22"/>
        </w:rPr>
      </w:pPr>
      <w:r w:rsidR="00A4080A">
        <w:rPr>
          <w:szCs w:val="22"/>
        </w:rPr>
        <w:t xml:space="preserve">Patients should receive treatment </w:t>
      </w:r>
      <w:r w:rsidRPr="005315DD" w:rsidR="00A4080A">
        <w:rPr>
          <w:szCs w:val="22"/>
        </w:rPr>
        <w:t xml:space="preserve">for a </w:t>
      </w:r>
      <w:r w:rsidR="00A4080A">
        <w:rPr>
          <w:szCs w:val="22"/>
        </w:rPr>
        <w:t>total</w:t>
      </w:r>
      <w:r w:rsidRPr="005315DD" w:rsidR="00A4080A">
        <w:rPr>
          <w:szCs w:val="22"/>
        </w:rPr>
        <w:t xml:space="preserve"> of 14 cycles </w:t>
      </w:r>
      <w:r w:rsidR="00A4080A">
        <w:rPr>
          <w:szCs w:val="22"/>
        </w:rPr>
        <w:t>unless there is</w:t>
      </w:r>
      <w:r w:rsidRPr="005315DD" w:rsidR="00A4080A">
        <w:rPr>
          <w:szCs w:val="22"/>
        </w:rPr>
        <w:t xml:space="preserve"> disease </w:t>
      </w:r>
      <w:r w:rsidR="00A4080A">
        <w:rPr>
          <w:szCs w:val="22"/>
        </w:rPr>
        <w:t>recurrence</w:t>
      </w:r>
      <w:r w:rsidRPr="005315DD" w:rsidR="00A4080A">
        <w:rPr>
          <w:szCs w:val="22"/>
        </w:rPr>
        <w:t xml:space="preserve"> or unmanageable toxicity</w:t>
      </w:r>
      <w:r w:rsidR="00A4080A">
        <w:rPr>
          <w:szCs w:val="22"/>
        </w:rPr>
        <w:t>.</w:t>
      </w:r>
    </w:p>
    <w:p w:rsidR="008D43BD" w:rsidP="008D43BD">
      <w:pPr>
        <w:rPr>
          <w:i/>
          <w:szCs w:val="22"/>
        </w:rPr>
      </w:pPr>
    </w:p>
    <w:p w:rsidR="008D43BD" w:rsidRPr="0088581A" w:rsidP="008D43BD">
      <w:pPr>
        <w:rPr>
          <w:i/>
          <w:szCs w:val="22"/>
        </w:rPr>
      </w:pPr>
      <w:r w:rsidRPr="0088581A" w:rsidR="00A4080A">
        <w:rPr>
          <w:i/>
          <w:szCs w:val="22"/>
        </w:rPr>
        <w:t>Metastatic Breast Cancer (MBC)</w:t>
      </w:r>
    </w:p>
    <w:p w:rsidR="008D43BD" w:rsidP="008D43BD">
      <w:pPr>
        <w:rPr>
          <w:i/>
          <w:szCs w:val="22"/>
        </w:rPr>
      </w:pPr>
      <w:r w:rsidR="00A4080A">
        <w:rPr>
          <w:szCs w:val="22"/>
        </w:rPr>
        <w:t>P</w:t>
      </w:r>
      <w:r w:rsidRPr="005315DD" w:rsidR="00A4080A">
        <w:rPr>
          <w:szCs w:val="22"/>
        </w:rPr>
        <w:t>atients should receive treatment until disease progression or unmanageable toxicity</w:t>
      </w:r>
      <w:r w:rsidR="00A4080A">
        <w:rPr>
          <w:szCs w:val="22"/>
        </w:rPr>
        <w:t>.</w:t>
      </w:r>
    </w:p>
    <w:p w:rsidR="008D43BD" w:rsidRPr="00A30921" w:rsidP="008D43BD">
      <w:pPr>
        <w:rPr>
          <w:i/>
          <w:szCs w:val="22"/>
        </w:rPr>
      </w:pPr>
      <w:r w:rsidRPr="00A30921" w:rsidR="00A4080A">
        <w:rPr>
          <w:i/>
          <w:szCs w:val="22"/>
        </w:rPr>
        <w:t>Dose modification</w:t>
      </w:r>
    </w:p>
    <w:p w:rsidR="008D43BD" w:rsidRPr="0004270C" w:rsidP="008D43BD">
      <w:pPr>
        <w:rPr>
          <w:szCs w:val="22"/>
        </w:rPr>
      </w:pPr>
      <w:r w:rsidRPr="0004270C" w:rsidR="00A4080A">
        <w:rPr>
          <w:szCs w:val="22"/>
        </w:rPr>
        <w:t>Management of symptomatic adverse reactions may require temporary interruption, dose reduction, or treatment discontinuation of</w:t>
      </w:r>
      <w:r w:rsidRPr="00A557EB" w:rsidR="00A4080A">
        <w:rPr>
          <w:szCs w:val="22"/>
        </w:rPr>
        <w:t xml:space="preserve"> trastuzumab emtansine as per guidelines provided in text and Tables 1 </w:t>
      </w:r>
      <w:r w:rsidR="00A4080A">
        <w:rPr>
          <w:szCs w:val="22"/>
        </w:rPr>
        <w:t>and 2</w:t>
      </w:r>
      <w:r w:rsidRPr="00A557EB" w:rsidR="00A4080A">
        <w:rPr>
          <w:szCs w:val="22"/>
        </w:rPr>
        <w:t> </w:t>
      </w:r>
      <w:r w:rsidRPr="0004270C" w:rsidR="00A4080A">
        <w:rPr>
          <w:szCs w:val="22"/>
        </w:rPr>
        <w:t>.</w:t>
      </w:r>
    </w:p>
    <w:p w:rsidR="008D43BD" w:rsidRPr="00A30921" w:rsidP="008D43BD">
      <w:pPr>
        <w:rPr>
          <w:szCs w:val="22"/>
        </w:rPr>
      </w:pPr>
    </w:p>
    <w:p w:rsidR="008D43BD" w:rsidRPr="00A30921" w:rsidP="008D43BD">
      <w:pPr>
        <w:rPr>
          <w:szCs w:val="22"/>
        </w:rPr>
      </w:pPr>
      <w:r w:rsidR="00A4080A">
        <w:rPr>
          <w:szCs w:val="22"/>
        </w:rPr>
        <w:t>T</w:t>
      </w:r>
      <w:r w:rsidRPr="00A30921" w:rsidR="00A4080A">
        <w:rPr>
          <w:szCs w:val="22"/>
        </w:rPr>
        <w:t>rastuzumab emtansine dose should not be re</w:t>
      </w:r>
      <w:r w:rsidRPr="00A30921" w:rsidR="00A4080A">
        <w:rPr>
          <w:szCs w:val="22"/>
        </w:rPr>
        <w:noBreakHyphen/>
        <w:t>escalated after a dose reduction is made.</w:t>
      </w:r>
    </w:p>
    <w:p w:rsidR="008D43BD" w:rsidRPr="00A30921" w:rsidP="008D43BD">
      <w:pPr>
        <w:rPr>
          <w:szCs w:val="22"/>
        </w:rPr>
      </w:pPr>
    </w:p>
    <w:p w:rsidR="008D43BD" w:rsidRPr="00A30921" w:rsidP="008D43BD">
      <w:pPr>
        <w:keepNext/>
        <w:rPr>
          <w:b/>
          <w:szCs w:val="22"/>
        </w:rPr>
      </w:pPr>
      <w:r w:rsidRPr="00A30921" w:rsidR="00A4080A">
        <w:rPr>
          <w:b/>
          <w:szCs w:val="22"/>
        </w:rPr>
        <w:t>Table 1</w:t>
        <w:tab/>
        <w:t>Dose reduction schedule</w:t>
      </w:r>
    </w:p>
    <w:p w:rsidR="008D43BD" w:rsidRPr="00A30921" w:rsidP="008D43BD">
      <w:pPr>
        <w:keepNext/>
        <w:rPr>
          <w:b/>
          <w:szCs w:val="22"/>
        </w:rPr>
      </w:pP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tblPr>
      <w:tblGrid>
        <w:gridCol w:w="4082"/>
        <w:gridCol w:w="3136"/>
      </w:tblGrid>
      <w:tr w:rsidTr="008D43B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tblPrEx>
        <w:tc>
          <w:tcPr>
            <w:tcW w:w="4082" w:type="dxa"/>
            <w:shd w:val="clear" w:color="auto" w:fill="FFFFFF"/>
          </w:tcPr>
          <w:p w:rsidR="008D43BD" w:rsidRPr="00A30921" w:rsidP="008D43BD">
            <w:pPr>
              <w:keepNext/>
              <w:jc w:val="center"/>
              <w:rPr>
                <w:b/>
                <w:szCs w:val="22"/>
              </w:rPr>
            </w:pPr>
            <w:r w:rsidRPr="00A30921" w:rsidR="00A4080A">
              <w:rPr>
                <w:b/>
                <w:szCs w:val="22"/>
              </w:rPr>
              <w:t>Dose reduction schedule</w:t>
            </w:r>
          </w:p>
          <w:p w:rsidR="008D43BD" w:rsidRPr="00A30921" w:rsidP="008D43BD">
            <w:pPr>
              <w:keepNext/>
              <w:jc w:val="center"/>
              <w:rPr>
                <w:b/>
                <w:szCs w:val="22"/>
              </w:rPr>
            </w:pPr>
            <w:r w:rsidRPr="00A30921" w:rsidR="00A4080A">
              <w:rPr>
                <w:b/>
                <w:szCs w:val="22"/>
              </w:rPr>
              <w:t>(Starting dose is 3.6 mg/kg)</w:t>
            </w:r>
          </w:p>
        </w:tc>
        <w:tc>
          <w:tcPr>
            <w:tcW w:w="3136" w:type="dxa"/>
            <w:shd w:val="clear" w:color="auto" w:fill="FFFFFF"/>
            <w:vAlign w:val="center"/>
          </w:tcPr>
          <w:p w:rsidR="008D43BD" w:rsidRPr="00A30921" w:rsidP="008D43BD">
            <w:pPr>
              <w:keepNext/>
              <w:jc w:val="center"/>
              <w:rPr>
                <w:b/>
                <w:szCs w:val="22"/>
              </w:rPr>
            </w:pPr>
            <w:r w:rsidRPr="00A30921" w:rsidR="00A4080A">
              <w:rPr>
                <w:b/>
                <w:szCs w:val="22"/>
              </w:rPr>
              <w:t>Dose  to be administered</w:t>
            </w:r>
          </w:p>
        </w:tc>
      </w:tr>
      <w:tr w:rsidTr="008D43BD">
        <w:tblPrEx>
          <w:tblW w:w="0" w:type="auto"/>
          <w:shd w:val="clear" w:color="auto" w:fill="FFFFFF"/>
          <w:tblLook w:val="04A0"/>
        </w:tblPrEx>
        <w:tc>
          <w:tcPr>
            <w:tcW w:w="4082" w:type="dxa"/>
            <w:shd w:val="clear" w:color="auto" w:fill="FFFFFF"/>
          </w:tcPr>
          <w:p w:rsidR="008D43BD" w:rsidRPr="00A30921" w:rsidP="008D43BD">
            <w:pPr>
              <w:keepNext/>
              <w:rPr>
                <w:szCs w:val="22"/>
              </w:rPr>
            </w:pPr>
            <w:r w:rsidRPr="00A30921" w:rsidR="00A4080A">
              <w:rPr>
                <w:szCs w:val="22"/>
              </w:rPr>
              <w:t>First dose reduction</w:t>
            </w:r>
          </w:p>
        </w:tc>
        <w:tc>
          <w:tcPr>
            <w:tcW w:w="3136" w:type="dxa"/>
            <w:shd w:val="clear" w:color="auto" w:fill="FFFFFF"/>
          </w:tcPr>
          <w:p w:rsidR="008D43BD" w:rsidRPr="00A30921" w:rsidP="008D43BD">
            <w:pPr>
              <w:keepNext/>
              <w:rPr>
                <w:szCs w:val="22"/>
              </w:rPr>
            </w:pPr>
            <w:r w:rsidRPr="00A30921" w:rsidR="00A4080A">
              <w:rPr>
                <w:szCs w:val="22"/>
              </w:rPr>
              <w:t>3 mg/kg</w:t>
            </w:r>
          </w:p>
        </w:tc>
      </w:tr>
      <w:tr w:rsidTr="008D43BD">
        <w:tblPrEx>
          <w:tblW w:w="0" w:type="auto"/>
          <w:shd w:val="clear" w:color="auto" w:fill="FFFFFF"/>
          <w:tblLook w:val="04A0"/>
        </w:tblPrEx>
        <w:tc>
          <w:tcPr>
            <w:tcW w:w="4082" w:type="dxa"/>
            <w:shd w:val="clear" w:color="auto" w:fill="FFFFFF"/>
          </w:tcPr>
          <w:p w:rsidR="008D43BD" w:rsidRPr="00A30921" w:rsidP="008D43BD">
            <w:pPr>
              <w:keepNext/>
              <w:rPr>
                <w:szCs w:val="22"/>
              </w:rPr>
            </w:pPr>
            <w:r w:rsidRPr="00A30921" w:rsidR="00A4080A">
              <w:rPr>
                <w:szCs w:val="22"/>
              </w:rPr>
              <w:t>Second dose reduction</w:t>
            </w:r>
          </w:p>
        </w:tc>
        <w:tc>
          <w:tcPr>
            <w:tcW w:w="3136" w:type="dxa"/>
            <w:shd w:val="clear" w:color="auto" w:fill="FFFFFF"/>
          </w:tcPr>
          <w:p w:rsidR="008D43BD" w:rsidRPr="00A30921" w:rsidP="008D43BD">
            <w:pPr>
              <w:keepNext/>
              <w:rPr>
                <w:szCs w:val="22"/>
              </w:rPr>
            </w:pPr>
            <w:r w:rsidRPr="00A30921" w:rsidR="00A4080A">
              <w:rPr>
                <w:szCs w:val="22"/>
              </w:rPr>
              <w:t>2.4 mg/kg</w:t>
            </w:r>
          </w:p>
        </w:tc>
      </w:tr>
      <w:tr w:rsidTr="008D43BD">
        <w:tblPrEx>
          <w:tblW w:w="0" w:type="auto"/>
          <w:shd w:val="clear" w:color="auto" w:fill="FFFFFF"/>
          <w:tblLook w:val="04A0"/>
        </w:tblPrEx>
        <w:tc>
          <w:tcPr>
            <w:tcW w:w="4082" w:type="dxa"/>
            <w:shd w:val="clear" w:color="auto" w:fill="FFFFFF"/>
          </w:tcPr>
          <w:p w:rsidR="008D43BD" w:rsidRPr="00A30921" w:rsidP="008D43BD">
            <w:pPr>
              <w:keepNext/>
              <w:rPr>
                <w:szCs w:val="22"/>
              </w:rPr>
            </w:pPr>
            <w:r w:rsidRPr="00A30921" w:rsidR="00A4080A">
              <w:rPr>
                <w:szCs w:val="22"/>
              </w:rPr>
              <w:t>Requirement for further dose reduction</w:t>
            </w:r>
          </w:p>
        </w:tc>
        <w:tc>
          <w:tcPr>
            <w:tcW w:w="3136" w:type="dxa"/>
            <w:shd w:val="clear" w:color="auto" w:fill="FFFFFF"/>
          </w:tcPr>
          <w:p w:rsidR="008D43BD" w:rsidRPr="00A30921" w:rsidP="008D43BD">
            <w:pPr>
              <w:keepNext/>
              <w:rPr>
                <w:szCs w:val="22"/>
              </w:rPr>
            </w:pPr>
            <w:r w:rsidRPr="00A30921" w:rsidR="00A4080A">
              <w:rPr>
                <w:szCs w:val="22"/>
              </w:rPr>
              <w:t>Discontinue treatment</w:t>
            </w:r>
          </w:p>
        </w:tc>
      </w:tr>
    </w:tbl>
    <w:p w:rsidR="008D43BD" w:rsidP="008D43BD">
      <w:pPr>
        <w:pStyle w:val="TextTi12"/>
        <w:spacing w:line="280" w:lineRule="atLeast"/>
        <w:rPr>
          <w:rFonts w:ascii="Times New Roman" w:hAnsi="Times New Roman"/>
          <w:b/>
          <w:i/>
          <w:lang w:val="fr-CH"/>
        </w:rPr>
      </w:pPr>
    </w:p>
    <w:p w:rsidR="008D43BD" w:rsidRPr="00F459D2" w:rsidP="00C12092">
      <w:pPr>
        <w:keepNext/>
        <w:rPr>
          <w:b/>
          <w:szCs w:val="22"/>
        </w:rPr>
      </w:pPr>
      <w:r w:rsidRPr="00F459D2" w:rsidR="00A4080A">
        <w:rPr>
          <w:b/>
          <w:szCs w:val="22"/>
        </w:rPr>
        <w:t>Table 2</w:t>
        <w:tab/>
        <w:t>Dose Modification Guidelines</w:t>
      </w:r>
    </w:p>
    <w:p w:rsidR="00846CCF" w:rsidRPr="00F459D2" w:rsidP="00C12092">
      <w:pPr>
        <w:keepNext/>
        <w:rPr>
          <w:lang w:val="fr-FR"/>
        </w:rPr>
      </w:pPr>
      <w:r w:rsidRPr="00F459D2" w:rsidR="00A4080A">
        <w:rPr>
          <w:lang w:val="fr-FR"/>
        </w:rPr>
        <w:t xml:space="preserve"> </w:t>
      </w:r>
    </w:p>
    <w:tbl>
      <w:tblPr>
        <w:tblStyle w:val="TableNormal"/>
        <w:tblW w:w="9056" w:type="dxa"/>
        <w:tblCellMar>
          <w:left w:w="0" w:type="dxa"/>
          <w:right w:w="0" w:type="dxa"/>
        </w:tblCellMar>
        <w:tblLook w:val="04A0"/>
      </w:tblPr>
      <w:tblGrid>
        <w:gridCol w:w="2139"/>
        <w:gridCol w:w="2315"/>
        <w:gridCol w:w="4602"/>
      </w:tblGrid>
      <w:tr w:rsidTr="002B1C38">
        <w:tblPrEx>
          <w:tblW w:w="9056" w:type="dxa"/>
          <w:tblCellMar>
            <w:left w:w="0" w:type="dxa"/>
            <w:right w:w="0" w:type="dxa"/>
          </w:tblCellMar>
          <w:tblLook w:val="04A0"/>
        </w:tblPrEx>
        <w:trPr>
          <w:trHeight w:val="315"/>
        </w:trPr>
        <w:tc>
          <w:tcPr>
            <w:tcW w:w="0" w:type="auto"/>
            <w:gridSpan w:val="3"/>
            <w:tcBorders>
              <w:top w:val="single" w:sz="4" w:space="0" w:color="auto"/>
              <w:left w:val="single" w:sz="4" w:space="0" w:color="auto"/>
              <w:bottom w:val="single" w:sz="4" w:space="0" w:color="auto"/>
              <w:right w:val="single" w:sz="4" w:space="0" w:color="auto"/>
            </w:tcBorders>
            <w:shd w:val="clear" w:color="auto" w:fill="BFBFBF"/>
            <w:tcMar>
              <w:top w:w="30" w:type="dxa"/>
              <w:left w:w="0" w:type="dxa"/>
              <w:bottom w:w="30" w:type="dxa"/>
              <w:right w:w="0" w:type="dxa"/>
            </w:tcMar>
            <w:vAlign w:val="bottom"/>
          </w:tcPr>
          <w:p w:rsidR="00AA17C2" w:rsidRPr="00F459D2" w:rsidP="00C12092">
            <w:pPr>
              <w:keepNext/>
              <w:jc w:val="center"/>
              <w:rPr>
                <w:b/>
              </w:rPr>
            </w:pPr>
            <w:r w:rsidRPr="00E36E57">
              <w:rPr>
                <w:b/>
              </w:rPr>
              <w:t>Dose Modification</w:t>
            </w:r>
            <w:r w:rsidRPr="00E36E57" w:rsidR="00C67C6A">
              <w:rPr>
                <w:b/>
              </w:rPr>
              <w:t>s</w:t>
            </w:r>
            <w:r w:rsidRPr="00E36E57" w:rsidR="009B7150">
              <w:rPr>
                <w:b/>
              </w:rPr>
              <w:t xml:space="preserve"> for Patients with</w:t>
            </w:r>
            <w:r w:rsidR="00E36E57">
              <w:rPr>
                <w:b/>
              </w:rPr>
              <w:t xml:space="preserve"> </w:t>
            </w:r>
            <w:r w:rsidRPr="00E36E57">
              <w:rPr>
                <w:b/>
              </w:rPr>
              <w:t>EBC</w:t>
            </w:r>
          </w:p>
        </w:tc>
      </w:tr>
      <w:tr w:rsidTr="00B31C1B">
        <w:tblPrEx>
          <w:tblW w:w="9056" w:type="dxa"/>
          <w:tblCellMar>
            <w:left w:w="0" w:type="dxa"/>
            <w:right w:w="0" w:type="dxa"/>
          </w:tblCellMar>
          <w:tblLook w:val="04A0"/>
        </w:tblPrEx>
        <w:trPr>
          <w:trHeight w:val="155"/>
        </w:trPr>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rsidR="00AA17C2" w:rsidRPr="00534835" w:rsidP="00C12092">
            <w:pPr>
              <w:keepNext/>
              <w:rPr>
                <w:b/>
                <w:bCs/>
                <w:lang w:val="en-029"/>
              </w:rPr>
            </w:pPr>
            <w:r w:rsidRPr="00534835">
              <w:rPr>
                <w:b/>
              </w:rPr>
              <w:t>Adverse reaction</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rsidR="00AA17C2" w:rsidRPr="00FB7A3D" w:rsidP="00C12092">
            <w:pPr>
              <w:keepNext/>
            </w:pPr>
            <w:r w:rsidRPr="0027161B">
              <w:rPr>
                <w:b/>
                <w:bCs/>
                <w:lang w:val="en-029"/>
              </w:rPr>
              <w:t>Severity</w:t>
            </w:r>
          </w:p>
        </w:tc>
        <w:tc>
          <w:tcPr>
            <w:tcW w:w="0" w:type="auto"/>
            <w:tcBorders>
              <w:top w:val="single" w:sz="4" w:space="0" w:color="auto"/>
              <w:left w:val="single" w:sz="4" w:space="0" w:color="auto"/>
              <w:bottom w:val="single" w:sz="4" w:space="0" w:color="auto"/>
              <w:right w:val="single" w:sz="4" w:space="0" w:color="auto"/>
            </w:tcBorders>
          </w:tcPr>
          <w:p w:rsidR="00AA17C2" w:rsidRPr="002254F1" w:rsidP="00C12092">
            <w:pPr>
              <w:keepNext/>
            </w:pPr>
            <w:r w:rsidRPr="002254F1">
              <w:rPr>
                <w:b/>
              </w:rPr>
              <w:t>Treatment modification</w:t>
            </w:r>
          </w:p>
        </w:tc>
      </w:tr>
      <w:tr w:rsidTr="009B7150">
        <w:tblPrEx>
          <w:tblW w:w="9056" w:type="dxa"/>
          <w:tblCellMar>
            <w:left w:w="0" w:type="dxa"/>
            <w:right w:w="0" w:type="dxa"/>
          </w:tblCellMar>
          <w:tblLook w:val="04A0"/>
        </w:tblPrEx>
        <w:trPr>
          <w:trHeight w:val="155"/>
        </w:trPr>
        <w:tc>
          <w:tcPr>
            <w:tcW w:w="0" w:type="auto"/>
            <w:vMerge w:val="restart"/>
            <w:tcBorders>
              <w:top w:val="single" w:sz="4" w:space="0" w:color="auto"/>
              <w:left w:val="single" w:sz="4" w:space="0" w:color="auto"/>
              <w:right w:val="single" w:sz="4" w:space="0" w:color="auto"/>
            </w:tcBorders>
            <w:tcMar>
              <w:top w:w="30" w:type="dxa"/>
              <w:left w:w="45" w:type="dxa"/>
              <w:bottom w:w="30" w:type="dxa"/>
              <w:right w:w="45" w:type="dxa"/>
            </w:tcMar>
          </w:tcPr>
          <w:p w:rsidR="009B7150" w:rsidRPr="00F459D2" w:rsidP="009B7150">
            <w:r w:rsidRPr="00F459D2">
              <w:t>Thrombocytopenia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9B7150" w:rsidRPr="00F459D2" w:rsidP="009B7150">
            <w:pPr>
              <w:rPr>
                <w:lang w:val="en-029"/>
              </w:rPr>
            </w:pPr>
            <w:r w:rsidRPr="00F459D2">
              <w:rPr>
                <w:lang w:val="en-029"/>
              </w:rPr>
              <w:t>Grade 2-3 on day of scheduled treatment</w:t>
              <w:br/>
              <w:t>(25,000 to &lt; 75,000/mm</w:t>
            </w:r>
            <w:r w:rsidRPr="00F459D2">
              <w:rPr>
                <w:vertAlign w:val="superscript"/>
                <w:lang w:val="en-029"/>
              </w:rPr>
              <w:t>3</w:t>
            </w:r>
            <w:r w:rsidRPr="00F459D2">
              <w:rPr>
                <w:lang w:val="en-029"/>
              </w:rPr>
              <w:t>)</w:t>
            </w:r>
          </w:p>
        </w:tc>
        <w:tc>
          <w:tcPr>
            <w:tcW w:w="0" w:type="auto"/>
            <w:tcBorders>
              <w:top w:val="single" w:sz="4" w:space="0" w:color="auto"/>
              <w:left w:val="single" w:sz="4" w:space="0" w:color="auto"/>
              <w:bottom w:val="single" w:sz="4" w:space="0" w:color="auto"/>
              <w:right w:val="single" w:sz="4" w:space="0" w:color="auto"/>
            </w:tcBorders>
            <w:vAlign w:val="bottom"/>
          </w:tcPr>
          <w:p w:rsidR="009B7150" w:rsidRPr="00F459D2" w:rsidP="009B7150">
            <w:pPr>
              <w:rPr>
                <w:lang w:val="en-029"/>
              </w:rPr>
            </w:pPr>
            <w:r w:rsidRPr="00F459D2">
              <w:rPr>
                <w:lang w:val="en-029"/>
              </w:rPr>
              <w:t xml:space="preserve">Do not administer </w:t>
            </w:r>
            <w:r w:rsidRPr="00F459D2">
              <w:rPr>
                <w:szCs w:val="16"/>
              </w:rPr>
              <w:t>trastuzumab emtansine</w:t>
            </w:r>
            <w:r w:rsidRPr="00F459D2">
              <w:rPr>
                <w:lang w:val="en-029"/>
              </w:rPr>
              <w:t xml:space="preserve"> until platelet count recovers to</w:t>
            </w:r>
            <w:r w:rsidRPr="00F459D2">
              <w:rPr>
                <w:rFonts w:ascii="Symbol" w:eastAsia="MS Mincho" w:hAnsi="Symbol"/>
              </w:rPr>
              <w:sym w:font="Symbol" w:char="F020"/>
            </w:r>
            <w:r w:rsidRPr="00F459D2">
              <w:rPr>
                <w:rFonts w:ascii="Symbol" w:eastAsia="MS Mincho" w:hAnsi="Symbol"/>
              </w:rPr>
              <w:sym w:font="Symbol" w:char="F0A3"/>
            </w:r>
            <w:r w:rsidRPr="00F459D2">
              <w:rPr>
                <w:lang w:val="en-029"/>
              </w:rPr>
              <w:t xml:space="preserve"> Grade 1 </w:t>
            </w:r>
            <w:r w:rsidRPr="00F459D2">
              <w:rPr>
                <w:lang w:val="en-029"/>
              </w:rPr>
              <w:t>(≥ 75,000/mm</w:t>
            </w:r>
            <w:r w:rsidRPr="00F459D2">
              <w:rPr>
                <w:vertAlign w:val="superscript"/>
                <w:lang w:val="en-029"/>
              </w:rPr>
              <w:t>3</w:t>
            </w:r>
            <w:r w:rsidRPr="00F459D2">
              <w:rPr>
                <w:lang w:val="en-029"/>
              </w:rPr>
              <w:t>), and then treat at the same dose level. If a patient requires 2 delays due to thrombocytopenia, consider reducing dose by one level.</w:t>
            </w:r>
          </w:p>
        </w:tc>
      </w:tr>
      <w:tr w:rsidTr="00C12092">
        <w:tblPrEx>
          <w:tblW w:w="9056" w:type="dxa"/>
          <w:tblCellMar>
            <w:left w:w="0" w:type="dxa"/>
            <w:right w:w="0" w:type="dxa"/>
          </w:tblCellMar>
          <w:tblLook w:val="04A0"/>
        </w:tblPrEx>
        <w:trPr>
          <w:trHeight w:val="155"/>
        </w:trPr>
        <w:tc>
          <w:tcPr>
            <w:tcW w:w="0" w:type="auto"/>
            <w:vMerge/>
            <w:tcBorders>
              <w:left w:val="single" w:sz="4" w:space="0" w:color="auto"/>
              <w:right w:val="single" w:sz="4" w:space="0" w:color="auto"/>
            </w:tcBorders>
            <w:tcMar>
              <w:top w:w="30" w:type="dxa"/>
              <w:left w:w="45" w:type="dxa"/>
              <w:bottom w:w="30" w:type="dxa"/>
              <w:right w:w="45" w:type="dxa"/>
            </w:tcMar>
          </w:tcPr>
          <w:p w:rsidR="009B7150" w:rsidRPr="00F459D2" w:rsidP="009B7150"/>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9B7150" w:rsidRPr="00F459D2" w:rsidP="003D51C6">
            <w:pPr>
              <w:rPr>
                <w:lang w:val="en-029"/>
              </w:rPr>
            </w:pPr>
            <w:r w:rsidRPr="00F459D2">
              <w:rPr>
                <w:lang w:val="en-029"/>
              </w:rPr>
              <w:t>Grade 4 at any time</w:t>
              <w:br/>
              <w:t>&lt; 25,000/mm</w:t>
            </w:r>
            <w:r w:rsidRPr="00F459D2">
              <w:rPr>
                <w:vertAlign w:val="superscript"/>
                <w:lang w:val="en-029"/>
              </w:rPr>
              <w:t>3</w:t>
            </w:r>
          </w:p>
        </w:tc>
        <w:tc>
          <w:tcPr>
            <w:tcW w:w="0" w:type="auto"/>
            <w:tcBorders>
              <w:top w:val="single" w:sz="4" w:space="0" w:color="auto"/>
              <w:left w:val="single" w:sz="4" w:space="0" w:color="auto"/>
              <w:bottom w:val="single" w:sz="4" w:space="0" w:color="auto"/>
              <w:right w:val="single" w:sz="4" w:space="0" w:color="auto"/>
            </w:tcBorders>
          </w:tcPr>
          <w:p w:rsidR="009B7150" w:rsidRPr="00F459D2" w:rsidP="009B7150">
            <w:pPr>
              <w:rPr>
                <w:lang w:val="en-029"/>
              </w:rPr>
            </w:pPr>
            <w:r w:rsidRPr="00F459D2">
              <w:rPr>
                <w:lang w:val="en-029"/>
              </w:rPr>
              <w:t xml:space="preserve">Do not administer </w:t>
            </w:r>
            <w:r w:rsidRPr="00F459D2">
              <w:rPr>
                <w:szCs w:val="16"/>
              </w:rPr>
              <w:t>trastuzumab emtansine</w:t>
            </w:r>
            <w:r w:rsidRPr="00F459D2">
              <w:rPr>
                <w:lang w:val="en-029"/>
              </w:rPr>
              <w:t xml:space="preserve"> until platelet count recovers to </w:t>
            </w:r>
            <w:r w:rsidRPr="00F459D2">
              <w:rPr>
                <w:rFonts w:ascii="Symbol" w:eastAsia="MS Mincho" w:hAnsi="Symbol"/>
              </w:rPr>
              <w:sym w:font="Symbol" w:char="F0A3"/>
            </w:r>
            <w:r w:rsidRPr="00F459D2">
              <w:rPr>
                <w:lang w:val="en-029"/>
              </w:rPr>
              <w:t xml:space="preserve"> Grade 1 (≥ 75,000/mm</w:t>
            </w:r>
            <w:r w:rsidRPr="00F459D2">
              <w:rPr>
                <w:vertAlign w:val="superscript"/>
                <w:lang w:val="en-029"/>
              </w:rPr>
              <w:t>3</w:t>
            </w:r>
            <w:r w:rsidRPr="00F459D2">
              <w:rPr>
                <w:lang w:val="en-029"/>
              </w:rPr>
              <w:t>), and then reduce one dose level.</w:t>
            </w:r>
          </w:p>
        </w:tc>
      </w:tr>
      <w:tr w:rsidTr="00B31C1B">
        <w:tblPrEx>
          <w:tblW w:w="9056" w:type="dxa"/>
          <w:tblCellMar>
            <w:left w:w="0" w:type="dxa"/>
            <w:right w:w="0" w:type="dxa"/>
          </w:tblCellMar>
          <w:tblLook w:val="04A0"/>
        </w:tblPrEx>
        <w:trPr>
          <w:trHeight w:val="155"/>
        </w:trPr>
        <w:tc>
          <w:tcPr>
            <w:tcW w:w="0" w:type="auto"/>
            <w:vMerge w:val="restart"/>
            <w:tcBorders>
              <w:top w:val="single" w:sz="4" w:space="0" w:color="auto"/>
              <w:left w:val="single" w:sz="4" w:space="0" w:color="auto"/>
              <w:right w:val="single" w:sz="4" w:space="0" w:color="auto"/>
            </w:tcBorders>
            <w:tcMar>
              <w:top w:w="30" w:type="dxa"/>
              <w:left w:w="45" w:type="dxa"/>
              <w:bottom w:w="30" w:type="dxa"/>
              <w:right w:w="45" w:type="dxa"/>
            </w:tcMar>
          </w:tcPr>
          <w:p w:rsidR="00AA17C2" w:rsidRPr="00F459D2" w:rsidP="00B31C1B">
            <w:pPr>
              <w:rPr>
                <w:b/>
              </w:rPr>
            </w:pPr>
            <w:r w:rsidRPr="00F459D2">
              <w:t>Increased Alanine Transaminase (ALT)</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AA17C2" w:rsidRPr="00F459D2" w:rsidP="00B31C1B">
            <w:pPr>
              <w:rPr>
                <w:b/>
                <w:bCs/>
                <w:lang w:val="en-029"/>
              </w:rPr>
            </w:pPr>
            <w:r w:rsidRPr="001B4A07">
              <w:rPr>
                <w:lang w:val="en-029"/>
              </w:rPr>
              <w:t>Grade 2-3</w:t>
              <w:br/>
              <w:t>(&gt; 3.0 to ≤ 20</w:t>
            </w:r>
            <w:r w:rsidRPr="00F459D2">
              <w:rPr>
                <w:rFonts w:ascii="Symbol" w:hAnsi="Symbol"/>
              </w:rPr>
              <w:sym w:font="Symbol" w:char="F0B4"/>
            </w:r>
            <w:r w:rsidRPr="00F459D2">
              <w:rPr>
                <w:lang w:val="en-029"/>
              </w:rPr>
              <w:t xml:space="preserve"> ULN on day of scheduled treatment)</w:t>
            </w:r>
          </w:p>
        </w:tc>
        <w:tc>
          <w:tcPr>
            <w:tcW w:w="0" w:type="auto"/>
            <w:tcBorders>
              <w:top w:val="single" w:sz="4" w:space="0" w:color="auto"/>
              <w:left w:val="single" w:sz="4" w:space="0" w:color="auto"/>
              <w:bottom w:val="single" w:sz="4" w:space="0" w:color="auto"/>
              <w:right w:val="single" w:sz="4" w:space="0" w:color="auto"/>
            </w:tcBorders>
          </w:tcPr>
          <w:p w:rsidR="00AA17C2" w:rsidRPr="00B34766" w:rsidP="00B31C1B">
            <w:pPr>
              <w:rPr>
                <w:b/>
              </w:rPr>
            </w:pPr>
            <w:r w:rsidRPr="001B4A07">
              <w:rPr>
                <w:lang w:val="en-029"/>
              </w:rPr>
              <w:t xml:space="preserve">Do not administer </w:t>
            </w:r>
            <w:r w:rsidRPr="001B4A07">
              <w:rPr>
                <w:szCs w:val="16"/>
              </w:rPr>
              <w:t>trastuzumab emtansine</w:t>
            </w:r>
            <w:r w:rsidRPr="001B4A07">
              <w:rPr>
                <w:lang w:val="en-029"/>
              </w:rPr>
              <w:t xml:space="preserve"> until ALT recovers to Grade ≤ 1, and then reduce o</w:t>
            </w:r>
            <w:r w:rsidRPr="00B34766">
              <w:rPr>
                <w:lang w:val="en-029"/>
              </w:rPr>
              <w:t>ne dose l</w:t>
            </w:r>
            <w:r w:rsidRPr="00B34766">
              <w:rPr>
                <w:lang w:val="en-029"/>
              </w:rPr>
              <w:t>evel</w:t>
            </w:r>
          </w:p>
        </w:tc>
      </w:tr>
      <w:tr w:rsidTr="00B31C1B">
        <w:tblPrEx>
          <w:tblW w:w="9056" w:type="dxa"/>
          <w:tblCellMar>
            <w:left w:w="0" w:type="dxa"/>
            <w:right w:w="0" w:type="dxa"/>
          </w:tblCellMar>
          <w:tblLook w:val="04A0"/>
        </w:tblPrEx>
        <w:trPr>
          <w:trHeight w:val="155"/>
        </w:trPr>
        <w:tc>
          <w:tcPr>
            <w:tcW w:w="0" w:type="auto"/>
            <w:vMerge/>
            <w:tcBorders>
              <w:left w:val="single" w:sz="4" w:space="0" w:color="auto"/>
              <w:bottom w:val="single" w:sz="4" w:space="0" w:color="auto"/>
              <w:right w:val="single" w:sz="4" w:space="0" w:color="auto"/>
            </w:tcBorders>
            <w:tcMar>
              <w:top w:w="30" w:type="dxa"/>
              <w:left w:w="45" w:type="dxa"/>
              <w:bottom w:w="30" w:type="dxa"/>
              <w:right w:w="45" w:type="dxa"/>
            </w:tcMar>
          </w:tcPr>
          <w:p w:rsidR="00AA17C2" w:rsidRPr="00C12092" w:rsidP="00B31C1B"/>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AA17C2" w:rsidRPr="00F459D2" w:rsidP="00B31C1B">
            <w:pPr>
              <w:rPr>
                <w:lang w:val="en-029"/>
              </w:rPr>
            </w:pPr>
            <w:r w:rsidRPr="00874251">
              <w:rPr>
                <w:lang w:val="en-029"/>
              </w:rPr>
              <w:t>Grade 4</w:t>
              <w:br/>
              <w:t xml:space="preserve">(&gt; 20 </w:t>
            </w:r>
            <w:r w:rsidRPr="00F459D2">
              <w:rPr>
                <w:rFonts w:ascii="Symbol" w:hAnsi="Symbol"/>
              </w:rPr>
              <w:sym w:font="Symbol" w:char="F0B4"/>
            </w:r>
            <w:r w:rsidRPr="00F459D2">
              <w:rPr>
                <w:lang w:val="en-029"/>
              </w:rPr>
              <w:t xml:space="preserve"> ULN at any time)</w:t>
            </w:r>
          </w:p>
        </w:tc>
        <w:tc>
          <w:tcPr>
            <w:tcW w:w="0" w:type="auto"/>
            <w:tcBorders>
              <w:top w:val="single" w:sz="4" w:space="0" w:color="auto"/>
              <w:left w:val="single" w:sz="4" w:space="0" w:color="auto"/>
              <w:bottom w:val="single" w:sz="4" w:space="0" w:color="auto"/>
              <w:right w:val="single" w:sz="4" w:space="0" w:color="auto"/>
            </w:tcBorders>
          </w:tcPr>
          <w:p w:rsidR="00AA17C2" w:rsidRPr="00F459D2" w:rsidP="00B31C1B">
            <w:pPr>
              <w:rPr>
                <w:lang w:val="en-029"/>
              </w:rPr>
            </w:pPr>
            <w:r w:rsidRPr="00F459D2">
              <w:t xml:space="preserve">Discontinue </w:t>
            </w:r>
            <w:r w:rsidRPr="00F459D2">
              <w:rPr>
                <w:szCs w:val="16"/>
              </w:rPr>
              <w:t>trastuzumab emtansine</w:t>
            </w:r>
          </w:p>
        </w:tc>
      </w:tr>
      <w:tr w:rsidTr="00B31C1B">
        <w:tblPrEx>
          <w:tblW w:w="9056" w:type="dxa"/>
          <w:tblCellMar>
            <w:left w:w="0" w:type="dxa"/>
            <w:right w:w="0" w:type="dxa"/>
          </w:tblCellMar>
          <w:tblLook w:val="04A0"/>
        </w:tblPrEx>
        <w:trPr>
          <w:trHeight w:val="155"/>
        </w:trPr>
        <w:tc>
          <w:tcPr>
            <w:tcW w:w="0" w:type="auto"/>
            <w:vMerge w:val="restart"/>
            <w:tcBorders>
              <w:top w:val="single" w:sz="4" w:space="0" w:color="auto"/>
              <w:left w:val="single" w:sz="4" w:space="0" w:color="auto"/>
              <w:right w:val="single" w:sz="4" w:space="0" w:color="auto"/>
            </w:tcBorders>
            <w:tcMar>
              <w:top w:w="30" w:type="dxa"/>
              <w:left w:w="45" w:type="dxa"/>
              <w:bottom w:w="30" w:type="dxa"/>
              <w:right w:w="45" w:type="dxa"/>
            </w:tcMar>
          </w:tcPr>
          <w:p w:rsidR="00AA17C2" w:rsidRPr="00C12092" w:rsidP="00B31C1B">
            <w:r w:rsidRPr="00C12092">
              <w:t>Increased Aspartate Transaminase (AST)</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AA17C2" w:rsidRPr="00F459D2" w:rsidP="00B31C1B">
            <w:pPr>
              <w:rPr>
                <w:lang w:val="en-029"/>
              </w:rPr>
            </w:pPr>
            <w:r w:rsidRPr="00C12092">
              <w:rPr>
                <w:lang w:val="en-029"/>
              </w:rPr>
              <w:t xml:space="preserve">Grade 2 </w:t>
              <w:br/>
              <w:t>(&gt; 3.0 to ≤ 5</w:t>
            </w:r>
            <w:r w:rsidRPr="00F459D2">
              <w:rPr>
                <w:rFonts w:ascii="Symbol" w:hAnsi="Symbol"/>
              </w:rPr>
              <w:sym w:font="Symbol" w:char="F0B4"/>
            </w:r>
            <w:r w:rsidRPr="00F459D2">
              <w:rPr>
                <w:lang w:val="en-029"/>
              </w:rPr>
              <w:t xml:space="preserve"> ULN on day of scheduled treatment) </w:t>
            </w:r>
          </w:p>
        </w:tc>
        <w:tc>
          <w:tcPr>
            <w:tcW w:w="0" w:type="auto"/>
            <w:tcBorders>
              <w:top w:val="single" w:sz="4" w:space="0" w:color="auto"/>
              <w:left w:val="single" w:sz="4" w:space="0" w:color="auto"/>
              <w:bottom w:val="single" w:sz="4" w:space="0" w:color="auto"/>
              <w:right w:val="single" w:sz="4" w:space="0" w:color="auto"/>
            </w:tcBorders>
          </w:tcPr>
          <w:p w:rsidR="00AA17C2" w:rsidRPr="00B5194C" w:rsidP="00B31C1B">
            <w:r w:rsidRPr="00F459D2">
              <w:rPr>
                <w:lang w:val="en-029"/>
              </w:rPr>
              <w:t xml:space="preserve">Do not administer </w:t>
            </w:r>
            <w:r w:rsidRPr="00F459D2">
              <w:rPr>
                <w:szCs w:val="16"/>
              </w:rPr>
              <w:t>trastuzumab emtansine</w:t>
            </w:r>
            <w:r w:rsidRPr="00F459D2">
              <w:rPr>
                <w:lang w:val="en-029"/>
              </w:rPr>
              <w:t xml:space="preserve"> until AST recovers to Grade </w:t>
            </w:r>
            <w:r w:rsidRPr="00F459D2">
              <w:rPr>
                <w:rFonts w:ascii="Symbol" w:hAnsi="Symbol"/>
              </w:rPr>
              <w:sym w:font="Symbol" w:char="F0A3"/>
            </w:r>
            <w:r w:rsidRPr="00F459D2">
              <w:rPr>
                <w:lang w:val="en-029"/>
              </w:rPr>
              <w:t xml:space="preserve"> 1, and then </w:t>
            </w:r>
            <w:r w:rsidRPr="00F459D2">
              <w:rPr>
                <w:lang w:val="en-029"/>
              </w:rPr>
              <w:t>treat at the same dose level</w:t>
            </w:r>
          </w:p>
        </w:tc>
      </w:tr>
      <w:tr w:rsidTr="00B31C1B">
        <w:tblPrEx>
          <w:tblW w:w="9056" w:type="dxa"/>
          <w:tblCellMar>
            <w:left w:w="0" w:type="dxa"/>
            <w:right w:w="0" w:type="dxa"/>
          </w:tblCellMar>
          <w:tblLook w:val="04A0"/>
        </w:tblPrEx>
        <w:trPr>
          <w:trHeight w:val="155"/>
        </w:trPr>
        <w:tc>
          <w:tcPr>
            <w:tcW w:w="0" w:type="auto"/>
            <w:vMerge/>
            <w:tcBorders>
              <w:left w:val="single" w:sz="4" w:space="0" w:color="auto"/>
              <w:right w:val="single" w:sz="4" w:space="0" w:color="auto"/>
            </w:tcBorders>
            <w:tcMar>
              <w:top w:w="30" w:type="dxa"/>
              <w:left w:w="45" w:type="dxa"/>
              <w:bottom w:w="30" w:type="dxa"/>
              <w:right w:w="45" w:type="dxa"/>
            </w:tcMar>
          </w:tcPr>
          <w:p w:rsidR="00AA17C2" w:rsidRPr="00B5194C" w:rsidP="00B31C1B"/>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AA17C2" w:rsidRPr="00B5194C" w:rsidP="00B31C1B">
            <w:pPr>
              <w:rPr>
                <w:lang w:val="en-029"/>
              </w:rPr>
            </w:pPr>
            <w:r w:rsidRPr="00B5194C">
              <w:rPr>
                <w:lang w:val="en-029"/>
              </w:rPr>
              <w:t xml:space="preserve">Grade 3 </w:t>
              <w:br/>
              <w:t>(&gt; 5 to ≤ 20</w:t>
            </w:r>
            <w:r>
              <w:rPr>
                <w:rFonts w:ascii="Symbol" w:hAnsi="Symbol"/>
              </w:rPr>
              <w:sym w:font="Symbol" w:char="F0B4"/>
            </w:r>
            <w:r w:rsidRPr="00B5194C">
              <w:rPr>
                <w:lang w:val="en-029"/>
              </w:rPr>
              <w:t xml:space="preserve"> ULN on day of scheduled treatment) </w:t>
            </w:r>
          </w:p>
        </w:tc>
        <w:tc>
          <w:tcPr>
            <w:tcW w:w="0" w:type="auto"/>
            <w:tcBorders>
              <w:top w:val="single" w:sz="4" w:space="0" w:color="auto"/>
              <w:left w:val="single" w:sz="4" w:space="0" w:color="auto"/>
              <w:bottom w:val="single" w:sz="4" w:space="0" w:color="auto"/>
              <w:right w:val="single" w:sz="4" w:space="0" w:color="auto"/>
            </w:tcBorders>
          </w:tcPr>
          <w:p w:rsidR="00AA17C2" w:rsidRPr="00B5194C" w:rsidP="00B31C1B">
            <w:pPr>
              <w:rPr>
                <w:lang w:val="en-029"/>
              </w:rPr>
            </w:pPr>
            <w:r w:rsidRPr="00B5194C">
              <w:rPr>
                <w:lang w:val="en-029"/>
              </w:rPr>
              <w:t xml:space="preserve">Do not administer </w:t>
            </w:r>
            <w:r>
              <w:rPr>
                <w:szCs w:val="16"/>
              </w:rPr>
              <w:t>trastuzumab emtansine</w:t>
            </w:r>
            <w:r w:rsidRPr="00B5194C">
              <w:rPr>
                <w:lang w:val="en-029"/>
              </w:rPr>
              <w:t xml:space="preserve"> until AST recovers to Grade ≤ 1,</w:t>
            </w:r>
            <w:r>
              <w:rPr>
                <w:lang w:val="en-029"/>
              </w:rPr>
              <w:t xml:space="preserve"> and then reduce one dose level</w:t>
            </w:r>
          </w:p>
        </w:tc>
      </w:tr>
      <w:tr w:rsidTr="00B31C1B">
        <w:tblPrEx>
          <w:tblW w:w="9056" w:type="dxa"/>
          <w:tblCellMar>
            <w:left w:w="0" w:type="dxa"/>
            <w:right w:w="0" w:type="dxa"/>
          </w:tblCellMar>
          <w:tblLook w:val="04A0"/>
        </w:tblPrEx>
        <w:trPr>
          <w:trHeight w:val="155"/>
        </w:trPr>
        <w:tc>
          <w:tcPr>
            <w:tcW w:w="0" w:type="auto"/>
            <w:vMerge/>
            <w:tcBorders>
              <w:left w:val="single" w:sz="4" w:space="0" w:color="auto"/>
              <w:bottom w:val="single" w:sz="4" w:space="0" w:color="auto"/>
              <w:right w:val="single" w:sz="4" w:space="0" w:color="auto"/>
            </w:tcBorders>
            <w:tcMar>
              <w:top w:w="30" w:type="dxa"/>
              <w:left w:w="45" w:type="dxa"/>
              <w:bottom w:w="30" w:type="dxa"/>
              <w:right w:w="45" w:type="dxa"/>
            </w:tcMar>
          </w:tcPr>
          <w:p w:rsidR="00AA17C2" w:rsidRPr="00B5194C" w:rsidP="00B31C1B"/>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AA17C2" w:rsidRPr="00B5194C" w:rsidP="00B31C1B">
            <w:pPr>
              <w:rPr>
                <w:lang w:val="en-029"/>
              </w:rPr>
            </w:pPr>
            <w:r>
              <w:rPr>
                <w:lang w:val="en-029"/>
              </w:rPr>
              <w:t xml:space="preserve">Grade 4 </w:t>
              <w:br/>
              <w:t xml:space="preserve">(&gt; 20 </w:t>
            </w:r>
            <w:r>
              <w:rPr>
                <w:rFonts w:ascii="Symbol" w:hAnsi="Symbol"/>
              </w:rPr>
              <w:sym w:font="Symbol" w:char="F0B4"/>
            </w:r>
            <w:r w:rsidRPr="00B5194C">
              <w:rPr>
                <w:lang w:val="en-029"/>
              </w:rPr>
              <w:t xml:space="preserve"> ULN at any time) </w:t>
            </w:r>
          </w:p>
        </w:tc>
        <w:tc>
          <w:tcPr>
            <w:tcW w:w="0" w:type="auto"/>
            <w:tcBorders>
              <w:top w:val="single" w:sz="4" w:space="0" w:color="auto"/>
              <w:left w:val="single" w:sz="4" w:space="0" w:color="auto"/>
              <w:bottom w:val="single" w:sz="4" w:space="0" w:color="auto"/>
              <w:right w:val="single" w:sz="4" w:space="0" w:color="auto"/>
            </w:tcBorders>
          </w:tcPr>
          <w:p w:rsidR="00AA17C2" w:rsidRPr="00B5194C" w:rsidP="00B31C1B">
            <w:pPr>
              <w:rPr>
                <w:lang w:val="en-029"/>
              </w:rPr>
            </w:pPr>
            <w:r w:rsidRPr="00B5194C">
              <w:t xml:space="preserve">Discontinue </w:t>
            </w:r>
            <w:r>
              <w:rPr>
                <w:szCs w:val="16"/>
              </w:rPr>
              <w:t>trastuzumab e</w:t>
            </w:r>
            <w:r>
              <w:rPr>
                <w:szCs w:val="16"/>
              </w:rPr>
              <w:t>mtansine</w:t>
            </w:r>
          </w:p>
        </w:tc>
      </w:tr>
      <w:tr w:rsidTr="00B31C1B">
        <w:tblPrEx>
          <w:tblW w:w="9056" w:type="dxa"/>
          <w:tblCellMar>
            <w:left w:w="0" w:type="dxa"/>
            <w:right w:w="0" w:type="dxa"/>
          </w:tblCellMar>
          <w:tblLook w:val="04A0"/>
        </w:tblPrEx>
        <w:trPr>
          <w:trHeight w:val="155"/>
        </w:trPr>
        <w:tc>
          <w:tcPr>
            <w:tcW w:w="0" w:type="auto"/>
            <w:vMerge w:val="restart"/>
            <w:tcBorders>
              <w:top w:val="single" w:sz="4" w:space="0" w:color="auto"/>
              <w:left w:val="single" w:sz="4" w:space="0" w:color="auto"/>
              <w:right w:val="single" w:sz="4" w:space="0" w:color="auto"/>
            </w:tcBorders>
            <w:tcMar>
              <w:top w:w="30" w:type="dxa"/>
              <w:left w:w="45" w:type="dxa"/>
              <w:bottom w:w="30" w:type="dxa"/>
              <w:right w:w="45" w:type="dxa"/>
            </w:tcMar>
          </w:tcPr>
          <w:p w:rsidR="00AA17C2" w:rsidRPr="00B5194C" w:rsidP="00B31C1B">
            <w:r w:rsidRPr="00B5194C">
              <w:t>Hyperbilirubinemia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AA17C2" w:rsidP="00B31C1B">
            <w:pPr>
              <w:rPr>
                <w:lang w:val="en-029"/>
              </w:rPr>
            </w:pPr>
            <w:r w:rsidRPr="00B5194C">
              <w:rPr>
                <w:lang w:val="en-029"/>
              </w:rPr>
              <w:t xml:space="preserve">TBILI </w:t>
              <w:br/>
            </w:r>
            <w:r>
              <w:rPr>
                <w:lang w:val="en-029"/>
              </w:rPr>
              <w:t>&gt; 1.0 to ≤ 2.0</w:t>
            </w:r>
            <w:r>
              <w:rPr>
                <w:rFonts w:ascii="Symbol" w:hAnsi="Symbol"/>
              </w:rPr>
              <w:sym w:font="Symbol" w:char="F0B4"/>
            </w:r>
            <w:r>
              <w:rPr>
                <w:rFonts w:ascii="Symbol" w:hAnsi="Symbol"/>
              </w:rPr>
              <w:sym w:font="Symbol" w:char="F020"/>
            </w:r>
            <w:r w:rsidRPr="00B5194C">
              <w:rPr>
                <w:lang w:val="en-029"/>
              </w:rPr>
              <w:t xml:space="preserve">the ULN on day of scheduled treatment </w:t>
            </w:r>
          </w:p>
        </w:tc>
        <w:tc>
          <w:tcPr>
            <w:tcW w:w="0" w:type="auto"/>
            <w:tcBorders>
              <w:top w:val="single" w:sz="4" w:space="0" w:color="auto"/>
              <w:left w:val="single" w:sz="4" w:space="0" w:color="auto"/>
              <w:bottom w:val="single" w:sz="4" w:space="0" w:color="auto"/>
              <w:right w:val="single" w:sz="4" w:space="0" w:color="auto"/>
            </w:tcBorders>
          </w:tcPr>
          <w:p w:rsidR="00AA17C2" w:rsidRPr="00B5194C" w:rsidP="00B31C1B">
            <w:r w:rsidRPr="00B5194C">
              <w:rPr>
                <w:lang w:val="en-029"/>
              </w:rPr>
              <w:t xml:space="preserve">Do not administer </w:t>
            </w:r>
            <w:r>
              <w:rPr>
                <w:szCs w:val="16"/>
              </w:rPr>
              <w:t>trastuzumab emtansine</w:t>
            </w:r>
            <w:r w:rsidRPr="00B5194C">
              <w:rPr>
                <w:lang w:val="en-029"/>
              </w:rPr>
              <w:t xml:space="preserve"> until to</w:t>
            </w:r>
            <w:r>
              <w:rPr>
                <w:lang w:val="en-029"/>
              </w:rPr>
              <w:t>tal bilirubin recovers to ≤ 1.0</w:t>
            </w:r>
            <w:r w:rsidRPr="00B5194C">
              <w:rPr>
                <w:lang w:val="en-029"/>
              </w:rPr>
              <w:t>× ULN,</w:t>
            </w:r>
            <w:r>
              <w:rPr>
                <w:lang w:val="en-029"/>
              </w:rPr>
              <w:t xml:space="preserve"> and then reduce one dose level</w:t>
            </w:r>
          </w:p>
        </w:tc>
      </w:tr>
      <w:tr w:rsidTr="00B31C1B">
        <w:tblPrEx>
          <w:tblW w:w="9056" w:type="dxa"/>
          <w:tblCellMar>
            <w:left w:w="0" w:type="dxa"/>
            <w:right w:w="0" w:type="dxa"/>
          </w:tblCellMar>
          <w:tblLook w:val="04A0"/>
        </w:tblPrEx>
        <w:trPr>
          <w:trHeight w:val="155"/>
        </w:trPr>
        <w:tc>
          <w:tcPr>
            <w:tcW w:w="0" w:type="auto"/>
            <w:vMerge/>
            <w:tcBorders>
              <w:left w:val="single" w:sz="4" w:space="0" w:color="auto"/>
              <w:bottom w:val="single" w:sz="4" w:space="0" w:color="auto"/>
              <w:right w:val="single" w:sz="4" w:space="0" w:color="auto"/>
            </w:tcBorders>
            <w:tcMar>
              <w:top w:w="30" w:type="dxa"/>
              <w:left w:w="45" w:type="dxa"/>
              <w:bottom w:w="30" w:type="dxa"/>
              <w:right w:w="45" w:type="dxa"/>
            </w:tcMar>
          </w:tcPr>
          <w:p w:rsidR="00AA17C2" w:rsidRPr="00B5194C" w:rsidP="00B31C1B"/>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AA17C2" w:rsidRPr="00B5194C" w:rsidP="00B31C1B">
            <w:pPr>
              <w:rPr>
                <w:lang w:val="en-029"/>
              </w:rPr>
            </w:pPr>
            <w:r w:rsidRPr="00B5194C">
              <w:rPr>
                <w:lang w:val="en-029"/>
              </w:rPr>
              <w:t xml:space="preserve">TBILI </w:t>
              <w:br/>
              <w:t>&gt; 2</w:t>
            </w:r>
            <w:r>
              <w:rPr>
                <w:rFonts w:ascii="Symbol" w:hAnsi="Symbol"/>
              </w:rPr>
              <w:sym w:font="Symbol" w:char="F0B4"/>
            </w:r>
            <w:r w:rsidRPr="00B5194C">
              <w:rPr>
                <w:lang w:val="en-029"/>
              </w:rPr>
              <w:t xml:space="preserve"> ULN at any time </w:t>
            </w:r>
          </w:p>
        </w:tc>
        <w:tc>
          <w:tcPr>
            <w:tcW w:w="0" w:type="auto"/>
            <w:tcBorders>
              <w:top w:val="single" w:sz="4" w:space="0" w:color="auto"/>
              <w:left w:val="single" w:sz="4" w:space="0" w:color="auto"/>
              <w:bottom w:val="single" w:sz="4" w:space="0" w:color="auto"/>
              <w:right w:val="single" w:sz="4" w:space="0" w:color="auto"/>
            </w:tcBorders>
          </w:tcPr>
          <w:p w:rsidR="00AA17C2" w:rsidRPr="00B5194C" w:rsidP="00B31C1B">
            <w:pPr>
              <w:rPr>
                <w:lang w:val="en-029"/>
              </w:rPr>
            </w:pPr>
            <w:r w:rsidRPr="003076E3">
              <w:t xml:space="preserve">Discontinue </w:t>
            </w:r>
            <w:r>
              <w:rPr>
                <w:szCs w:val="16"/>
              </w:rPr>
              <w:t>trast</w:t>
            </w:r>
            <w:r>
              <w:rPr>
                <w:szCs w:val="16"/>
              </w:rPr>
              <w:t>uzumab emtansine</w:t>
            </w:r>
          </w:p>
        </w:tc>
      </w:tr>
      <w:tr w:rsidTr="00B31C1B">
        <w:tblPrEx>
          <w:tblW w:w="9056" w:type="dxa"/>
          <w:tblCellMar>
            <w:left w:w="0" w:type="dxa"/>
            <w:right w:w="0" w:type="dxa"/>
          </w:tblCellMar>
          <w:tblLook w:val="04A0"/>
        </w:tblPrEx>
        <w:trPr>
          <w:trHeight w:val="155"/>
        </w:trPr>
        <w:tc>
          <w:tcPr>
            <w:tcW w:w="0" w:type="auto"/>
            <w:tcBorders>
              <w:top w:val="single" w:sz="4" w:space="0" w:color="auto"/>
              <w:left w:val="single" w:sz="4" w:space="0" w:color="auto"/>
              <w:right w:val="single" w:sz="4" w:space="0" w:color="auto"/>
            </w:tcBorders>
            <w:tcMar>
              <w:top w:w="30" w:type="dxa"/>
              <w:left w:w="45" w:type="dxa"/>
              <w:bottom w:w="30" w:type="dxa"/>
              <w:right w:w="45" w:type="dxa"/>
            </w:tcMar>
          </w:tcPr>
          <w:p w:rsidR="00BA155D" w:rsidRPr="00F459D2" w:rsidP="00BA155D">
            <w:r w:rsidRPr="00F459D2">
              <w:t>Drug Induced Liver Injury (DILI)</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BA155D" w:rsidRPr="00F459D2" w:rsidP="00BA155D">
            <w:pPr>
              <w:rPr>
                <w:rFonts w:eastAsia="MS Mincho"/>
              </w:rPr>
            </w:pPr>
            <w:r w:rsidRPr="00F459D2">
              <w:t>Serum transaminases &gt; 3 x ULN and concomitant total bilirubin &gt; 2</w:t>
            </w:r>
            <w:r w:rsidRPr="00F459D2">
              <w:rPr>
                <w:rFonts w:ascii="Symbol" w:eastAsia="MS Mincho" w:hAnsi="Symbol"/>
              </w:rPr>
              <w:sym w:font="Symbol" w:char="F0B4"/>
            </w:r>
            <w:r w:rsidRPr="00F459D2">
              <w:t xml:space="preserve"> ULN</w:t>
            </w:r>
          </w:p>
        </w:tc>
        <w:tc>
          <w:tcPr>
            <w:tcW w:w="0" w:type="auto"/>
            <w:tcBorders>
              <w:top w:val="single" w:sz="4" w:space="0" w:color="auto"/>
              <w:left w:val="single" w:sz="4" w:space="0" w:color="auto"/>
              <w:bottom w:val="single" w:sz="4" w:space="0" w:color="auto"/>
              <w:right w:val="single" w:sz="4" w:space="0" w:color="auto"/>
            </w:tcBorders>
          </w:tcPr>
          <w:p w:rsidR="00BA155D" w:rsidRPr="00F459D2" w:rsidP="00BA155D">
            <w:pPr>
              <w:rPr>
                <w:rFonts w:eastAsia="MS Mincho"/>
              </w:rPr>
            </w:pPr>
            <w:r w:rsidRPr="00F459D2">
              <w:rPr>
                <w:rFonts w:eastAsia="MS Mincho"/>
              </w:rPr>
              <w:t xml:space="preserve">Permanently discontinue </w:t>
            </w:r>
            <w:r w:rsidRPr="00F459D2">
              <w:rPr>
                <w:szCs w:val="16"/>
              </w:rPr>
              <w:t>trastuzumab emtansine</w:t>
            </w:r>
            <w:r w:rsidRPr="00F459D2">
              <w:rPr>
                <w:rFonts w:ascii="Calibri" w:eastAsia="MS Mincho" w:hAnsi="Calibri"/>
                <w:szCs w:val="22"/>
              </w:rPr>
              <w:t xml:space="preserve"> </w:t>
            </w:r>
            <w:r w:rsidRPr="00F459D2">
              <w:rPr>
                <w:rFonts w:eastAsia="MS Mincho"/>
              </w:rPr>
              <w:t>in the absence of another likely cause for the elevation of liver enzymes and bilirubin, e.g. liver metastasis or concomitant medication</w:t>
            </w:r>
          </w:p>
        </w:tc>
      </w:tr>
      <w:tr w:rsidTr="00B31C1B">
        <w:tblPrEx>
          <w:tblW w:w="9056" w:type="dxa"/>
          <w:tblCellMar>
            <w:left w:w="0" w:type="dxa"/>
            <w:right w:w="0" w:type="dxa"/>
          </w:tblCellMar>
          <w:tblLook w:val="04A0"/>
        </w:tblPrEx>
        <w:trPr>
          <w:trHeight w:val="155"/>
        </w:trPr>
        <w:tc>
          <w:tcPr>
            <w:tcW w:w="0" w:type="auto"/>
            <w:tcBorders>
              <w:top w:val="single" w:sz="4" w:space="0" w:color="auto"/>
              <w:left w:val="single" w:sz="4" w:space="0" w:color="auto"/>
              <w:right w:val="single" w:sz="4" w:space="0" w:color="auto"/>
            </w:tcBorders>
            <w:tcMar>
              <w:top w:w="30" w:type="dxa"/>
              <w:left w:w="45" w:type="dxa"/>
              <w:bottom w:w="30" w:type="dxa"/>
              <w:right w:w="45" w:type="dxa"/>
            </w:tcMar>
          </w:tcPr>
          <w:p w:rsidR="00AA17C2" w:rsidRPr="00F459D2" w:rsidP="00B31C1B">
            <w:r w:rsidRPr="00F459D2">
              <w:t>Nodular Regenerative Hyperplasia (NRH)</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AA17C2" w:rsidRPr="00F459D2" w:rsidP="00B31C1B">
            <w:pPr>
              <w:rPr>
                <w:lang w:val="en-029"/>
              </w:rPr>
            </w:pPr>
            <w:r w:rsidRPr="00F459D2">
              <w:rPr>
                <w:rFonts w:eastAsia="MS Mincho"/>
              </w:rPr>
              <w:t>All Grades</w:t>
            </w:r>
          </w:p>
        </w:tc>
        <w:tc>
          <w:tcPr>
            <w:tcW w:w="0" w:type="auto"/>
            <w:tcBorders>
              <w:top w:val="single" w:sz="4" w:space="0" w:color="auto"/>
              <w:left w:val="single" w:sz="4" w:space="0" w:color="auto"/>
              <w:bottom w:val="single" w:sz="4" w:space="0" w:color="auto"/>
              <w:right w:val="single" w:sz="4" w:space="0" w:color="auto"/>
            </w:tcBorders>
          </w:tcPr>
          <w:p w:rsidR="00AA17C2" w:rsidRPr="00F459D2" w:rsidP="00B31C1B">
            <w:pPr>
              <w:rPr>
                <w:lang w:val="en-029"/>
              </w:rPr>
            </w:pPr>
            <w:r w:rsidRPr="00F459D2">
              <w:rPr>
                <w:rFonts w:eastAsia="MS Mincho"/>
              </w:rPr>
              <w:t xml:space="preserve">Permanently discontinue </w:t>
            </w:r>
            <w:r w:rsidRPr="00F459D2">
              <w:rPr>
                <w:szCs w:val="16"/>
              </w:rPr>
              <w:t>trastuzumab emtansine</w:t>
            </w:r>
          </w:p>
        </w:tc>
      </w:tr>
      <w:tr w:rsidTr="00313485">
        <w:tblPrEx>
          <w:tblW w:w="9056" w:type="dxa"/>
          <w:tblCellMar>
            <w:left w:w="0" w:type="dxa"/>
            <w:right w:w="0" w:type="dxa"/>
          </w:tblCellMar>
          <w:tblLook w:val="04A0"/>
        </w:tblPrEx>
        <w:trPr>
          <w:trHeight w:val="155"/>
        </w:trPr>
        <w:tc>
          <w:tcPr>
            <w:tcW w:w="0" w:type="auto"/>
            <w:tcBorders>
              <w:top w:val="single" w:sz="4" w:space="0" w:color="auto"/>
              <w:left w:val="single" w:sz="4" w:space="0" w:color="auto"/>
              <w:right w:val="single" w:sz="4" w:space="0" w:color="auto"/>
            </w:tcBorders>
            <w:tcMar>
              <w:top w:w="30" w:type="dxa"/>
              <w:left w:w="45" w:type="dxa"/>
              <w:bottom w:w="30" w:type="dxa"/>
              <w:right w:w="45" w:type="dxa"/>
            </w:tcMar>
          </w:tcPr>
          <w:p w:rsidR="00CE7763" w:rsidRPr="003168AE" w:rsidP="00CE7763">
            <w:r w:rsidRPr="003168AE">
              <w:t>Peripheral Neuropathy</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CE7763" w:rsidRPr="003168AE" w:rsidP="00CE7763">
            <w:pPr>
              <w:rPr>
                <w:lang w:val="en-029"/>
              </w:rPr>
            </w:pPr>
            <w:r w:rsidRPr="003168AE">
              <w:t>Grade 3-4</w:t>
            </w:r>
          </w:p>
        </w:tc>
        <w:tc>
          <w:tcPr>
            <w:tcW w:w="0" w:type="auto"/>
            <w:tcBorders>
              <w:top w:val="single" w:sz="4" w:space="0" w:color="auto"/>
              <w:left w:val="single" w:sz="4" w:space="0" w:color="auto"/>
              <w:bottom w:val="single" w:sz="4" w:space="0" w:color="auto"/>
              <w:right w:val="single" w:sz="4" w:space="0" w:color="auto"/>
            </w:tcBorders>
          </w:tcPr>
          <w:p w:rsidR="00CE7763" w:rsidRPr="00F459D2" w:rsidP="00CE7763">
            <w:r w:rsidRPr="003168AE">
              <w:t xml:space="preserve">Do not administer </w:t>
            </w:r>
            <w:r w:rsidRPr="003168AE">
              <w:rPr>
                <w:szCs w:val="16"/>
              </w:rPr>
              <w:t>trastuzumab emtansine</w:t>
            </w:r>
            <w:r w:rsidRPr="003168AE">
              <w:t xml:space="preserve"> until resolution </w:t>
            </w:r>
            <w:r w:rsidRPr="003168AE">
              <w:rPr>
                <w:rFonts w:ascii="Symbol" w:eastAsia="MS Mincho" w:hAnsi="Symbol"/>
              </w:rPr>
              <w:sym w:font="Symbol" w:char="F0A3"/>
            </w:r>
            <w:r w:rsidRPr="003168AE">
              <w:rPr>
                <w:rFonts w:ascii="Symbol" w:eastAsia="MS Mincho" w:hAnsi="Symbol"/>
              </w:rPr>
              <w:sym w:font="Symbol" w:char="F020"/>
            </w:r>
            <w:r w:rsidRPr="003168AE">
              <w:t>Grade 2</w:t>
            </w:r>
          </w:p>
        </w:tc>
      </w:tr>
      <w:tr w:rsidTr="00B31C1B">
        <w:tblPrEx>
          <w:tblW w:w="9056" w:type="dxa"/>
          <w:tblCellMar>
            <w:left w:w="0" w:type="dxa"/>
            <w:right w:w="0" w:type="dxa"/>
          </w:tblCellMar>
          <w:tblLook w:val="04A0"/>
        </w:tblPrEx>
        <w:trPr>
          <w:trHeight w:val="155"/>
        </w:trPr>
        <w:tc>
          <w:tcPr>
            <w:tcW w:w="0" w:type="auto"/>
            <w:vMerge w:val="restart"/>
            <w:tcBorders>
              <w:top w:val="single" w:sz="4" w:space="0" w:color="auto"/>
              <w:left w:val="single" w:sz="4" w:space="0" w:color="auto"/>
              <w:right w:val="single" w:sz="4" w:space="0" w:color="auto"/>
            </w:tcBorders>
            <w:tcMar>
              <w:top w:w="30" w:type="dxa"/>
              <w:left w:w="45" w:type="dxa"/>
              <w:bottom w:w="30" w:type="dxa"/>
              <w:right w:w="45" w:type="dxa"/>
            </w:tcMar>
          </w:tcPr>
          <w:p w:rsidR="00CE7763" w:rsidRPr="00F459D2" w:rsidP="00CE7763">
            <w:r w:rsidRPr="00F459D2">
              <w:t>Left Vent</w:t>
            </w:r>
            <w:r w:rsidRPr="00F459D2">
              <w:t xml:space="preserve">ricular Dysfunction </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CE7763" w:rsidRPr="00F459D2" w:rsidP="00CE7763">
            <w:pPr>
              <w:rPr>
                <w:lang w:val="en-029"/>
              </w:rPr>
            </w:pPr>
            <w:r w:rsidRPr="00F459D2">
              <w:t>LVEF &lt; 45%</w:t>
            </w:r>
          </w:p>
        </w:tc>
        <w:tc>
          <w:tcPr>
            <w:tcW w:w="0" w:type="auto"/>
            <w:tcBorders>
              <w:top w:val="single" w:sz="4" w:space="0" w:color="auto"/>
              <w:left w:val="single" w:sz="4" w:space="0" w:color="auto"/>
              <w:bottom w:val="single" w:sz="4" w:space="0" w:color="auto"/>
              <w:right w:val="single" w:sz="4" w:space="0" w:color="auto"/>
            </w:tcBorders>
          </w:tcPr>
          <w:p w:rsidR="00CE7763" w:rsidRPr="00B34766" w:rsidP="00CE7763">
            <w:pPr>
              <w:rPr>
                <w:lang w:val="en-029"/>
              </w:rPr>
            </w:pPr>
            <w:r w:rsidRPr="00F459D2">
              <w:rPr>
                <w:lang w:val="en-029"/>
              </w:rPr>
              <w:t xml:space="preserve">Do not administer </w:t>
            </w:r>
            <w:r w:rsidRPr="00F459D2">
              <w:rPr>
                <w:szCs w:val="16"/>
              </w:rPr>
              <w:t>trastuzumab emtansine</w:t>
            </w:r>
            <w:r w:rsidRPr="00F459D2">
              <w:rPr>
                <w:lang w:val="en-029"/>
              </w:rPr>
              <w:t xml:space="preserve"> .</w:t>
              <w:br/>
              <w:t xml:space="preserve">Repeat LVEF assessment within 3 weeks. </w:t>
            </w:r>
            <w:r w:rsidRPr="001B4A07">
              <w:t xml:space="preserve">If LVEF &lt; </w:t>
            </w:r>
            <w:r w:rsidRPr="00B34766">
              <w:t xml:space="preserve">45% is confirmed, discontinue </w:t>
            </w:r>
            <w:r w:rsidRPr="00B34766">
              <w:rPr>
                <w:szCs w:val="16"/>
              </w:rPr>
              <w:t>trastuzumab emtansine.</w:t>
            </w:r>
          </w:p>
        </w:tc>
      </w:tr>
      <w:tr w:rsidTr="00B31C1B">
        <w:tblPrEx>
          <w:tblW w:w="9056" w:type="dxa"/>
          <w:tblCellMar>
            <w:left w:w="0" w:type="dxa"/>
            <w:right w:w="0" w:type="dxa"/>
          </w:tblCellMar>
          <w:tblLook w:val="04A0"/>
        </w:tblPrEx>
        <w:trPr>
          <w:trHeight w:val="155"/>
        </w:trPr>
        <w:tc>
          <w:tcPr>
            <w:tcW w:w="0" w:type="auto"/>
            <w:vMerge/>
            <w:tcBorders>
              <w:left w:val="single" w:sz="4" w:space="0" w:color="auto"/>
              <w:right w:val="single" w:sz="4" w:space="0" w:color="auto"/>
            </w:tcBorders>
            <w:tcMar>
              <w:top w:w="30" w:type="dxa"/>
              <w:left w:w="45" w:type="dxa"/>
              <w:bottom w:w="30" w:type="dxa"/>
              <w:right w:w="45" w:type="dxa"/>
            </w:tcMar>
          </w:tcPr>
          <w:p w:rsidR="00CE7763" w:rsidRPr="00C12092" w:rsidP="00CE7763"/>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CE7763" w:rsidRPr="00C12092" w:rsidP="00CE7763">
            <w:r w:rsidRPr="00C12092">
              <w:rPr>
                <w:lang w:val="en-029"/>
              </w:rPr>
              <w:t>LVEF 45% to &lt; 50% and decrease is ≥ 10% points from baseline*</w:t>
            </w:r>
          </w:p>
        </w:tc>
        <w:tc>
          <w:tcPr>
            <w:tcW w:w="0" w:type="auto"/>
            <w:tcBorders>
              <w:top w:val="single" w:sz="4" w:space="0" w:color="auto"/>
              <w:left w:val="single" w:sz="4" w:space="0" w:color="auto"/>
              <w:bottom w:val="single" w:sz="4" w:space="0" w:color="auto"/>
              <w:right w:val="single" w:sz="4" w:space="0" w:color="auto"/>
            </w:tcBorders>
          </w:tcPr>
          <w:p w:rsidR="00CE7763" w:rsidRPr="00C12092" w:rsidP="00CE7763">
            <w:pPr>
              <w:rPr>
                <w:lang w:val="en-029"/>
              </w:rPr>
            </w:pPr>
            <w:r w:rsidRPr="00C12092">
              <w:rPr>
                <w:lang w:val="en-029"/>
              </w:rPr>
              <w:t>Do not administe</w:t>
            </w:r>
            <w:r w:rsidRPr="00C12092">
              <w:rPr>
                <w:lang w:val="en-029"/>
              </w:rPr>
              <w:t xml:space="preserve">r </w:t>
            </w:r>
            <w:r w:rsidRPr="00C12092">
              <w:rPr>
                <w:szCs w:val="16"/>
              </w:rPr>
              <w:t>trastuzumab emtansine.</w:t>
            </w:r>
            <w:r w:rsidRPr="00C12092">
              <w:rPr>
                <w:lang w:val="en-029"/>
              </w:rPr>
              <w:br/>
              <w:t xml:space="preserve">Repeat LVEF assessment within 3 weeks. If the LVEF remains &lt; 50% and has not recovered to &lt; 10% points from baseline, discontinue </w:t>
            </w:r>
            <w:r w:rsidRPr="00C12092">
              <w:rPr>
                <w:szCs w:val="16"/>
              </w:rPr>
              <w:t>trastuzumab emtansine</w:t>
            </w:r>
            <w:r w:rsidRPr="00C12092">
              <w:rPr>
                <w:lang w:val="en-029"/>
              </w:rPr>
              <w:t>.</w:t>
            </w:r>
          </w:p>
        </w:tc>
      </w:tr>
      <w:tr w:rsidTr="00B31C1B">
        <w:tblPrEx>
          <w:tblW w:w="9056" w:type="dxa"/>
          <w:tblCellMar>
            <w:left w:w="0" w:type="dxa"/>
            <w:right w:w="0" w:type="dxa"/>
          </w:tblCellMar>
          <w:tblLook w:val="04A0"/>
        </w:tblPrEx>
        <w:trPr>
          <w:trHeight w:val="155"/>
        </w:trPr>
        <w:tc>
          <w:tcPr>
            <w:tcW w:w="0" w:type="auto"/>
            <w:vMerge/>
            <w:tcBorders>
              <w:left w:val="single" w:sz="4" w:space="0" w:color="auto"/>
              <w:right w:val="single" w:sz="4" w:space="0" w:color="auto"/>
            </w:tcBorders>
            <w:tcMar>
              <w:top w:w="30" w:type="dxa"/>
              <w:left w:w="45" w:type="dxa"/>
              <w:bottom w:w="30" w:type="dxa"/>
              <w:right w:w="45" w:type="dxa"/>
            </w:tcMar>
          </w:tcPr>
          <w:p w:rsidR="00CE7763" w:rsidRPr="00B5194C" w:rsidP="00CE7763"/>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CE7763" w:rsidRPr="00B5194C" w:rsidP="00CE7763">
            <w:pPr>
              <w:rPr>
                <w:lang w:val="en-029"/>
              </w:rPr>
            </w:pPr>
            <w:r w:rsidRPr="00B5194C">
              <w:rPr>
                <w:lang w:val="en-029"/>
              </w:rPr>
              <w:t>LVEF 45% to &lt; 50% and decrease is &lt; 10% points from baseline*</w:t>
            </w:r>
          </w:p>
        </w:tc>
        <w:tc>
          <w:tcPr>
            <w:tcW w:w="0" w:type="auto"/>
            <w:tcBorders>
              <w:top w:val="single" w:sz="4" w:space="0" w:color="auto"/>
              <w:left w:val="single" w:sz="4" w:space="0" w:color="auto"/>
              <w:bottom w:val="single" w:sz="4" w:space="0" w:color="auto"/>
              <w:right w:val="single" w:sz="4" w:space="0" w:color="auto"/>
            </w:tcBorders>
          </w:tcPr>
          <w:p w:rsidR="00CE7763" w:rsidP="00CE7763">
            <w:pPr>
              <w:rPr>
                <w:lang w:val="en-029"/>
              </w:rPr>
            </w:pPr>
            <w:r w:rsidRPr="00B5194C">
              <w:rPr>
                <w:lang w:val="en-029"/>
              </w:rPr>
              <w:t>Co</w:t>
            </w:r>
            <w:r>
              <w:rPr>
                <w:lang w:val="en-029"/>
              </w:rPr>
              <w:t xml:space="preserve">ntinue treatment with </w:t>
            </w:r>
            <w:r>
              <w:rPr>
                <w:szCs w:val="16"/>
              </w:rPr>
              <w:t>trastuzumab emtansine</w:t>
            </w:r>
            <w:r>
              <w:rPr>
                <w:lang w:val="en-029"/>
              </w:rPr>
              <w:t xml:space="preserve">. </w:t>
            </w:r>
            <w:r w:rsidRPr="00B5194C">
              <w:rPr>
                <w:lang w:val="en-029"/>
              </w:rPr>
              <w:br/>
              <w:t xml:space="preserve">Repeat LVEF assessment within 3 weeks. </w:t>
            </w:r>
          </w:p>
        </w:tc>
      </w:tr>
      <w:tr w:rsidTr="00B31C1B">
        <w:tblPrEx>
          <w:tblW w:w="9056" w:type="dxa"/>
          <w:tblCellMar>
            <w:left w:w="0" w:type="dxa"/>
            <w:right w:w="0" w:type="dxa"/>
          </w:tblCellMar>
          <w:tblLook w:val="04A0"/>
        </w:tblPrEx>
        <w:trPr>
          <w:trHeight w:val="155"/>
        </w:trPr>
        <w:tc>
          <w:tcPr>
            <w:tcW w:w="0" w:type="auto"/>
            <w:vMerge/>
            <w:tcBorders>
              <w:left w:val="single" w:sz="4" w:space="0" w:color="auto"/>
              <w:bottom w:val="single" w:sz="4" w:space="0" w:color="auto"/>
              <w:right w:val="single" w:sz="4" w:space="0" w:color="auto"/>
            </w:tcBorders>
            <w:tcMar>
              <w:top w:w="30" w:type="dxa"/>
              <w:left w:w="45" w:type="dxa"/>
              <w:bottom w:w="30" w:type="dxa"/>
              <w:right w:w="45" w:type="dxa"/>
            </w:tcMar>
          </w:tcPr>
          <w:p w:rsidR="00CE7763" w:rsidRPr="00B5194C" w:rsidP="00CE7763"/>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CE7763" w:rsidRPr="00B5194C" w:rsidP="00CE7763">
            <w:pPr>
              <w:rPr>
                <w:lang w:val="en-029"/>
              </w:rPr>
            </w:pPr>
            <w:r w:rsidRPr="00B5194C">
              <w:t>LVEF ≥ 50%</w:t>
            </w:r>
          </w:p>
        </w:tc>
        <w:tc>
          <w:tcPr>
            <w:tcW w:w="0" w:type="auto"/>
            <w:tcBorders>
              <w:top w:val="single" w:sz="4" w:space="0" w:color="auto"/>
              <w:left w:val="single" w:sz="4" w:space="0" w:color="auto"/>
              <w:bottom w:val="single" w:sz="4" w:space="0" w:color="auto"/>
              <w:right w:val="single" w:sz="4" w:space="0" w:color="auto"/>
            </w:tcBorders>
          </w:tcPr>
          <w:p w:rsidR="00CE7763" w:rsidRPr="00B5194C" w:rsidP="00CE7763">
            <w:pPr>
              <w:rPr>
                <w:lang w:val="en-029"/>
              </w:rPr>
            </w:pPr>
            <w:r w:rsidRPr="00B5194C">
              <w:rPr>
                <w:lang w:val="en-029"/>
              </w:rPr>
              <w:t>Co</w:t>
            </w:r>
            <w:r>
              <w:rPr>
                <w:lang w:val="en-029"/>
              </w:rPr>
              <w:t xml:space="preserve">ntinue treatment with </w:t>
            </w:r>
            <w:r>
              <w:rPr>
                <w:szCs w:val="16"/>
              </w:rPr>
              <w:t>trastuzumab emtansine</w:t>
            </w:r>
          </w:p>
        </w:tc>
      </w:tr>
      <w:tr w:rsidTr="00B31C1B">
        <w:tblPrEx>
          <w:tblW w:w="9056" w:type="dxa"/>
          <w:tblCellMar>
            <w:left w:w="0" w:type="dxa"/>
            <w:right w:w="0" w:type="dxa"/>
          </w:tblCellMar>
          <w:tblLook w:val="04A0"/>
        </w:tblPrEx>
        <w:trPr>
          <w:trHeight w:val="1950"/>
        </w:trPr>
        <w:tc>
          <w:tcPr>
            <w:tcW w:w="0" w:type="auto"/>
            <w:tcBorders>
              <w:top w:val="single" w:sz="4" w:space="0" w:color="auto"/>
              <w:left w:val="single" w:sz="4" w:space="0" w:color="auto"/>
              <w:right w:val="single" w:sz="4" w:space="0" w:color="auto"/>
            </w:tcBorders>
            <w:tcMar>
              <w:top w:w="30" w:type="dxa"/>
              <w:left w:w="45" w:type="dxa"/>
              <w:bottom w:w="30" w:type="dxa"/>
              <w:right w:w="45" w:type="dxa"/>
            </w:tcMar>
          </w:tcPr>
          <w:p w:rsidR="00CE7763" w:rsidRPr="00B5194C" w:rsidP="00CE7763">
            <w:r w:rsidRPr="00B5194C">
              <w:t>Heart Failure</w:t>
            </w:r>
          </w:p>
        </w:tc>
        <w:tc>
          <w:tcPr>
            <w:tcW w:w="0" w:type="auto"/>
            <w:tcBorders>
              <w:top w:val="single" w:sz="4" w:space="0" w:color="auto"/>
              <w:left w:val="single" w:sz="4" w:space="0" w:color="auto"/>
              <w:right w:val="single" w:sz="4" w:space="0" w:color="auto"/>
            </w:tcBorders>
            <w:tcMar>
              <w:top w:w="30" w:type="dxa"/>
              <w:left w:w="45" w:type="dxa"/>
              <w:bottom w:w="30" w:type="dxa"/>
              <w:right w:w="45" w:type="dxa"/>
            </w:tcMar>
            <w:vAlign w:val="bottom"/>
          </w:tcPr>
          <w:p w:rsidR="00CE7763" w:rsidRPr="00B5194C" w:rsidP="00CE7763">
            <w:r w:rsidRPr="00B5194C">
              <w:t>Symptomatic CHF</w:t>
            </w:r>
            <w:r>
              <w:t>,</w:t>
            </w:r>
          </w:p>
          <w:p w:rsidR="00CE7763" w:rsidRPr="00B5194C" w:rsidP="00CE7763">
            <w:r w:rsidRPr="003032C1">
              <w:rPr>
                <w:lang w:val="en-029"/>
              </w:rPr>
              <w:t>Grade 3-4 LVSD or Grade 3-4 heart failure</w:t>
            </w:r>
            <w:r>
              <w:rPr>
                <w:lang w:val="en-029"/>
              </w:rPr>
              <w:t>, or</w:t>
            </w:r>
          </w:p>
          <w:p w:rsidR="00CE7763" w:rsidRPr="00B5194C" w:rsidP="00CE7763">
            <w:r w:rsidRPr="003032C1">
              <w:rPr>
                <w:bCs/>
                <w:lang w:val="en-029"/>
              </w:rPr>
              <w:t xml:space="preserve">Grade 2 heart failure </w:t>
              <w:br/>
              <w:t xml:space="preserve">accompanied by LVEF &lt;45% </w:t>
            </w:r>
          </w:p>
        </w:tc>
        <w:tc>
          <w:tcPr>
            <w:tcW w:w="0" w:type="auto"/>
            <w:tcBorders>
              <w:top w:val="single" w:sz="4" w:space="0" w:color="auto"/>
              <w:left w:val="single" w:sz="4" w:space="0" w:color="auto"/>
              <w:right w:val="single" w:sz="4" w:space="0" w:color="auto"/>
            </w:tcBorders>
          </w:tcPr>
          <w:p w:rsidR="00CE7763" w:rsidRPr="00B5194C" w:rsidP="00CE7763">
            <w:pPr>
              <w:rPr>
                <w:lang w:val="en-029"/>
              </w:rPr>
            </w:pPr>
            <w:r w:rsidRPr="00B5194C">
              <w:t xml:space="preserve">Discontinue </w:t>
            </w:r>
            <w:r>
              <w:rPr>
                <w:szCs w:val="16"/>
              </w:rPr>
              <w:t>trastuzumab emtansine</w:t>
            </w:r>
          </w:p>
        </w:tc>
      </w:tr>
      <w:tr w:rsidTr="00B31C1B">
        <w:tblPrEx>
          <w:tblW w:w="9056" w:type="dxa"/>
          <w:tblCellMar>
            <w:left w:w="0" w:type="dxa"/>
            <w:right w:w="0" w:type="dxa"/>
          </w:tblCellMar>
          <w:tblLook w:val="04A0"/>
        </w:tblPrEx>
        <w:trPr>
          <w:trHeight w:val="707"/>
        </w:trPr>
        <w:tc>
          <w:tcPr>
            <w:tcW w:w="0" w:type="auto"/>
            <w:tcBorders>
              <w:top w:val="single" w:sz="4" w:space="0" w:color="auto"/>
              <w:left w:val="single" w:sz="4" w:space="0" w:color="auto"/>
              <w:right w:val="single" w:sz="4" w:space="0" w:color="auto"/>
            </w:tcBorders>
            <w:tcMar>
              <w:top w:w="30" w:type="dxa"/>
              <w:left w:w="45" w:type="dxa"/>
              <w:bottom w:w="30" w:type="dxa"/>
              <w:right w:w="45" w:type="dxa"/>
            </w:tcMar>
          </w:tcPr>
          <w:p w:rsidR="00CE7763" w:rsidRPr="00F459D2" w:rsidP="00CE7763">
            <w:r w:rsidRPr="00F459D2">
              <w:t>Pulmonary Toxicity</w:t>
            </w:r>
          </w:p>
        </w:tc>
        <w:tc>
          <w:tcPr>
            <w:tcW w:w="0" w:type="auto"/>
            <w:tcBorders>
              <w:top w:val="single" w:sz="4" w:space="0" w:color="auto"/>
              <w:left w:val="single" w:sz="4" w:space="0" w:color="auto"/>
              <w:right w:val="single" w:sz="4" w:space="0" w:color="auto"/>
            </w:tcBorders>
            <w:tcMar>
              <w:top w:w="30" w:type="dxa"/>
              <w:left w:w="45" w:type="dxa"/>
              <w:bottom w:w="30" w:type="dxa"/>
              <w:right w:w="45" w:type="dxa"/>
            </w:tcMar>
          </w:tcPr>
          <w:p w:rsidR="00CE7763" w:rsidRPr="00F459D2" w:rsidP="00CE7763">
            <w:r w:rsidRPr="00F459D2">
              <w:t xml:space="preserve">Interstitial lung </w:t>
            </w:r>
            <w:r w:rsidRPr="00F459D2">
              <w:t>disease (ILD) or pneumonitis</w:t>
            </w:r>
          </w:p>
        </w:tc>
        <w:tc>
          <w:tcPr>
            <w:tcW w:w="0" w:type="auto"/>
            <w:tcBorders>
              <w:top w:val="single" w:sz="4" w:space="0" w:color="auto"/>
              <w:left w:val="single" w:sz="4" w:space="0" w:color="auto"/>
              <w:right w:val="single" w:sz="4" w:space="0" w:color="auto"/>
            </w:tcBorders>
          </w:tcPr>
          <w:p w:rsidR="00CE7763" w:rsidRPr="00F459D2" w:rsidP="00CE7763">
            <w:r w:rsidRPr="00F459D2">
              <w:t xml:space="preserve">Permanently discontinue </w:t>
            </w:r>
            <w:r w:rsidRPr="00F459D2">
              <w:rPr>
                <w:szCs w:val="16"/>
              </w:rPr>
              <w:t>trastuzumab emtansine</w:t>
            </w:r>
          </w:p>
        </w:tc>
      </w:tr>
      <w:tr w:rsidTr="00B31C1B">
        <w:tblPrEx>
          <w:tblW w:w="9056" w:type="dxa"/>
          <w:tblCellMar>
            <w:left w:w="0" w:type="dxa"/>
            <w:right w:w="0" w:type="dxa"/>
          </w:tblCellMar>
          <w:tblLook w:val="04A0"/>
        </w:tblPrEx>
        <w:trPr>
          <w:trHeight w:val="707"/>
        </w:trPr>
        <w:tc>
          <w:tcPr>
            <w:tcW w:w="0" w:type="auto"/>
            <w:vMerge w:val="restart"/>
            <w:tcBorders>
              <w:top w:val="single" w:sz="4" w:space="0" w:color="auto"/>
              <w:left w:val="single" w:sz="4" w:space="0" w:color="auto"/>
              <w:right w:val="single" w:sz="4" w:space="0" w:color="auto"/>
            </w:tcBorders>
            <w:tcMar>
              <w:top w:w="30" w:type="dxa"/>
              <w:left w:w="45" w:type="dxa"/>
              <w:bottom w:w="30" w:type="dxa"/>
              <w:right w:w="45" w:type="dxa"/>
            </w:tcMar>
          </w:tcPr>
          <w:p w:rsidR="00CE7763" w:rsidRPr="00F459D2" w:rsidP="00CE7763">
            <w:r w:rsidRPr="00F459D2">
              <w:t>Radiotherapy-Related Pneumonitis</w:t>
            </w:r>
          </w:p>
        </w:tc>
        <w:tc>
          <w:tcPr>
            <w:tcW w:w="0" w:type="auto"/>
            <w:tcBorders>
              <w:top w:val="single" w:sz="4" w:space="0" w:color="auto"/>
              <w:left w:val="single" w:sz="4" w:space="0" w:color="auto"/>
              <w:right w:val="single" w:sz="4" w:space="0" w:color="auto"/>
            </w:tcBorders>
            <w:tcMar>
              <w:top w:w="30" w:type="dxa"/>
              <w:left w:w="45" w:type="dxa"/>
              <w:bottom w:w="30" w:type="dxa"/>
              <w:right w:w="45" w:type="dxa"/>
            </w:tcMar>
          </w:tcPr>
          <w:p w:rsidR="00CE7763" w:rsidRPr="00F459D2" w:rsidP="00CE7763">
            <w:r w:rsidRPr="00F459D2">
              <w:t>Grade 2</w:t>
            </w:r>
          </w:p>
        </w:tc>
        <w:tc>
          <w:tcPr>
            <w:tcW w:w="0" w:type="auto"/>
            <w:tcBorders>
              <w:top w:val="single" w:sz="4" w:space="0" w:color="auto"/>
              <w:left w:val="single" w:sz="4" w:space="0" w:color="auto"/>
              <w:right w:val="single" w:sz="4" w:space="0" w:color="auto"/>
            </w:tcBorders>
          </w:tcPr>
          <w:p w:rsidR="00CE7763" w:rsidRPr="00F459D2" w:rsidP="00CE7763">
            <w:r w:rsidRPr="00F459D2">
              <w:t xml:space="preserve">Discontinue </w:t>
            </w:r>
            <w:r w:rsidRPr="00F459D2">
              <w:rPr>
                <w:szCs w:val="16"/>
              </w:rPr>
              <w:t>trastuzumab emtansine</w:t>
            </w:r>
            <w:r w:rsidRPr="00F459D2">
              <w:t xml:space="preserve"> if not resolving with standard treatment</w:t>
            </w:r>
          </w:p>
        </w:tc>
      </w:tr>
      <w:tr w:rsidTr="00AA09E3">
        <w:tblPrEx>
          <w:tblW w:w="9056" w:type="dxa"/>
          <w:tblCellMar>
            <w:left w:w="0" w:type="dxa"/>
            <w:right w:w="0" w:type="dxa"/>
          </w:tblCellMar>
          <w:tblLook w:val="04A0"/>
        </w:tblPrEx>
        <w:trPr>
          <w:trHeight w:val="707"/>
        </w:trPr>
        <w:tc>
          <w:tcPr>
            <w:tcW w:w="0" w:type="auto"/>
            <w:vMerge/>
            <w:tcBorders>
              <w:left w:val="single" w:sz="4" w:space="0" w:color="auto"/>
              <w:right w:val="single" w:sz="4" w:space="0" w:color="auto"/>
            </w:tcBorders>
            <w:tcMar>
              <w:top w:w="30" w:type="dxa"/>
              <w:left w:w="45" w:type="dxa"/>
              <w:bottom w:w="30" w:type="dxa"/>
              <w:right w:w="45" w:type="dxa"/>
            </w:tcMar>
          </w:tcPr>
          <w:p w:rsidR="00CE7763" w:rsidRPr="00C12092" w:rsidP="00CE7763"/>
        </w:tc>
        <w:tc>
          <w:tcPr>
            <w:tcW w:w="0" w:type="auto"/>
            <w:tcBorders>
              <w:top w:val="single" w:sz="4" w:space="0" w:color="auto"/>
              <w:left w:val="single" w:sz="4" w:space="0" w:color="auto"/>
              <w:right w:val="single" w:sz="4" w:space="0" w:color="auto"/>
            </w:tcBorders>
            <w:tcMar>
              <w:top w:w="30" w:type="dxa"/>
              <w:left w:w="45" w:type="dxa"/>
              <w:bottom w:w="30" w:type="dxa"/>
              <w:right w:w="45" w:type="dxa"/>
            </w:tcMar>
          </w:tcPr>
          <w:p w:rsidR="00CE7763" w:rsidRPr="00C12092" w:rsidP="00CE7763">
            <w:r w:rsidRPr="00C12092">
              <w:t>Grade 3-4</w:t>
            </w:r>
          </w:p>
        </w:tc>
        <w:tc>
          <w:tcPr>
            <w:tcW w:w="0" w:type="auto"/>
            <w:tcBorders>
              <w:top w:val="single" w:sz="4" w:space="0" w:color="auto"/>
              <w:left w:val="single" w:sz="4" w:space="0" w:color="auto"/>
              <w:right w:val="single" w:sz="4" w:space="0" w:color="auto"/>
            </w:tcBorders>
          </w:tcPr>
          <w:p w:rsidR="00CE7763" w:rsidRPr="00C12092" w:rsidP="00CE7763">
            <w:r w:rsidRPr="00C12092">
              <w:t xml:space="preserve">Discontinue </w:t>
            </w:r>
            <w:r w:rsidRPr="00C12092">
              <w:rPr>
                <w:szCs w:val="16"/>
              </w:rPr>
              <w:t>trastuzumab emtansine</w:t>
            </w:r>
          </w:p>
        </w:tc>
      </w:tr>
      <w:tr w:rsidTr="002B1C38">
        <w:tblPrEx>
          <w:tblW w:w="9056" w:type="dxa"/>
          <w:tblCellMar>
            <w:left w:w="0" w:type="dxa"/>
            <w:right w:w="0" w:type="dxa"/>
          </w:tblCellMar>
          <w:tblLook w:val="04A0"/>
        </w:tblPrEx>
        <w:trPr>
          <w:trHeight w:val="315"/>
        </w:trPr>
        <w:tc>
          <w:tcPr>
            <w:tcW w:w="0" w:type="auto"/>
            <w:gridSpan w:val="3"/>
            <w:tcBorders>
              <w:top w:val="single" w:sz="4" w:space="0" w:color="auto"/>
              <w:left w:val="single" w:sz="4" w:space="0" w:color="auto"/>
              <w:bottom w:val="single" w:sz="4" w:space="0" w:color="auto"/>
              <w:right w:val="single" w:sz="4" w:space="0" w:color="auto"/>
            </w:tcBorders>
            <w:shd w:val="clear" w:color="auto" w:fill="BFBFBF"/>
            <w:tcMar>
              <w:top w:w="30" w:type="dxa"/>
              <w:left w:w="0" w:type="dxa"/>
              <w:bottom w:w="30" w:type="dxa"/>
              <w:right w:w="0" w:type="dxa"/>
            </w:tcMar>
            <w:vAlign w:val="bottom"/>
          </w:tcPr>
          <w:p w:rsidR="00CE7763" w:rsidRPr="00C12092" w:rsidP="00CE7763">
            <w:pPr>
              <w:jc w:val="center"/>
              <w:rPr>
                <w:b/>
              </w:rPr>
            </w:pPr>
            <w:r w:rsidRPr="00C12092">
              <w:rPr>
                <w:b/>
              </w:rPr>
              <w:t>Dose Modifications for Patients with MBC</w:t>
            </w:r>
          </w:p>
        </w:tc>
      </w:tr>
      <w:tr w:rsidTr="00B31C1B">
        <w:tblPrEx>
          <w:tblW w:w="9056" w:type="dxa"/>
          <w:tblCellMar>
            <w:left w:w="0" w:type="dxa"/>
            <w:right w:w="0" w:type="dxa"/>
          </w:tblCellMar>
          <w:tblLook w:val="04A0"/>
        </w:tblPrEx>
        <w:trPr>
          <w:trHeight w:val="315"/>
        </w:trPr>
        <w:tc>
          <w:tcPr>
            <w:tcW w:w="0" w:type="auto"/>
            <w:tcBorders>
              <w:top w:val="single" w:sz="4" w:space="0" w:color="auto"/>
              <w:left w:val="single" w:sz="4" w:space="0" w:color="auto"/>
              <w:bottom w:val="single" w:sz="4" w:space="0" w:color="auto"/>
              <w:right w:val="single" w:sz="4" w:space="0" w:color="auto"/>
            </w:tcBorders>
            <w:tcMar>
              <w:top w:w="30" w:type="dxa"/>
              <w:left w:w="0" w:type="dxa"/>
              <w:bottom w:w="30" w:type="dxa"/>
              <w:right w:w="0" w:type="dxa"/>
            </w:tcMar>
            <w:vAlign w:val="bottom"/>
          </w:tcPr>
          <w:p w:rsidR="00CE7763" w:rsidRPr="00C12092" w:rsidP="00CE7763">
            <w:pPr>
              <w:rPr>
                <w:b/>
                <w:bCs/>
                <w:lang w:val="en-029"/>
              </w:rPr>
            </w:pPr>
            <w:r w:rsidRPr="00C12092">
              <w:rPr>
                <w:b/>
              </w:rPr>
              <w:t>Adverse reaction</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rsidR="00CE7763" w:rsidRPr="00C12092" w:rsidP="00CE7763">
            <w:pPr>
              <w:rPr>
                <w:b/>
                <w:bCs/>
                <w:lang w:val="en-029"/>
              </w:rPr>
            </w:pPr>
            <w:r w:rsidRPr="00C12092">
              <w:rPr>
                <w:b/>
                <w:bCs/>
                <w:lang w:val="en-029"/>
              </w:rPr>
              <w:t>Severity</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CE7763" w:rsidRPr="00C12092" w:rsidP="00CE7763">
            <w:pPr>
              <w:jc w:val="center"/>
              <w:rPr>
                <w:b/>
              </w:rPr>
            </w:pPr>
            <w:r w:rsidRPr="00C12092">
              <w:rPr>
                <w:b/>
              </w:rPr>
              <w:t>Treatment modification</w:t>
            </w:r>
          </w:p>
        </w:tc>
      </w:tr>
      <w:tr w:rsidTr="00B31C1B">
        <w:tblPrEx>
          <w:tblW w:w="9056" w:type="dxa"/>
          <w:tblCellMar>
            <w:left w:w="0" w:type="dxa"/>
            <w:right w:w="0" w:type="dxa"/>
          </w:tblCellMar>
          <w:tblLook w:val="04A0"/>
        </w:tblPrEx>
        <w:trPr>
          <w:trHeight w:val="315"/>
        </w:trPr>
        <w:tc>
          <w:tcPr>
            <w:tcW w:w="0" w:type="auto"/>
            <w:vMerge w:val="restart"/>
            <w:tcBorders>
              <w:top w:val="single" w:sz="4" w:space="0" w:color="auto"/>
              <w:left w:val="single" w:sz="4" w:space="0" w:color="auto"/>
              <w:right w:val="single" w:sz="4" w:space="0" w:color="auto"/>
            </w:tcBorders>
            <w:tcMar>
              <w:top w:w="30" w:type="dxa"/>
              <w:left w:w="0" w:type="dxa"/>
              <w:bottom w:w="30" w:type="dxa"/>
              <w:right w:w="0" w:type="dxa"/>
            </w:tcMar>
          </w:tcPr>
          <w:p w:rsidR="00CE7763" w:rsidRPr="00F459D2" w:rsidP="00CE7763">
            <w:r w:rsidRPr="00F459D2">
              <w:t>Thrombocytopenia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CE7763" w:rsidRPr="00F459D2" w:rsidP="00CE7763">
            <w:pPr>
              <w:rPr>
                <w:rFonts w:eastAsia="MS Mincho"/>
              </w:rPr>
            </w:pPr>
            <w:r w:rsidRPr="00F459D2">
              <w:rPr>
                <w:rFonts w:eastAsia="MS Mincho"/>
              </w:rPr>
              <w:t xml:space="preserve">Grade 3 </w:t>
            </w:r>
          </w:p>
          <w:p w:rsidR="00CE7763" w:rsidRPr="00F459D2" w:rsidP="00CE7763">
            <w:r w:rsidRPr="00F459D2">
              <w:rPr>
                <w:rFonts w:eastAsia="MS Mincho"/>
              </w:rPr>
              <w:t xml:space="preserve">(25,000 to </w:t>
            </w:r>
            <w:r w:rsidRPr="00F459D2">
              <w:rPr>
                <w:rFonts w:ascii="Symbol" w:eastAsia="MS Mincho" w:hAnsi="Symbol"/>
              </w:rPr>
              <w:sym w:font="Symbol" w:char="F03C"/>
            </w:r>
            <w:r w:rsidRPr="00F459D2">
              <w:rPr>
                <w:rFonts w:eastAsia="MS Mincho"/>
              </w:rPr>
              <w:t> 50,000/mm</w:t>
            </w:r>
            <w:r w:rsidRPr="00F459D2">
              <w:rPr>
                <w:rFonts w:eastAsia="MS Mincho"/>
                <w:vertAlign w:val="superscript"/>
              </w:rPr>
              <w:t>3</w:t>
            </w:r>
            <w:r w:rsidRPr="00F459D2">
              <w:rPr>
                <w:rFonts w:eastAsia="MS Mincho"/>
              </w:rPr>
              <w:t>)</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CE7763" w:rsidRPr="00F459D2" w:rsidP="00CE7763">
            <w:pPr>
              <w:keepNext/>
              <w:keepLines/>
              <w:spacing w:line="280" w:lineRule="atLeast"/>
              <w:rPr>
                <w:rFonts w:eastAsia="MS Mincho"/>
              </w:rPr>
            </w:pPr>
            <w:r w:rsidRPr="00F459D2">
              <w:rPr>
                <w:rFonts w:eastAsia="MS Mincho"/>
              </w:rPr>
              <w:t xml:space="preserve">Do not administer </w:t>
            </w:r>
            <w:r w:rsidRPr="00F459D2">
              <w:rPr>
                <w:szCs w:val="16"/>
              </w:rPr>
              <w:t>trastuzumab emtansine</w:t>
            </w:r>
            <w:r w:rsidRPr="00F459D2">
              <w:rPr>
                <w:rFonts w:eastAsia="MS Mincho"/>
              </w:rPr>
              <w:t xml:space="preserve"> until platelet count recovers to </w:t>
            </w:r>
            <w:r w:rsidRPr="00F459D2">
              <w:rPr>
                <w:rFonts w:ascii="Symbol" w:eastAsia="MS Mincho" w:hAnsi="Symbol"/>
              </w:rPr>
              <w:sym w:font="Symbol" w:char="F0A3"/>
            </w:r>
            <w:r w:rsidRPr="00F459D2">
              <w:rPr>
                <w:rFonts w:eastAsia="MS Mincho"/>
              </w:rPr>
              <w:t xml:space="preserve"> Grade 1 (≥ 75,000/mm</w:t>
            </w:r>
            <w:r w:rsidRPr="00F459D2">
              <w:rPr>
                <w:rFonts w:eastAsia="MS Mincho"/>
                <w:vertAlign w:val="superscript"/>
              </w:rPr>
              <w:t>3</w:t>
            </w:r>
            <w:r w:rsidRPr="00F459D2">
              <w:rPr>
                <w:rFonts w:eastAsia="MS Mincho"/>
              </w:rPr>
              <w:t>), and then treat at the same dose level</w:t>
            </w:r>
          </w:p>
        </w:tc>
      </w:tr>
      <w:tr w:rsidTr="00AA09E3">
        <w:tblPrEx>
          <w:tblW w:w="9056" w:type="dxa"/>
          <w:tblCellMar>
            <w:left w:w="0" w:type="dxa"/>
            <w:right w:w="0" w:type="dxa"/>
          </w:tblCellMar>
          <w:tblLook w:val="04A0"/>
        </w:tblPrEx>
        <w:trPr>
          <w:trHeight w:val="315"/>
        </w:trPr>
        <w:tc>
          <w:tcPr>
            <w:tcW w:w="0" w:type="auto"/>
            <w:vMerge/>
            <w:tcBorders>
              <w:left w:val="single" w:sz="4" w:space="0" w:color="auto"/>
              <w:right w:val="single" w:sz="4" w:space="0" w:color="auto"/>
            </w:tcBorders>
            <w:tcMar>
              <w:top w:w="30" w:type="dxa"/>
              <w:left w:w="0" w:type="dxa"/>
              <w:bottom w:w="30" w:type="dxa"/>
              <w:right w:w="0" w:type="dxa"/>
            </w:tcMar>
          </w:tcPr>
          <w:p w:rsidR="00CE7763" w:rsidRPr="00F459D2" w:rsidP="00CE7763"/>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CE7763" w:rsidRPr="00F459D2" w:rsidP="00CE7763">
            <w:pPr>
              <w:rPr>
                <w:rFonts w:eastAsia="MS Mincho"/>
              </w:rPr>
            </w:pPr>
            <w:r w:rsidRPr="00F459D2">
              <w:rPr>
                <w:rFonts w:eastAsia="MS Mincho"/>
              </w:rPr>
              <w:t>Grade 4</w:t>
            </w:r>
          </w:p>
          <w:p w:rsidR="00CE7763" w:rsidRPr="00F459D2" w:rsidP="00CE7763">
            <w:r w:rsidRPr="00F459D2">
              <w:rPr>
                <w:rFonts w:ascii="Symbol" w:eastAsia="MS Mincho" w:hAnsi="Symbol"/>
              </w:rPr>
              <w:sym w:font="Symbol" w:char="F028"/>
            </w:r>
            <w:r w:rsidRPr="00F459D2">
              <w:rPr>
                <w:rFonts w:ascii="Symbol" w:eastAsia="MS Mincho" w:hAnsi="Symbol"/>
              </w:rPr>
              <w:sym w:font="Symbol" w:char="F03C"/>
            </w:r>
            <w:r w:rsidRPr="00F459D2">
              <w:rPr>
                <w:rFonts w:eastAsia="MS Mincho"/>
              </w:rPr>
              <w:t> 25,000/mm</w:t>
            </w:r>
            <w:r w:rsidRPr="00F459D2">
              <w:rPr>
                <w:rFonts w:eastAsia="MS Mincho"/>
                <w:vertAlign w:val="superscript"/>
              </w:rPr>
              <w:t>3</w:t>
            </w:r>
            <w:r w:rsidRPr="00F459D2">
              <w:rPr>
                <w:rFonts w:eastAsia="MS Mincho"/>
              </w:rPr>
              <w:t>)</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CE7763" w:rsidRPr="00F459D2" w:rsidP="00CE7763">
            <w:pPr>
              <w:keepNext/>
              <w:keepLines/>
              <w:spacing w:line="280" w:lineRule="atLeast"/>
              <w:rPr>
                <w:rFonts w:eastAsia="MS Mincho"/>
              </w:rPr>
            </w:pPr>
            <w:r w:rsidRPr="00F459D2">
              <w:rPr>
                <w:rFonts w:eastAsia="MS Mincho"/>
              </w:rPr>
              <w:t xml:space="preserve">Do not administer </w:t>
            </w:r>
            <w:r w:rsidRPr="00F459D2">
              <w:rPr>
                <w:szCs w:val="16"/>
              </w:rPr>
              <w:t>trastuzumab emtansine</w:t>
            </w:r>
            <w:r w:rsidRPr="00F459D2">
              <w:rPr>
                <w:rFonts w:eastAsia="MS Mincho"/>
              </w:rPr>
              <w:t xml:space="preserve"> until platelet count recovers to </w:t>
            </w:r>
            <w:r w:rsidRPr="00F459D2">
              <w:rPr>
                <w:rFonts w:ascii="Symbol" w:eastAsia="MS Mincho" w:hAnsi="Symbol"/>
              </w:rPr>
              <w:sym w:font="Symbol" w:char="F0A3"/>
            </w:r>
            <w:r w:rsidRPr="00F459D2">
              <w:rPr>
                <w:rFonts w:eastAsia="MS Mincho"/>
              </w:rPr>
              <w:t xml:space="preserve"> Grade 1 (≥ 75,000/mm</w:t>
            </w:r>
            <w:r w:rsidRPr="00F459D2">
              <w:rPr>
                <w:rFonts w:eastAsia="MS Mincho"/>
                <w:vertAlign w:val="superscript"/>
              </w:rPr>
              <w:t>3</w:t>
            </w:r>
            <w:r w:rsidRPr="00F459D2">
              <w:rPr>
                <w:rFonts w:eastAsia="MS Mincho"/>
              </w:rPr>
              <w:t>), and then reduce one dose level</w:t>
            </w:r>
          </w:p>
        </w:tc>
      </w:tr>
      <w:tr w:rsidTr="00B31C1B">
        <w:tblPrEx>
          <w:tblW w:w="9056" w:type="dxa"/>
          <w:tblCellMar>
            <w:left w:w="0" w:type="dxa"/>
            <w:right w:w="0" w:type="dxa"/>
          </w:tblCellMar>
          <w:tblLook w:val="04A0"/>
        </w:tblPrEx>
        <w:trPr>
          <w:trHeight w:val="315"/>
        </w:trPr>
        <w:tc>
          <w:tcPr>
            <w:tcW w:w="0" w:type="auto"/>
            <w:vMerge w:val="restart"/>
            <w:tcBorders>
              <w:top w:val="single" w:sz="4" w:space="0" w:color="auto"/>
              <w:left w:val="single" w:sz="4" w:space="0" w:color="auto"/>
              <w:right w:val="single" w:sz="4" w:space="0" w:color="auto"/>
            </w:tcBorders>
            <w:tcMar>
              <w:top w:w="30" w:type="dxa"/>
              <w:left w:w="0" w:type="dxa"/>
              <w:bottom w:w="30" w:type="dxa"/>
              <w:right w:w="0" w:type="dxa"/>
            </w:tcMar>
            <w:hideMark/>
          </w:tcPr>
          <w:p w:rsidR="00CE7763" w:rsidRPr="00F459D2" w:rsidP="00CE7763">
            <w:r w:rsidRPr="00F459D2">
              <w:t>Increased Transaminase (AST/ALT)</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rsidR="00CE7763" w:rsidRPr="00F459D2" w:rsidP="00CE7763">
            <w:r w:rsidRPr="00F459D2">
              <w:t>Grad</w:t>
            </w:r>
            <w:r w:rsidRPr="00F459D2">
              <w:t>e 2</w:t>
              <w:br/>
              <w:t>(</w:t>
            </w:r>
            <w:r w:rsidRPr="00F459D2">
              <w:rPr>
                <w:rFonts w:ascii="Symbol" w:hAnsi="Symbol"/>
              </w:rPr>
              <w:sym w:font="Symbol" w:char="F03E"/>
            </w:r>
            <w:r w:rsidRPr="00F459D2">
              <w:t> 2.5 to ≤ 5</w:t>
            </w:r>
            <w:r w:rsidRPr="00F459D2">
              <w:rPr>
                <w:rFonts w:ascii="Symbol" w:hAnsi="Symbol"/>
              </w:rPr>
              <w:sym w:font="Symbol" w:char="F0B4"/>
            </w:r>
            <w:r w:rsidRPr="00F459D2">
              <w:t xml:space="preserve"> the ULN)</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rsidR="00CE7763" w:rsidRPr="00F459D2" w:rsidP="00CE7763">
            <w:pPr>
              <w:keepNext/>
              <w:keepLines/>
              <w:spacing w:line="280" w:lineRule="atLeast"/>
              <w:rPr>
                <w:rFonts w:eastAsia="MS Mincho"/>
              </w:rPr>
            </w:pPr>
            <w:r w:rsidRPr="00F459D2">
              <w:rPr>
                <w:rFonts w:eastAsia="MS Mincho"/>
              </w:rPr>
              <w:t>Treat at the same dose level</w:t>
            </w:r>
          </w:p>
          <w:p w:rsidR="00CE7763" w:rsidRPr="00F459D2" w:rsidP="00CE7763"/>
        </w:tc>
      </w:tr>
      <w:tr w:rsidTr="00B31C1B">
        <w:tblPrEx>
          <w:tblW w:w="9056" w:type="dxa"/>
          <w:tblCellMar>
            <w:left w:w="0" w:type="dxa"/>
            <w:right w:w="0" w:type="dxa"/>
          </w:tblCellMar>
          <w:tblLook w:val="04A0"/>
        </w:tblPrEx>
        <w:trPr>
          <w:trHeight w:val="315"/>
        </w:trPr>
        <w:tc>
          <w:tcPr>
            <w:tcW w:w="0" w:type="auto"/>
            <w:vMerge/>
            <w:tcBorders>
              <w:left w:val="single" w:sz="4" w:space="0" w:color="auto"/>
              <w:right w:val="single" w:sz="4" w:space="0" w:color="auto"/>
            </w:tcBorders>
            <w:tcMar>
              <w:top w:w="30" w:type="dxa"/>
              <w:left w:w="0" w:type="dxa"/>
              <w:bottom w:w="30" w:type="dxa"/>
              <w:right w:w="0" w:type="dxa"/>
            </w:tcMar>
          </w:tcPr>
          <w:p w:rsidR="00CE7763" w:rsidRPr="00C12092" w:rsidP="00CE7763"/>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CE7763" w:rsidRPr="00F459D2" w:rsidP="00CE7763">
            <w:r w:rsidRPr="00C12092">
              <w:rPr>
                <w:rFonts w:eastAsia="MS Mincho"/>
              </w:rPr>
              <w:t>Grade 3</w:t>
              <w:br/>
              <w:t>(</w:t>
            </w:r>
            <w:r w:rsidRPr="00F459D2">
              <w:rPr>
                <w:rFonts w:ascii="Symbol" w:eastAsia="MS Mincho" w:hAnsi="Symbol"/>
              </w:rPr>
              <w:sym w:font="Symbol" w:char="F03E"/>
            </w:r>
            <w:r w:rsidRPr="00F459D2">
              <w:rPr>
                <w:rFonts w:eastAsia="MS Mincho"/>
              </w:rPr>
              <w:t xml:space="preserve"> 5 to </w:t>
            </w:r>
            <w:r w:rsidRPr="00F459D2">
              <w:t xml:space="preserve">≤ </w:t>
            </w:r>
            <w:r w:rsidRPr="00F459D2">
              <w:rPr>
                <w:rFonts w:eastAsia="MS Mincho"/>
              </w:rPr>
              <w:t>20</w:t>
            </w:r>
            <w:r w:rsidRPr="00F459D2">
              <w:rPr>
                <w:rFonts w:ascii="Symbol" w:eastAsia="MS Mincho" w:hAnsi="Symbol"/>
              </w:rPr>
              <w:sym w:font="Symbol" w:char="F0B4"/>
            </w:r>
            <w:r w:rsidRPr="00F459D2">
              <w:rPr>
                <w:rFonts w:eastAsia="MS Mincho"/>
              </w:rPr>
              <w:t xml:space="preserve"> the ULN)</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CE7763" w:rsidRPr="00F459D2" w:rsidP="00CE7763">
            <w:r w:rsidRPr="00F459D2">
              <w:rPr>
                <w:rFonts w:eastAsia="MS Mincho"/>
              </w:rPr>
              <w:t xml:space="preserve">Do not administer </w:t>
            </w:r>
            <w:r w:rsidRPr="00F459D2">
              <w:rPr>
                <w:szCs w:val="16"/>
              </w:rPr>
              <w:t xml:space="preserve">trastuzumab emtansine </w:t>
            </w:r>
            <w:r w:rsidRPr="00F459D2">
              <w:rPr>
                <w:rFonts w:eastAsia="MS Mincho"/>
              </w:rPr>
              <w:t>until AST/ALT recovers to Grade ≤ 2, and then reduce one dose level</w:t>
            </w:r>
          </w:p>
        </w:tc>
      </w:tr>
      <w:tr w:rsidTr="00B31C1B">
        <w:tblPrEx>
          <w:tblW w:w="9056" w:type="dxa"/>
          <w:tblCellMar>
            <w:left w:w="0" w:type="dxa"/>
            <w:right w:w="0" w:type="dxa"/>
          </w:tblCellMar>
          <w:tblLook w:val="04A0"/>
        </w:tblPrEx>
        <w:trPr>
          <w:trHeight w:val="315"/>
        </w:trPr>
        <w:tc>
          <w:tcPr>
            <w:tcW w:w="0" w:type="auto"/>
            <w:vMerge/>
            <w:tcBorders>
              <w:left w:val="single" w:sz="4" w:space="0" w:color="auto"/>
              <w:bottom w:val="single" w:sz="4" w:space="0" w:color="auto"/>
              <w:right w:val="single" w:sz="4" w:space="0" w:color="auto"/>
            </w:tcBorders>
            <w:tcMar>
              <w:top w:w="30" w:type="dxa"/>
              <w:left w:w="0" w:type="dxa"/>
              <w:bottom w:w="30" w:type="dxa"/>
              <w:right w:w="0" w:type="dxa"/>
            </w:tcMar>
          </w:tcPr>
          <w:p w:rsidR="00CE7763" w:rsidRPr="00C12092" w:rsidP="00CE7763"/>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CE7763" w:rsidRPr="00F459D2" w:rsidP="00CE7763">
            <w:r w:rsidRPr="00C12092">
              <w:t>Grade 4</w:t>
              <w:br/>
              <w:t>(</w:t>
            </w:r>
            <w:r w:rsidRPr="00F459D2">
              <w:rPr>
                <w:rFonts w:ascii="Symbol" w:hAnsi="Symbol"/>
              </w:rPr>
              <w:sym w:font="Symbol" w:char="F03E"/>
            </w:r>
            <w:r w:rsidRPr="00F459D2">
              <w:t> 20</w:t>
            </w:r>
            <w:r w:rsidRPr="00F459D2">
              <w:rPr>
                <w:rFonts w:ascii="Symbol" w:hAnsi="Symbol"/>
              </w:rPr>
              <w:sym w:font="Symbol" w:char="F0B4"/>
            </w:r>
            <w:r w:rsidRPr="00F459D2">
              <w:t xml:space="preserve"> the ULN)</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CE7763" w:rsidRPr="00F459D2" w:rsidP="00CE7763">
            <w:r w:rsidRPr="00F459D2">
              <w:t xml:space="preserve">Discontinue </w:t>
            </w:r>
            <w:r w:rsidRPr="00F459D2">
              <w:rPr>
                <w:szCs w:val="16"/>
              </w:rPr>
              <w:t>trastuzumab emtansi</w:t>
            </w:r>
            <w:r w:rsidRPr="00F459D2">
              <w:rPr>
                <w:szCs w:val="16"/>
              </w:rPr>
              <w:t>ne</w:t>
            </w:r>
          </w:p>
        </w:tc>
      </w:tr>
      <w:tr w:rsidTr="00B31C1B">
        <w:tblPrEx>
          <w:tblW w:w="9056" w:type="dxa"/>
          <w:tblCellMar>
            <w:left w:w="0" w:type="dxa"/>
            <w:right w:w="0" w:type="dxa"/>
          </w:tblCellMar>
          <w:tblLook w:val="04A0"/>
        </w:tblPrEx>
        <w:trPr>
          <w:trHeight w:val="315"/>
        </w:trPr>
        <w:tc>
          <w:tcPr>
            <w:tcW w:w="0" w:type="auto"/>
            <w:vMerge w:val="restart"/>
            <w:tcBorders>
              <w:top w:val="single" w:sz="4" w:space="0" w:color="auto"/>
              <w:left w:val="single" w:sz="4" w:space="0" w:color="auto"/>
              <w:right w:val="single" w:sz="4" w:space="0" w:color="auto"/>
            </w:tcBorders>
            <w:tcMar>
              <w:top w:w="30" w:type="dxa"/>
              <w:left w:w="45" w:type="dxa"/>
              <w:bottom w:w="30" w:type="dxa"/>
              <w:right w:w="45" w:type="dxa"/>
            </w:tcMar>
            <w:hideMark/>
          </w:tcPr>
          <w:p w:rsidR="00CE7763" w:rsidRPr="00C12092" w:rsidP="00CE7763">
            <w:r w:rsidRPr="00C12092">
              <w:t>Hyperbilirubinemia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rsidR="00CE7763" w:rsidRPr="00F459D2" w:rsidP="00CE7763">
            <w:r w:rsidRPr="00C12092">
              <w:t>Grade 2</w:t>
              <w:br/>
              <w:t>(</w:t>
            </w:r>
            <w:r w:rsidRPr="00F459D2">
              <w:rPr>
                <w:rFonts w:ascii="Symbol" w:hAnsi="Symbol"/>
              </w:rPr>
              <w:sym w:font="Symbol" w:char="F03E"/>
            </w:r>
            <w:r w:rsidRPr="00F459D2">
              <w:t> 1.5 to ≤ 3</w:t>
            </w:r>
            <w:r w:rsidRPr="00F459D2">
              <w:rPr>
                <w:rFonts w:ascii="Symbol" w:hAnsi="Symbol"/>
              </w:rPr>
              <w:sym w:font="Symbol" w:char="F0B4"/>
            </w:r>
            <w:r w:rsidRPr="00F459D2">
              <w:t xml:space="preserve"> the ULN)</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rsidR="00CE7763" w:rsidRPr="00F459D2" w:rsidP="00CE7763">
            <w:r w:rsidRPr="00F459D2">
              <w:t xml:space="preserve">Do not administer </w:t>
            </w:r>
            <w:r w:rsidRPr="00F459D2">
              <w:rPr>
                <w:szCs w:val="16"/>
              </w:rPr>
              <w:t>trastuzumab emtansine</w:t>
            </w:r>
            <w:r w:rsidRPr="00F459D2">
              <w:t xml:space="preserve"> until total bilirubin recovers to Grade </w:t>
            </w:r>
            <w:r w:rsidRPr="00F459D2">
              <w:rPr>
                <w:rFonts w:eastAsia="MS Mincho"/>
              </w:rPr>
              <w:t>≤</w:t>
            </w:r>
            <w:r w:rsidRPr="00F459D2">
              <w:t xml:space="preserve"> 1, and then treat at the same dose level.</w:t>
            </w:r>
          </w:p>
        </w:tc>
      </w:tr>
      <w:tr w:rsidTr="00B31C1B">
        <w:tblPrEx>
          <w:tblW w:w="9056" w:type="dxa"/>
          <w:tblCellMar>
            <w:left w:w="0" w:type="dxa"/>
            <w:right w:w="0" w:type="dxa"/>
          </w:tblCellMar>
          <w:tblLook w:val="04A0"/>
        </w:tblPrEx>
        <w:trPr>
          <w:trHeight w:val="315"/>
        </w:trPr>
        <w:tc>
          <w:tcPr>
            <w:tcW w:w="0" w:type="auto"/>
            <w:vMerge/>
            <w:tcBorders>
              <w:left w:val="single" w:sz="4" w:space="0" w:color="auto"/>
              <w:right w:val="single" w:sz="4" w:space="0" w:color="auto"/>
            </w:tcBorders>
            <w:tcMar>
              <w:top w:w="30" w:type="dxa"/>
              <w:left w:w="45" w:type="dxa"/>
              <w:bottom w:w="30" w:type="dxa"/>
              <w:right w:w="45" w:type="dxa"/>
            </w:tcMar>
          </w:tcPr>
          <w:p w:rsidR="00CE7763" w:rsidRPr="00C12092" w:rsidP="00CE7763"/>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CE7763" w:rsidRPr="00F459D2" w:rsidP="00CE7763">
            <w:r w:rsidRPr="00C12092">
              <w:rPr>
                <w:rFonts w:eastAsia="MS Mincho"/>
              </w:rPr>
              <w:t>Grade 3</w:t>
              <w:br/>
              <w:t>(</w:t>
            </w:r>
            <w:r w:rsidRPr="00F459D2">
              <w:rPr>
                <w:rFonts w:ascii="Symbol" w:eastAsia="MS Mincho" w:hAnsi="Symbol"/>
              </w:rPr>
              <w:sym w:font="Symbol" w:char="F03E"/>
            </w:r>
            <w:r w:rsidRPr="00F459D2">
              <w:rPr>
                <w:rFonts w:eastAsia="MS Mincho"/>
              </w:rPr>
              <w:t xml:space="preserve"> 3 to </w:t>
            </w:r>
            <w:r w:rsidRPr="00F459D2">
              <w:t>≤</w:t>
            </w:r>
            <w:r w:rsidRPr="00F459D2">
              <w:rPr>
                <w:rFonts w:eastAsia="MS Mincho"/>
              </w:rPr>
              <w:t xml:space="preserve"> 10</w:t>
            </w:r>
            <w:r w:rsidRPr="00F459D2">
              <w:rPr>
                <w:rFonts w:ascii="Symbol" w:eastAsia="MS Mincho" w:hAnsi="Symbol"/>
              </w:rPr>
              <w:sym w:font="Symbol" w:char="F0B4"/>
            </w:r>
            <w:r w:rsidRPr="00F459D2">
              <w:rPr>
                <w:rFonts w:eastAsia="MS Mincho"/>
              </w:rPr>
              <w:t xml:space="preserve"> the ULN)</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CE7763" w:rsidRPr="001B4A07" w:rsidP="00CE7763">
            <w:r w:rsidRPr="00F459D2">
              <w:rPr>
                <w:rFonts w:hint="eastAsia"/>
              </w:rPr>
              <w:t xml:space="preserve">Do not administer </w:t>
            </w:r>
            <w:r w:rsidRPr="00F459D2">
              <w:rPr>
                <w:szCs w:val="16"/>
              </w:rPr>
              <w:t>trastuzumab emtansine</w:t>
            </w:r>
            <w:r w:rsidRPr="00F459D2">
              <w:rPr>
                <w:rFonts w:hint="eastAsia"/>
              </w:rPr>
              <w:t xml:space="preserve"> unti</w:t>
            </w:r>
            <w:r w:rsidRPr="00F459D2">
              <w:rPr>
                <w:rFonts w:hint="eastAsia"/>
              </w:rPr>
              <w:t xml:space="preserve">l total bilirubin recovers to Grade </w:t>
            </w:r>
            <w:r w:rsidRPr="00F459D2">
              <w:rPr>
                <w:rFonts w:eastAsia="MS Mincho"/>
              </w:rPr>
              <w:t>≤</w:t>
            </w:r>
            <w:r w:rsidRPr="00F459D2">
              <w:rPr>
                <w:rFonts w:hint="eastAsia"/>
              </w:rPr>
              <w:t xml:space="preserve"> 1 and then reduce one dose level.</w:t>
            </w:r>
          </w:p>
        </w:tc>
      </w:tr>
      <w:tr w:rsidTr="00B31C1B">
        <w:tblPrEx>
          <w:tblW w:w="9056" w:type="dxa"/>
          <w:tblCellMar>
            <w:left w:w="0" w:type="dxa"/>
            <w:right w:w="0" w:type="dxa"/>
          </w:tblCellMar>
          <w:tblLook w:val="04A0"/>
        </w:tblPrEx>
        <w:trPr>
          <w:trHeight w:val="315"/>
        </w:trPr>
        <w:tc>
          <w:tcPr>
            <w:tcW w:w="0" w:type="auto"/>
            <w:vMerge/>
            <w:tcBorders>
              <w:left w:val="single" w:sz="4" w:space="0" w:color="auto"/>
              <w:bottom w:val="single" w:sz="4" w:space="0" w:color="auto"/>
              <w:right w:val="single" w:sz="4" w:space="0" w:color="auto"/>
            </w:tcBorders>
            <w:tcMar>
              <w:top w:w="30" w:type="dxa"/>
              <w:left w:w="45" w:type="dxa"/>
              <w:bottom w:w="30" w:type="dxa"/>
              <w:right w:w="45" w:type="dxa"/>
            </w:tcMar>
          </w:tcPr>
          <w:p w:rsidR="00CE7763" w:rsidRPr="00C12092" w:rsidP="00CE7763"/>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CE7763" w:rsidRPr="00F459D2" w:rsidP="00CE7763">
            <w:r w:rsidRPr="00C12092">
              <w:rPr>
                <w:rFonts w:eastAsia="MS Mincho"/>
              </w:rPr>
              <w:t>Grade 4</w:t>
              <w:br/>
              <w:t>(</w:t>
            </w:r>
            <w:r w:rsidRPr="00F459D2">
              <w:rPr>
                <w:rFonts w:ascii="Symbol" w:eastAsia="MS Mincho" w:hAnsi="Symbol"/>
              </w:rPr>
              <w:sym w:font="Symbol" w:char="F03E"/>
            </w:r>
            <w:r w:rsidRPr="00F459D2">
              <w:rPr>
                <w:rFonts w:eastAsia="MS Mincho"/>
              </w:rPr>
              <w:t> 10</w:t>
            </w:r>
            <w:r w:rsidRPr="00F459D2">
              <w:rPr>
                <w:rFonts w:ascii="Symbol" w:eastAsia="MS Mincho" w:hAnsi="Symbol"/>
              </w:rPr>
              <w:sym w:font="Symbol" w:char="F0B4"/>
            </w:r>
            <w:r w:rsidRPr="00F459D2">
              <w:rPr>
                <w:rFonts w:eastAsia="MS Mincho"/>
              </w:rPr>
              <w:t xml:space="preserve"> the ULN)</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CE7763" w:rsidRPr="00F459D2" w:rsidP="00CE7763">
            <w:r w:rsidRPr="00F459D2">
              <w:t xml:space="preserve">Discontinue </w:t>
            </w:r>
            <w:r w:rsidRPr="00F459D2">
              <w:rPr>
                <w:szCs w:val="16"/>
              </w:rPr>
              <w:t>trastuzumab emtansine</w:t>
            </w:r>
          </w:p>
        </w:tc>
      </w:tr>
      <w:tr w:rsidTr="00B31C1B">
        <w:tblPrEx>
          <w:tblW w:w="9056" w:type="dxa"/>
          <w:tblCellMar>
            <w:left w:w="0" w:type="dxa"/>
            <w:right w:w="0" w:type="dxa"/>
          </w:tblCellMar>
          <w:tblLook w:val="04A0"/>
        </w:tblPrEx>
        <w:trPr>
          <w:trHeight w:val="315"/>
        </w:trPr>
        <w:tc>
          <w:tcPr>
            <w:tcW w:w="0" w:type="auto"/>
            <w:tcBorders>
              <w:top w:val="single" w:sz="4" w:space="0" w:color="auto"/>
              <w:left w:val="single" w:sz="4" w:space="0" w:color="auto"/>
              <w:right w:val="single" w:sz="4" w:space="0" w:color="auto"/>
            </w:tcBorders>
            <w:tcMar>
              <w:top w:w="30" w:type="dxa"/>
              <w:left w:w="45" w:type="dxa"/>
              <w:bottom w:w="30" w:type="dxa"/>
              <w:right w:w="45" w:type="dxa"/>
            </w:tcMar>
          </w:tcPr>
          <w:p w:rsidR="00CE7763" w:rsidRPr="00F459D2" w:rsidP="00CE7763">
            <w:r w:rsidRPr="00F459D2">
              <w:t>Drug Induced Liver Injury (DILI)</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CE7763" w:rsidRPr="00F459D2" w:rsidP="00CE7763">
            <w:pPr>
              <w:rPr>
                <w:rFonts w:eastAsia="MS Mincho"/>
              </w:rPr>
            </w:pPr>
            <w:r w:rsidRPr="00F459D2">
              <w:t>Serum transaminases &gt; 3 x ULN and concomitant total bilirubin &gt; 2</w:t>
            </w:r>
            <w:r w:rsidRPr="00F459D2">
              <w:rPr>
                <w:rFonts w:ascii="Symbol" w:eastAsia="MS Mincho" w:hAnsi="Symbol"/>
              </w:rPr>
              <w:sym w:font="Symbol" w:char="F0B4"/>
            </w:r>
            <w:r w:rsidRPr="00F459D2">
              <w:t xml:space="preserve"> ULN</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CE7763" w:rsidRPr="00F459D2" w:rsidP="00CE7763">
            <w:pPr>
              <w:rPr>
                <w:rFonts w:eastAsia="MS Mincho"/>
              </w:rPr>
            </w:pPr>
            <w:r w:rsidRPr="00F459D2">
              <w:rPr>
                <w:rFonts w:eastAsia="MS Mincho"/>
              </w:rPr>
              <w:t>Permanently discont</w:t>
            </w:r>
            <w:r w:rsidRPr="00F459D2">
              <w:rPr>
                <w:rFonts w:eastAsia="MS Mincho"/>
              </w:rPr>
              <w:t xml:space="preserve">inue </w:t>
            </w:r>
            <w:r w:rsidRPr="00F459D2">
              <w:rPr>
                <w:szCs w:val="16"/>
              </w:rPr>
              <w:t>trastuzumab emtansine</w:t>
            </w:r>
            <w:r w:rsidRPr="00F459D2">
              <w:rPr>
                <w:rFonts w:ascii="Calibri" w:eastAsia="MS Mincho" w:hAnsi="Calibri"/>
                <w:szCs w:val="22"/>
              </w:rPr>
              <w:t xml:space="preserve"> </w:t>
            </w:r>
            <w:r w:rsidRPr="00F459D2">
              <w:rPr>
                <w:rFonts w:eastAsia="MS Mincho"/>
              </w:rPr>
              <w:t>in the absence of another likely cause for the elevation of liver enzymes and bilirubin, e.g. liver metastasis or concomitant medication</w:t>
            </w:r>
          </w:p>
        </w:tc>
      </w:tr>
      <w:tr w:rsidTr="00B31C1B">
        <w:tblPrEx>
          <w:tblW w:w="9056" w:type="dxa"/>
          <w:tblCellMar>
            <w:left w:w="0" w:type="dxa"/>
            <w:right w:w="0" w:type="dxa"/>
          </w:tblCellMar>
          <w:tblLook w:val="04A0"/>
        </w:tblPrEx>
        <w:trPr>
          <w:trHeight w:val="315"/>
        </w:trPr>
        <w:tc>
          <w:tcPr>
            <w:tcW w:w="0" w:type="auto"/>
            <w:vMerge w:val="restart"/>
            <w:tcBorders>
              <w:top w:val="single" w:sz="4" w:space="0" w:color="auto"/>
              <w:left w:val="single" w:sz="4" w:space="0" w:color="auto"/>
              <w:right w:val="single" w:sz="4" w:space="0" w:color="auto"/>
            </w:tcBorders>
            <w:tcMar>
              <w:top w:w="30" w:type="dxa"/>
              <w:left w:w="45" w:type="dxa"/>
              <w:bottom w:w="30" w:type="dxa"/>
              <w:right w:w="45" w:type="dxa"/>
            </w:tcMar>
            <w:hideMark/>
          </w:tcPr>
          <w:p w:rsidR="00CE7763" w:rsidRPr="00534835" w:rsidP="00CE7763">
            <w:r w:rsidRPr="00534835">
              <w:t xml:space="preserve">Left Ventricular Dysfunction </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rsidR="00CE7763" w:rsidRPr="002254F1" w:rsidP="00CE7763">
            <w:r w:rsidRPr="0027161B">
              <w:rPr>
                <w:rFonts w:eastAsia="MS Mincho"/>
              </w:rPr>
              <w:t>Symptom</w:t>
            </w:r>
            <w:r w:rsidRPr="00FB7A3D">
              <w:rPr>
                <w:rFonts w:eastAsia="MS Mincho"/>
              </w:rPr>
              <w:t>atic CHF</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rsidR="00CE7763" w:rsidRPr="00C74372" w:rsidP="00CE7763">
            <w:pPr>
              <w:keepNext/>
              <w:keepLines/>
              <w:spacing w:line="280" w:lineRule="atLeast"/>
            </w:pPr>
            <w:r w:rsidRPr="00C74372">
              <w:t xml:space="preserve">Discontinue </w:t>
            </w:r>
            <w:r w:rsidRPr="00C74372">
              <w:rPr>
                <w:szCs w:val="16"/>
              </w:rPr>
              <w:t>trastuzumab emtansine</w:t>
            </w:r>
          </w:p>
        </w:tc>
      </w:tr>
      <w:tr w:rsidTr="00B31C1B">
        <w:tblPrEx>
          <w:tblW w:w="9056" w:type="dxa"/>
          <w:tblCellMar>
            <w:left w:w="0" w:type="dxa"/>
            <w:right w:w="0" w:type="dxa"/>
          </w:tblCellMar>
          <w:tblLook w:val="04A0"/>
        </w:tblPrEx>
        <w:trPr>
          <w:trHeight w:val="315"/>
        </w:trPr>
        <w:tc>
          <w:tcPr>
            <w:tcW w:w="0" w:type="auto"/>
            <w:vMerge/>
            <w:tcBorders>
              <w:left w:val="single" w:sz="4" w:space="0" w:color="auto"/>
              <w:right w:val="single" w:sz="4" w:space="0" w:color="auto"/>
            </w:tcBorders>
            <w:tcMar>
              <w:top w:w="30" w:type="dxa"/>
              <w:left w:w="45" w:type="dxa"/>
              <w:bottom w:w="30" w:type="dxa"/>
              <w:right w:w="45" w:type="dxa"/>
            </w:tcMar>
          </w:tcPr>
          <w:p w:rsidR="00CE7763" w:rsidRPr="00C12092" w:rsidP="00CE7763"/>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CE7763" w:rsidRPr="00C12092" w:rsidP="00CE7763">
            <w:r w:rsidRPr="00C12092">
              <w:rPr>
                <w:rFonts w:eastAsia="MS Mincho"/>
              </w:rPr>
              <w:t>LVEF &lt;40%</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CE7763" w:rsidRPr="00C12092" w:rsidP="00CE7763">
            <w:pPr>
              <w:keepNext/>
              <w:keepLines/>
              <w:spacing w:line="280" w:lineRule="atLeast"/>
            </w:pPr>
            <w:r w:rsidRPr="00C12092">
              <w:t xml:space="preserve">Do not administer </w:t>
            </w:r>
            <w:r w:rsidRPr="00C12092">
              <w:rPr>
                <w:szCs w:val="16"/>
              </w:rPr>
              <w:t>trastuzumab emtansine.</w:t>
            </w:r>
          </w:p>
          <w:p w:rsidR="00CE7763" w:rsidRPr="00C12092" w:rsidP="00CE7763">
            <w:pPr>
              <w:keepNext/>
              <w:keepLines/>
              <w:spacing w:line="280" w:lineRule="atLeast"/>
            </w:pPr>
            <w:r w:rsidRPr="00C12092">
              <w:t xml:space="preserve">Repeat LVEF assessment within 3 weeks. If LVEF &lt;40% is confirmed, discontinue </w:t>
            </w:r>
            <w:r w:rsidRPr="00C12092">
              <w:rPr>
                <w:szCs w:val="16"/>
              </w:rPr>
              <w:t>trastuzumab emtansine</w:t>
            </w:r>
          </w:p>
        </w:tc>
      </w:tr>
      <w:tr w:rsidTr="00B31C1B">
        <w:tblPrEx>
          <w:tblW w:w="9056" w:type="dxa"/>
          <w:tblCellMar>
            <w:left w:w="0" w:type="dxa"/>
            <w:right w:w="0" w:type="dxa"/>
          </w:tblCellMar>
          <w:tblLook w:val="04A0"/>
        </w:tblPrEx>
        <w:trPr>
          <w:trHeight w:val="315"/>
        </w:trPr>
        <w:tc>
          <w:tcPr>
            <w:tcW w:w="0" w:type="auto"/>
            <w:vMerge/>
            <w:tcBorders>
              <w:left w:val="single" w:sz="4" w:space="0" w:color="auto"/>
              <w:right w:val="single" w:sz="4" w:space="0" w:color="auto"/>
            </w:tcBorders>
            <w:tcMar>
              <w:top w:w="30" w:type="dxa"/>
              <w:left w:w="45" w:type="dxa"/>
              <w:bottom w:w="30" w:type="dxa"/>
              <w:right w:w="45" w:type="dxa"/>
            </w:tcMar>
          </w:tcPr>
          <w:p w:rsidR="00CE7763" w:rsidRPr="00C12092" w:rsidP="00CE7763"/>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CE7763" w:rsidRPr="00C12092" w:rsidP="00CE7763">
            <w:r w:rsidRPr="00C12092">
              <w:rPr>
                <w:rFonts w:eastAsia="MS Mincho"/>
              </w:rPr>
              <w:t>LVEF 40% to ≤ 45% and decrease is ≥ 10% points from baseline</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CE7763" w:rsidRPr="00C12092" w:rsidP="00CE7763">
            <w:pPr>
              <w:keepNext/>
              <w:keepLines/>
              <w:spacing w:line="280" w:lineRule="atLeast"/>
            </w:pPr>
            <w:r w:rsidRPr="00C12092">
              <w:t xml:space="preserve">Do not administer </w:t>
            </w:r>
            <w:r w:rsidRPr="00C12092">
              <w:rPr>
                <w:szCs w:val="16"/>
              </w:rPr>
              <w:t>trastuzumab emtansine.</w:t>
            </w:r>
          </w:p>
          <w:p w:rsidR="00CE7763" w:rsidRPr="00C12092" w:rsidP="00CE7763">
            <w:r w:rsidRPr="00C12092">
              <w:t xml:space="preserve">Repeat LVEF assessment within 3 weeks. If the LVEF has not recovered to within 10% points from baseline, discontinue </w:t>
            </w:r>
            <w:r w:rsidRPr="00C12092">
              <w:rPr>
                <w:szCs w:val="16"/>
              </w:rPr>
              <w:t>trastuzumab emtansine.</w:t>
            </w:r>
          </w:p>
        </w:tc>
      </w:tr>
      <w:tr w:rsidTr="00B31C1B">
        <w:tblPrEx>
          <w:tblW w:w="9056" w:type="dxa"/>
          <w:tblCellMar>
            <w:left w:w="0" w:type="dxa"/>
            <w:right w:w="0" w:type="dxa"/>
          </w:tblCellMar>
          <w:tblLook w:val="04A0"/>
        </w:tblPrEx>
        <w:trPr>
          <w:trHeight w:val="315"/>
        </w:trPr>
        <w:tc>
          <w:tcPr>
            <w:tcW w:w="0" w:type="auto"/>
            <w:vMerge/>
            <w:tcBorders>
              <w:left w:val="single" w:sz="4" w:space="0" w:color="auto"/>
              <w:right w:val="single" w:sz="4" w:space="0" w:color="auto"/>
            </w:tcBorders>
            <w:tcMar>
              <w:top w:w="30" w:type="dxa"/>
              <w:left w:w="45" w:type="dxa"/>
              <w:bottom w:w="30" w:type="dxa"/>
              <w:right w:w="45" w:type="dxa"/>
            </w:tcMar>
          </w:tcPr>
          <w:p w:rsidR="00CE7763" w:rsidRPr="00C12092" w:rsidP="00CE7763"/>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CE7763" w:rsidRPr="00C12092" w:rsidP="00CE7763">
            <w:r w:rsidRPr="00C12092">
              <w:rPr>
                <w:rFonts w:eastAsia="MS Mincho"/>
              </w:rPr>
              <w:t>LVEF 40% to ≤ 45% and decrease is &lt; 10% points from baseline</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CE7763" w:rsidRPr="00C12092" w:rsidP="00CE7763">
            <w:pPr>
              <w:keepNext/>
              <w:keepLines/>
              <w:spacing w:line="280" w:lineRule="atLeast"/>
              <w:rPr>
                <w:color w:val="0000CC"/>
              </w:rPr>
            </w:pPr>
            <w:r w:rsidRPr="00C12092">
              <w:t>Continue treatment with</w:t>
            </w:r>
            <w:r w:rsidRPr="00C12092">
              <w:rPr>
                <w:color w:val="0000CC"/>
              </w:rPr>
              <w:t xml:space="preserve"> </w:t>
            </w:r>
            <w:r w:rsidRPr="00C12092">
              <w:rPr>
                <w:szCs w:val="16"/>
              </w:rPr>
              <w:t>trastuzumab emtansine</w:t>
            </w:r>
            <w:r w:rsidRPr="00C12092">
              <w:rPr>
                <w:i/>
                <w:color w:val="002060"/>
              </w:rPr>
              <w:t>.</w:t>
            </w:r>
          </w:p>
          <w:p w:rsidR="00CE7763" w:rsidRPr="00C12092" w:rsidP="00CE7763">
            <w:r w:rsidRPr="00C12092">
              <w:rPr>
                <w:rFonts w:eastAsia="MS Mincho"/>
              </w:rPr>
              <w:t>Repeat LVEF assessment within 3 weeks.</w:t>
            </w:r>
          </w:p>
        </w:tc>
      </w:tr>
      <w:tr w:rsidTr="00B31C1B">
        <w:tblPrEx>
          <w:tblW w:w="9056" w:type="dxa"/>
          <w:tblCellMar>
            <w:left w:w="0" w:type="dxa"/>
            <w:right w:w="0" w:type="dxa"/>
          </w:tblCellMar>
          <w:tblLook w:val="04A0"/>
        </w:tblPrEx>
        <w:trPr>
          <w:trHeight w:val="315"/>
        </w:trPr>
        <w:tc>
          <w:tcPr>
            <w:tcW w:w="0" w:type="auto"/>
            <w:vMerge/>
            <w:tcBorders>
              <w:left w:val="single" w:sz="4" w:space="0" w:color="auto"/>
              <w:bottom w:val="single" w:sz="4" w:space="0" w:color="auto"/>
              <w:right w:val="single" w:sz="4" w:space="0" w:color="auto"/>
            </w:tcBorders>
            <w:tcMar>
              <w:top w:w="30" w:type="dxa"/>
              <w:left w:w="45" w:type="dxa"/>
              <w:bottom w:w="30" w:type="dxa"/>
              <w:right w:w="45" w:type="dxa"/>
            </w:tcMar>
          </w:tcPr>
          <w:p w:rsidR="00CE7763" w:rsidRPr="00C12092" w:rsidP="00CE7763"/>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CE7763" w:rsidRPr="00C12092" w:rsidP="00CE7763">
            <w:r w:rsidRPr="00C12092">
              <w:rPr>
                <w:rFonts w:eastAsia="MS Mincho"/>
              </w:rPr>
              <w:t>LVEF &gt; 45%</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CE7763" w:rsidRPr="00C12092" w:rsidP="00CE7763">
            <w:r w:rsidRPr="00C12092">
              <w:rPr>
                <w:rFonts w:eastAsia="MS Mincho"/>
              </w:rPr>
              <w:t xml:space="preserve">Continue treatment with </w:t>
            </w:r>
            <w:r w:rsidRPr="00C12092">
              <w:rPr>
                <w:szCs w:val="16"/>
              </w:rPr>
              <w:t>trastuzumab emtansine</w:t>
            </w:r>
            <w:r w:rsidRPr="00C12092">
              <w:rPr>
                <w:i/>
                <w:color w:val="002060"/>
              </w:rPr>
              <w:t>.</w:t>
            </w:r>
          </w:p>
        </w:tc>
      </w:tr>
    </w:tbl>
    <w:p w:rsidR="008D43BD" w:rsidRPr="00AA17C2" w:rsidP="008D43BD">
      <w:pPr>
        <w:spacing w:before="240"/>
        <w:rPr>
          <w:rFonts w:eastAsia="MS Mincho"/>
          <w:sz w:val="18"/>
          <w:szCs w:val="18"/>
          <w:lang w:eastAsia="en-US"/>
        </w:rPr>
      </w:pPr>
      <w:r w:rsidRPr="00C12092" w:rsidR="00A4080A">
        <w:rPr>
          <w:rFonts w:eastAsia="MS Mincho"/>
          <w:sz w:val="18"/>
          <w:szCs w:val="18"/>
          <w:lang w:eastAsia="en-US"/>
        </w:rPr>
        <w:t>ALT </w:t>
      </w:r>
      <w:r w:rsidRPr="00F459D2" w:rsidR="00A4080A">
        <w:rPr>
          <w:rFonts w:ascii="Symbol" w:eastAsia="MS Mincho" w:hAnsi="Symbol"/>
          <w:sz w:val="18"/>
          <w:szCs w:val="18"/>
          <w:lang w:eastAsia="en-US"/>
        </w:rPr>
        <w:sym w:font="Symbol" w:char="F03D"/>
      </w:r>
      <w:r w:rsidRPr="00F459D2" w:rsidR="00A4080A">
        <w:rPr>
          <w:rFonts w:eastAsia="MS Mincho"/>
          <w:sz w:val="18"/>
          <w:szCs w:val="18"/>
          <w:lang w:eastAsia="en-US"/>
        </w:rPr>
        <w:t> alanine transaminase; AST </w:t>
      </w:r>
      <w:r w:rsidRPr="00F459D2" w:rsidR="00A4080A">
        <w:rPr>
          <w:rFonts w:ascii="Symbol" w:eastAsia="MS Mincho" w:hAnsi="Symbol"/>
          <w:sz w:val="18"/>
          <w:szCs w:val="18"/>
          <w:lang w:eastAsia="en-US"/>
        </w:rPr>
        <w:sym w:font="Symbol" w:char="F03D"/>
      </w:r>
      <w:r w:rsidRPr="00F459D2" w:rsidR="00A4080A">
        <w:rPr>
          <w:rFonts w:eastAsia="MS Mincho"/>
          <w:sz w:val="18"/>
          <w:szCs w:val="18"/>
          <w:lang w:eastAsia="en-US"/>
        </w:rPr>
        <w:t> aspartate transaminase, CH</w:t>
      </w:r>
      <w:r w:rsidRPr="00F459D2" w:rsidR="00A4080A">
        <w:rPr>
          <w:rFonts w:eastAsia="MS Mincho"/>
          <w:sz w:val="18"/>
          <w:szCs w:val="18"/>
          <w:lang w:eastAsia="en-US"/>
        </w:rPr>
        <w:t>F = congestive heart failure, LVEF </w:t>
      </w:r>
      <w:r w:rsidRPr="00F459D2" w:rsidR="00A4080A">
        <w:rPr>
          <w:rFonts w:ascii="Symbol" w:eastAsia="MS Mincho" w:hAnsi="Symbol"/>
          <w:sz w:val="18"/>
          <w:szCs w:val="18"/>
          <w:lang w:eastAsia="en-US"/>
        </w:rPr>
        <w:sym w:font="Symbol" w:char="F03D"/>
      </w:r>
      <w:r w:rsidRPr="00F459D2" w:rsidR="00A4080A">
        <w:rPr>
          <w:rFonts w:eastAsia="MS Mincho"/>
          <w:sz w:val="18"/>
          <w:szCs w:val="18"/>
          <w:lang w:eastAsia="en-US"/>
        </w:rPr>
        <w:t> left ventricular ejection fraction, LVSD </w:t>
      </w:r>
      <w:r w:rsidRPr="00F459D2" w:rsidR="00A4080A">
        <w:rPr>
          <w:rFonts w:ascii="Symbol" w:eastAsia="MS Mincho" w:hAnsi="Symbol"/>
          <w:sz w:val="18"/>
          <w:szCs w:val="18"/>
          <w:lang w:eastAsia="en-US"/>
        </w:rPr>
        <w:sym w:font="Symbol" w:char="F03D"/>
      </w:r>
      <w:r w:rsidRPr="00F459D2" w:rsidR="00A4080A">
        <w:rPr>
          <w:rFonts w:eastAsia="MS Mincho"/>
          <w:sz w:val="18"/>
          <w:szCs w:val="18"/>
          <w:lang w:eastAsia="en-US"/>
        </w:rPr>
        <w:t> left ventricular systolic dysfunction, TBILI = Total Bilirubin, ULN </w:t>
      </w:r>
      <w:r w:rsidRPr="00F459D2" w:rsidR="00A4080A">
        <w:rPr>
          <w:rFonts w:ascii="Symbol" w:eastAsia="MS Mincho" w:hAnsi="Symbol"/>
          <w:sz w:val="18"/>
          <w:szCs w:val="18"/>
          <w:lang w:eastAsia="en-US"/>
        </w:rPr>
        <w:sym w:font="Symbol" w:char="F03D"/>
      </w:r>
      <w:r w:rsidRPr="00F459D2" w:rsidR="00A4080A">
        <w:rPr>
          <w:rFonts w:eastAsia="MS Mincho"/>
          <w:sz w:val="18"/>
          <w:szCs w:val="18"/>
          <w:lang w:eastAsia="en-US"/>
        </w:rPr>
        <w:t> upper limit of normal</w:t>
      </w:r>
    </w:p>
    <w:p w:rsidR="008D43BD" w:rsidP="008D43BD">
      <w:pPr>
        <w:keepNext/>
        <w:keepLines/>
        <w:spacing w:line="280" w:lineRule="atLeast"/>
        <w:rPr>
          <w:rFonts w:eastAsia="MS Mincho"/>
          <w:sz w:val="18"/>
          <w:szCs w:val="18"/>
          <w:lang w:eastAsia="en-US"/>
        </w:rPr>
      </w:pPr>
      <w:r w:rsidRPr="003032C1" w:rsidR="00A4080A">
        <w:rPr>
          <w:rFonts w:eastAsia="MS Mincho"/>
          <w:sz w:val="18"/>
          <w:szCs w:val="18"/>
          <w:lang w:eastAsia="en-US"/>
        </w:rPr>
        <w:t xml:space="preserve">* Prior to starting </w:t>
      </w:r>
      <w:r w:rsidRPr="009F44D5" w:rsidR="009F44D5">
        <w:rPr>
          <w:rFonts w:eastAsia="MS Mincho"/>
          <w:sz w:val="18"/>
          <w:szCs w:val="18"/>
          <w:lang w:eastAsia="en-US"/>
        </w:rPr>
        <w:t>trastuzumab emtansine</w:t>
      </w:r>
      <w:r w:rsidRPr="003032C1" w:rsidR="00A4080A">
        <w:rPr>
          <w:rFonts w:eastAsia="MS Mincho"/>
          <w:sz w:val="18"/>
          <w:szCs w:val="18"/>
          <w:lang w:eastAsia="en-US"/>
        </w:rPr>
        <w:t xml:space="preserve"> treatment. </w:t>
      </w:r>
    </w:p>
    <w:p w:rsidR="008D43BD" w:rsidP="008D43BD">
      <w:pPr>
        <w:rPr>
          <w:i/>
          <w:szCs w:val="22"/>
        </w:rPr>
      </w:pPr>
    </w:p>
    <w:p w:rsidR="008D43BD" w:rsidRPr="00A30921" w:rsidP="008D43BD">
      <w:pPr>
        <w:rPr>
          <w:i/>
          <w:szCs w:val="22"/>
        </w:rPr>
      </w:pPr>
      <w:r w:rsidRPr="00A30921" w:rsidR="00A4080A">
        <w:rPr>
          <w:i/>
          <w:szCs w:val="22"/>
        </w:rPr>
        <w:t>Delayed or missed dose</w:t>
      </w:r>
    </w:p>
    <w:p w:rsidR="008D43BD" w:rsidRPr="00A30921" w:rsidP="008D43BD">
      <w:pPr>
        <w:rPr>
          <w:b/>
          <w:szCs w:val="22"/>
        </w:rPr>
      </w:pPr>
      <w:r w:rsidRPr="00A30921" w:rsidR="00A4080A">
        <w:rPr>
          <w:szCs w:val="22"/>
        </w:rPr>
        <w:t xml:space="preserve">If a planned dose is missed, it should be administered as soon as possible; </w:t>
      </w:r>
      <w:r w:rsidR="00A4080A">
        <w:rPr>
          <w:szCs w:val="22"/>
        </w:rPr>
        <w:t xml:space="preserve">without waiting </w:t>
      </w:r>
      <w:r w:rsidRPr="00A30921" w:rsidR="00A4080A">
        <w:rPr>
          <w:szCs w:val="22"/>
        </w:rPr>
        <w:t>until the next planned cycle. The schedule of administration should be adjusted to maintain a 3</w:t>
      </w:r>
      <w:r w:rsidRPr="00A30921" w:rsidR="00A4080A">
        <w:rPr>
          <w:szCs w:val="22"/>
        </w:rPr>
        <w:noBreakHyphen/>
        <w:t>week interval between doses. The next dose should be administered in accor</w:t>
      </w:r>
      <w:r w:rsidRPr="00A30921" w:rsidR="00A4080A">
        <w:rPr>
          <w:szCs w:val="22"/>
        </w:rPr>
        <w:t>dance with the dosing recommendations</w:t>
      </w:r>
      <w:r w:rsidR="00A4080A">
        <w:rPr>
          <w:szCs w:val="22"/>
        </w:rPr>
        <w:t xml:space="preserve"> above.</w:t>
      </w:r>
    </w:p>
    <w:p w:rsidR="008D43BD" w:rsidP="008D43BD">
      <w:pPr>
        <w:keepNext/>
        <w:rPr>
          <w:i/>
          <w:szCs w:val="22"/>
        </w:rPr>
      </w:pPr>
    </w:p>
    <w:p w:rsidR="008D43BD" w:rsidRPr="00A30921" w:rsidP="008D43BD">
      <w:pPr>
        <w:keepNext/>
        <w:rPr>
          <w:i/>
          <w:szCs w:val="22"/>
        </w:rPr>
      </w:pPr>
      <w:r w:rsidRPr="00A30921" w:rsidR="00A4080A">
        <w:rPr>
          <w:i/>
          <w:szCs w:val="22"/>
        </w:rPr>
        <w:t>Peripheral neuropathy</w:t>
      </w:r>
    </w:p>
    <w:p w:rsidR="008D43BD" w:rsidRPr="00A30921" w:rsidP="008D43BD">
      <w:pPr>
        <w:rPr>
          <w:szCs w:val="22"/>
        </w:rPr>
      </w:pPr>
      <w:r w:rsidRPr="00A30921" w:rsidR="00A4080A">
        <w:rPr>
          <w:szCs w:val="22"/>
        </w:rPr>
        <w:t>Trastuzumab emtansine should be temporarily discontinued in patients experiencing Grade 3 or 4 peripheral neuropathy until resolution to ≤ Grade 2. At retreatment a dose reduction may be c</w:t>
      </w:r>
      <w:r w:rsidRPr="00A30921" w:rsidR="00A4080A">
        <w:rPr>
          <w:szCs w:val="22"/>
        </w:rPr>
        <w:t>onsidered according to the dose reduction schedule (see Table 1).</w:t>
      </w:r>
    </w:p>
    <w:p w:rsidR="008D43BD" w:rsidRPr="00A30921" w:rsidP="008D43BD">
      <w:pPr>
        <w:keepNext/>
        <w:rPr>
          <w:i/>
          <w:szCs w:val="22"/>
        </w:rPr>
      </w:pPr>
    </w:p>
    <w:p w:rsidR="008D43BD" w:rsidP="008D43BD">
      <w:pPr>
        <w:keepNext/>
        <w:rPr>
          <w:i/>
          <w:szCs w:val="22"/>
        </w:rPr>
      </w:pPr>
      <w:r w:rsidRPr="00E81E83" w:rsidR="00A4080A">
        <w:rPr>
          <w:i/>
          <w:szCs w:val="22"/>
        </w:rPr>
        <w:t>Special populations</w:t>
      </w:r>
    </w:p>
    <w:p w:rsidR="008D43BD" w:rsidP="008D43BD">
      <w:pPr>
        <w:keepNext/>
        <w:rPr>
          <w:i/>
          <w:szCs w:val="22"/>
        </w:rPr>
      </w:pPr>
    </w:p>
    <w:p w:rsidR="008D43BD" w:rsidRPr="00A30921" w:rsidP="008D43BD">
      <w:pPr>
        <w:keepNext/>
        <w:rPr>
          <w:i/>
          <w:szCs w:val="22"/>
        </w:rPr>
      </w:pPr>
      <w:r w:rsidRPr="00A30921" w:rsidR="00A4080A">
        <w:rPr>
          <w:i/>
          <w:szCs w:val="22"/>
        </w:rPr>
        <w:t xml:space="preserve">Elderly patients </w:t>
      </w:r>
    </w:p>
    <w:p w:rsidR="008D43BD" w:rsidP="008D43BD">
      <w:pPr>
        <w:rPr>
          <w:szCs w:val="22"/>
        </w:rPr>
      </w:pPr>
      <w:r w:rsidRPr="00A30921" w:rsidR="00A4080A">
        <w:rPr>
          <w:szCs w:val="22"/>
        </w:rPr>
        <w:t xml:space="preserve">No dose adjustment is </w:t>
      </w:r>
      <w:r w:rsidRPr="00257156" w:rsidR="00A4080A">
        <w:rPr>
          <w:szCs w:val="22"/>
        </w:rPr>
        <w:t>required in patients aged ≥ 65 years. There are insufficient data to establish the safety and efficacy in patients ≥ 75 years du</w:t>
      </w:r>
      <w:r w:rsidRPr="00257156" w:rsidR="00A4080A">
        <w:rPr>
          <w:szCs w:val="22"/>
        </w:rPr>
        <w:t>e to limited data in this subgroup.</w:t>
      </w:r>
      <w:r w:rsidRPr="00257156" w:rsidR="00A4080A">
        <w:rPr>
          <w:rFonts w:ascii="Arial" w:hAnsi="Arial" w:cs="Arial"/>
          <w:color w:val="222222"/>
          <w:sz w:val="20"/>
          <w:shd w:val="clear" w:color="auto" w:fill="FFFFFF"/>
        </w:rPr>
        <w:t xml:space="preserve"> </w:t>
      </w:r>
      <w:r w:rsidRPr="00257156" w:rsidR="00A4080A">
        <w:rPr>
          <w:szCs w:val="22"/>
        </w:rPr>
        <w:t>Population pharmacokinetic analysis indicates that age does not have a clinically meaningful effect on the pharmacokinetics of trastuzumab emtansine (see sections 5.1 and 5.2).</w:t>
      </w:r>
    </w:p>
    <w:p w:rsidR="008D43BD" w:rsidP="008D43BD">
      <w:pPr>
        <w:rPr>
          <w:szCs w:val="22"/>
        </w:rPr>
      </w:pPr>
    </w:p>
    <w:p w:rsidR="008D43BD" w:rsidRPr="008D739A" w:rsidP="008D43BD">
      <w:pPr>
        <w:keepNext/>
        <w:rPr>
          <w:i/>
          <w:szCs w:val="22"/>
        </w:rPr>
      </w:pPr>
      <w:r w:rsidRPr="008D739A" w:rsidR="00A4080A">
        <w:rPr>
          <w:i/>
          <w:szCs w:val="22"/>
        </w:rPr>
        <w:t>Renal impairment</w:t>
      </w:r>
    </w:p>
    <w:p w:rsidR="008D43BD" w:rsidRPr="008D739A" w:rsidP="008D43BD">
      <w:pPr>
        <w:keepNext/>
        <w:rPr>
          <w:noProof/>
        </w:rPr>
      </w:pPr>
      <w:r w:rsidRPr="008D739A" w:rsidR="00A4080A">
        <w:rPr>
          <w:szCs w:val="22"/>
        </w:rPr>
        <w:t>No adjustment to the starting dose is needed in patients with mild or moderate renal impairment (see section 5.2). The potential need for dose adjustment in patients with severe renal impairment cannot be determined due to insufficient data and therefore patients with severe renal impairment should be monitored carefully</w:t>
      </w:r>
      <w:r w:rsidRPr="008D739A" w:rsidR="00A4080A">
        <w:rPr>
          <w:noProof/>
        </w:rPr>
        <w:t>.</w:t>
      </w:r>
    </w:p>
    <w:p w:rsidR="008D43BD" w:rsidRPr="008D739A" w:rsidP="008D43BD">
      <w:pPr>
        <w:rPr>
          <w:szCs w:val="22"/>
        </w:rPr>
      </w:pPr>
    </w:p>
    <w:p w:rsidR="008D43BD" w:rsidRPr="008D739A" w:rsidP="008D43BD">
      <w:pPr>
        <w:keepNext/>
        <w:keepLines/>
      </w:pPr>
      <w:r w:rsidRPr="008D739A" w:rsidR="00A4080A">
        <w:rPr>
          <w:i/>
          <w:szCs w:val="22"/>
        </w:rPr>
        <w:t>Hepatic impairment</w:t>
      </w:r>
    </w:p>
    <w:p w:rsidR="008D43BD" w:rsidRPr="008D739A" w:rsidP="008D43BD">
      <w:r w:rsidRPr="008D739A" w:rsidR="00A4080A">
        <w:t xml:space="preserve">No adjustment to the starting dose is required for patients with mild or moderate hepatic impairment.  Trastuzumab emtansine </w:t>
      </w:r>
      <w:r w:rsidR="00A4080A">
        <w:t>has</w:t>
      </w:r>
      <w:r w:rsidRPr="008D739A" w:rsidR="00A4080A">
        <w:t xml:space="preserve"> not</w:t>
      </w:r>
      <w:r w:rsidR="00A4080A">
        <w:t xml:space="preserve"> been</w:t>
      </w:r>
      <w:r w:rsidRPr="008D739A" w:rsidR="00A4080A">
        <w:t xml:space="preserve"> studied in patients with severe hepatic impairment.  Treatment of patients with hepatic impairment should be undertaken with caution due to known hepatotoxicity observed with t</w:t>
      </w:r>
      <w:r w:rsidRPr="008D739A" w:rsidR="00A4080A">
        <w:rPr>
          <w:szCs w:val="22"/>
        </w:rPr>
        <w:t>rastuzumab emtansine</w:t>
      </w:r>
      <w:r w:rsidRPr="008D739A" w:rsidR="00A4080A">
        <w:t xml:space="preserve"> (see section 4.4 and 5.2).</w:t>
      </w:r>
    </w:p>
    <w:p w:rsidR="008D43BD" w:rsidRPr="008D739A" w:rsidP="008D43BD">
      <w:pPr>
        <w:keepNext/>
        <w:keepLines/>
        <w:rPr>
          <w:noProof/>
          <w:lang w:val="en-GB"/>
        </w:rPr>
      </w:pPr>
    </w:p>
    <w:p w:rsidR="008D43BD" w:rsidRPr="008D739A" w:rsidP="008D43BD">
      <w:pPr>
        <w:rPr>
          <w:i/>
          <w:szCs w:val="22"/>
        </w:rPr>
      </w:pPr>
      <w:r w:rsidRPr="00E50BFB" w:rsidR="00A4080A">
        <w:rPr>
          <w:i/>
          <w:szCs w:val="22"/>
          <w:lang w:val="en-GB"/>
        </w:rPr>
        <w:t xml:space="preserve">Paediatric </w:t>
      </w:r>
      <w:r w:rsidRPr="008D739A" w:rsidR="00A4080A">
        <w:rPr>
          <w:i/>
          <w:szCs w:val="22"/>
        </w:rPr>
        <w:t>population</w:t>
      </w:r>
    </w:p>
    <w:p w:rsidR="008D43BD" w:rsidRPr="00F459D2" w:rsidP="008D43BD">
      <w:pPr>
        <w:rPr>
          <w:szCs w:val="22"/>
        </w:rPr>
      </w:pPr>
      <w:r w:rsidRPr="00F459D2" w:rsidR="00A4080A">
        <w:rPr>
          <w:szCs w:val="22"/>
        </w:rPr>
        <w:t xml:space="preserve">The safety and efficacy in children and adolescents below 18 years of age have not been established as there is no relevant use in the </w:t>
      </w:r>
      <w:r w:rsidRPr="00F459D2" w:rsidR="00A4080A">
        <w:rPr>
          <w:szCs w:val="22"/>
          <w:lang w:val="en-GB"/>
        </w:rPr>
        <w:t xml:space="preserve">paediatric </w:t>
      </w:r>
      <w:r w:rsidRPr="00F459D2" w:rsidR="00A4080A">
        <w:rPr>
          <w:szCs w:val="22"/>
        </w:rPr>
        <w:t xml:space="preserve">population for the indication of breast cancer . </w:t>
      </w:r>
    </w:p>
    <w:p w:rsidR="009F39F6" w:rsidRPr="00A30921" w:rsidP="008D43BD">
      <w:pPr>
        <w:keepNext/>
        <w:rPr>
          <w:szCs w:val="22"/>
          <w:u w:val="single"/>
        </w:rPr>
      </w:pPr>
    </w:p>
    <w:p w:rsidR="008D43BD" w:rsidRPr="00A30921" w:rsidP="008D43BD">
      <w:pPr>
        <w:keepNext/>
        <w:rPr>
          <w:szCs w:val="22"/>
          <w:u w:val="single"/>
        </w:rPr>
      </w:pPr>
      <w:r w:rsidRPr="00A30921" w:rsidR="00A4080A">
        <w:rPr>
          <w:szCs w:val="22"/>
          <w:u w:val="single"/>
        </w:rPr>
        <w:t>Method of administration</w:t>
      </w:r>
    </w:p>
    <w:p w:rsidR="008D43BD" w:rsidRPr="00A30921" w:rsidP="008D43BD">
      <w:pPr>
        <w:keepNext/>
        <w:rPr>
          <w:szCs w:val="22"/>
          <w:u w:val="single"/>
        </w:rPr>
      </w:pPr>
    </w:p>
    <w:p w:rsidR="008D43BD" w:rsidRPr="00A30921" w:rsidP="008D43BD">
      <w:pPr>
        <w:rPr>
          <w:szCs w:val="22"/>
        </w:rPr>
      </w:pPr>
      <w:r w:rsidR="00A4080A">
        <w:rPr>
          <w:szCs w:val="22"/>
        </w:rPr>
        <w:t xml:space="preserve">Kadcyla is for intravenous use. </w:t>
      </w:r>
      <w:r w:rsidRPr="00A30921" w:rsidR="00A4080A">
        <w:rPr>
          <w:szCs w:val="22"/>
        </w:rPr>
        <w:t>Trastuzumab emtansine must be reconstituted and diluted by a healthcare professional and administered as an intravenous infusion. It must not be administered as an intravenous push or bolus.</w:t>
      </w:r>
    </w:p>
    <w:p w:rsidR="008D43BD" w:rsidRPr="00A30921" w:rsidP="008D43BD">
      <w:pPr>
        <w:rPr>
          <w:szCs w:val="22"/>
        </w:rPr>
      </w:pPr>
    </w:p>
    <w:p w:rsidR="008D43BD" w:rsidRPr="00A30921" w:rsidP="008D43BD">
      <w:pPr>
        <w:rPr>
          <w:szCs w:val="22"/>
        </w:rPr>
      </w:pPr>
      <w:r w:rsidRPr="00A30921" w:rsidR="00A4080A">
        <w:rPr>
          <w:szCs w:val="22"/>
        </w:rPr>
        <w:t>For instructions on reconstitution and dilution of the medicinal product before administration, see section 6.6.</w:t>
      </w:r>
    </w:p>
    <w:p w:rsidR="008D43BD" w:rsidRPr="00A30921" w:rsidP="008D43BD">
      <w:pPr>
        <w:ind w:left="567" w:hanging="567"/>
        <w:rPr>
          <w:b/>
          <w:szCs w:val="22"/>
          <w:u w:val="single"/>
        </w:rPr>
      </w:pPr>
    </w:p>
    <w:p w:rsidR="008D43BD" w:rsidRPr="00A30921" w:rsidP="008D43BD">
      <w:pPr>
        <w:ind w:left="567" w:hanging="567"/>
        <w:rPr>
          <w:szCs w:val="22"/>
        </w:rPr>
      </w:pPr>
      <w:r w:rsidRPr="00A30921" w:rsidR="00A4080A">
        <w:rPr>
          <w:b/>
          <w:szCs w:val="22"/>
        </w:rPr>
        <w:t>4.3</w:t>
        <w:tab/>
        <w:t>Contraindications</w:t>
      </w:r>
    </w:p>
    <w:p w:rsidR="008D43BD" w:rsidRPr="00A30921" w:rsidP="008D43BD">
      <w:pPr>
        <w:rPr>
          <w:szCs w:val="22"/>
        </w:rPr>
      </w:pPr>
    </w:p>
    <w:p w:rsidR="008D43BD" w:rsidRPr="00A30921" w:rsidP="008D43BD">
      <w:pPr>
        <w:rPr>
          <w:szCs w:val="22"/>
        </w:rPr>
      </w:pPr>
      <w:r w:rsidRPr="00A30921" w:rsidR="00A4080A">
        <w:rPr>
          <w:szCs w:val="22"/>
        </w:rPr>
        <w:t>Hypersensitivity to the active substance or to any of the excipients listed in section 6.1.</w:t>
      </w:r>
    </w:p>
    <w:p w:rsidR="008D43BD" w:rsidRPr="00A30921" w:rsidP="008D43BD">
      <w:pPr>
        <w:rPr>
          <w:szCs w:val="22"/>
        </w:rPr>
      </w:pPr>
    </w:p>
    <w:p w:rsidR="008D43BD" w:rsidRPr="00A30921" w:rsidP="008D43BD">
      <w:pPr>
        <w:ind w:left="567" w:hanging="567"/>
        <w:rPr>
          <w:b/>
          <w:szCs w:val="22"/>
        </w:rPr>
      </w:pPr>
      <w:r w:rsidRPr="00A30921" w:rsidR="00A4080A">
        <w:rPr>
          <w:b/>
          <w:szCs w:val="22"/>
        </w:rPr>
        <w:t>4.4</w:t>
        <w:tab/>
        <w:t>Special warnings and precautions for use</w:t>
      </w:r>
    </w:p>
    <w:p w:rsidR="008D43BD" w:rsidRPr="00A30921" w:rsidP="008D43BD">
      <w:pPr>
        <w:rPr>
          <w:szCs w:val="22"/>
        </w:rPr>
      </w:pPr>
    </w:p>
    <w:p w:rsidR="008D43BD" w:rsidP="008D43BD">
      <w:pPr>
        <w:rPr>
          <w:szCs w:val="22"/>
        </w:rPr>
      </w:pPr>
      <w:r w:rsidRPr="00024261" w:rsidR="00A4080A">
        <w:rPr>
          <w:szCs w:val="22"/>
        </w:rPr>
        <w:t>In order to improve traceability of biological medicinal products, the tradename and the batch number of the administered product should be clearly recorded (or stated) in the patient file.</w:t>
      </w:r>
    </w:p>
    <w:p w:rsidR="008D43BD" w:rsidRPr="00A30921" w:rsidP="008D43BD">
      <w:pPr>
        <w:rPr>
          <w:szCs w:val="22"/>
        </w:rPr>
      </w:pPr>
    </w:p>
    <w:p w:rsidR="008D43BD" w:rsidP="008D43BD">
      <w:pPr>
        <w:rPr>
          <w:szCs w:val="22"/>
        </w:rPr>
      </w:pPr>
      <w:r w:rsidRPr="00405F86" w:rsidR="00A4080A">
        <w:rPr>
          <w:szCs w:val="22"/>
        </w:rPr>
        <w:t xml:space="preserve">In order to prevent </w:t>
      </w:r>
      <w:r w:rsidR="00A4080A">
        <w:rPr>
          <w:szCs w:val="22"/>
        </w:rPr>
        <w:t xml:space="preserve">medicinal product </w:t>
      </w:r>
      <w:r w:rsidRPr="00405F86" w:rsidR="00A4080A">
        <w:rPr>
          <w:szCs w:val="22"/>
        </w:rPr>
        <w:t>errors it is important to check the vial labels to ensure that the medicinal product being prepared and administered is Kadcyla (trastuzumab emtansine) and not Herceptin (trastuzumab).</w:t>
      </w:r>
    </w:p>
    <w:p w:rsidR="00D23412" w:rsidRPr="00405F86" w:rsidP="008D43BD">
      <w:pPr>
        <w:rPr>
          <w:szCs w:val="22"/>
        </w:rPr>
      </w:pPr>
    </w:p>
    <w:p w:rsidR="00D23412" w:rsidRPr="00F459D2" w:rsidP="00D23412">
      <w:pPr>
        <w:rPr>
          <w:i/>
          <w:szCs w:val="22"/>
        </w:rPr>
      </w:pPr>
      <w:r w:rsidRPr="00F459D2">
        <w:rPr>
          <w:i/>
          <w:szCs w:val="22"/>
        </w:rPr>
        <w:t>Thrombocytopenia</w:t>
      </w:r>
    </w:p>
    <w:p w:rsidR="00D23412" w:rsidRPr="00F459D2" w:rsidP="00D23412">
      <w:pPr>
        <w:rPr>
          <w:szCs w:val="22"/>
        </w:rPr>
      </w:pPr>
      <w:r w:rsidRPr="00F459D2">
        <w:rPr>
          <w:szCs w:val="22"/>
        </w:rPr>
        <w:t>Thrombocytopenia, or decreased platelet counts, was commonly reported with trastuzumab emtansine and was the most common adverse reaction leading to treatment discontinuation</w:t>
      </w:r>
      <w:r w:rsidRPr="00F459D2">
        <w:rPr>
          <w:szCs w:val="22"/>
        </w:rPr>
        <w:t>, dose reduction, and dose interruption</w:t>
      </w:r>
      <w:r w:rsidRPr="00F459D2">
        <w:rPr>
          <w:szCs w:val="22"/>
        </w:rPr>
        <w:t xml:space="preserve"> (see section 4.8). In clinical studies, the incidence and severity of thrombocytopenia were higher in Asian patients (see section 4.8).</w:t>
      </w:r>
    </w:p>
    <w:p w:rsidR="00D23412" w:rsidRPr="00F459D2" w:rsidP="00D23412">
      <w:pPr>
        <w:rPr>
          <w:szCs w:val="22"/>
        </w:rPr>
      </w:pPr>
    </w:p>
    <w:p w:rsidR="00D23412" w:rsidRPr="00F459D2" w:rsidP="00D23412">
      <w:pPr>
        <w:rPr>
          <w:szCs w:val="22"/>
        </w:rPr>
      </w:pPr>
      <w:r w:rsidRPr="00F459D2">
        <w:rPr>
          <w:szCs w:val="22"/>
        </w:rPr>
        <w:t>It is recommended that platelet counts are monitored prior to each trastuzumab emtansine dose.</w:t>
      </w:r>
      <w:r w:rsidRPr="00F459D2">
        <w:rPr>
          <w:szCs w:val="22"/>
        </w:rPr>
        <w:t xml:space="preserve"> Patients with thrombocytopenia (≤ 100,000/mm</w:t>
      </w:r>
      <w:r w:rsidRPr="00F459D2">
        <w:rPr>
          <w:szCs w:val="22"/>
          <w:vertAlign w:val="superscript"/>
        </w:rPr>
        <w:t>3</w:t>
      </w:r>
      <w:r w:rsidRPr="00F459D2">
        <w:rPr>
          <w:szCs w:val="22"/>
        </w:rPr>
        <w:t>) and patients on anti</w:t>
      </w:r>
      <w:r w:rsidRPr="00F459D2">
        <w:rPr>
          <w:szCs w:val="22"/>
        </w:rPr>
        <w:noBreakHyphen/>
        <w:t>coagulant treatment (e.g. warfarin, heparin, low molecular weight heparins) should be monitored closely while on trastuzumab emtansine treatment. Trastuzumab emtansine has not been studied in patients with platelet counts ≤ 100,000/mm</w:t>
      </w:r>
      <w:r w:rsidRPr="00F459D2">
        <w:rPr>
          <w:szCs w:val="22"/>
          <w:vertAlign w:val="superscript"/>
        </w:rPr>
        <w:t>3</w:t>
      </w:r>
      <w:r w:rsidRPr="00F459D2">
        <w:rPr>
          <w:szCs w:val="22"/>
        </w:rPr>
        <w:t xml:space="preserve"> prior to initiation of treatment. In the event of decreased platelet count to Grade 3 or greater (&lt; 50,000/mm</w:t>
      </w:r>
      <w:r w:rsidRPr="00F459D2">
        <w:rPr>
          <w:szCs w:val="22"/>
          <w:vertAlign w:val="superscript"/>
        </w:rPr>
        <w:t>3</w:t>
      </w:r>
      <w:r w:rsidRPr="00F459D2">
        <w:rPr>
          <w:szCs w:val="22"/>
        </w:rPr>
        <w:t>), do not administer trastuzumab emtansine until platelet counts recover to Grade 1 (≥ 75,000/mm</w:t>
      </w:r>
      <w:r w:rsidRPr="00F459D2">
        <w:rPr>
          <w:szCs w:val="22"/>
          <w:vertAlign w:val="superscript"/>
        </w:rPr>
        <w:t>3</w:t>
      </w:r>
      <w:r w:rsidRPr="00F459D2">
        <w:rPr>
          <w:szCs w:val="22"/>
        </w:rPr>
        <w:t xml:space="preserve">) (see section 4.2). </w:t>
      </w:r>
    </w:p>
    <w:p w:rsidR="00F72140" w:rsidRPr="00F459D2" w:rsidP="00D23412">
      <w:pPr>
        <w:rPr>
          <w:szCs w:val="22"/>
        </w:rPr>
      </w:pPr>
    </w:p>
    <w:p w:rsidR="00F72140" w:rsidRPr="00F459D2" w:rsidP="00F72140">
      <w:pPr>
        <w:rPr>
          <w:i/>
          <w:szCs w:val="22"/>
        </w:rPr>
      </w:pPr>
      <w:r w:rsidRPr="00F459D2">
        <w:rPr>
          <w:i/>
          <w:szCs w:val="22"/>
        </w:rPr>
        <w:t>Haemorrhage</w:t>
      </w:r>
    </w:p>
    <w:p w:rsidR="00F409D5" w:rsidP="00F72140">
      <w:pPr>
        <w:keepNext/>
        <w:rPr>
          <w:szCs w:val="22"/>
        </w:rPr>
      </w:pPr>
      <w:r w:rsidRPr="00F459D2" w:rsidR="00F72140">
        <w:rPr>
          <w:szCs w:val="22"/>
        </w:rPr>
        <w:t>Cases of haemorrhagic events, including central nervous system, respiratory and gastrointestinal haemorrhage, have been reported with trastuzumab emtansine treatment. Some of these bleeding events resulted in fatal outcomes. In some of the observed cases the patients had thrombocytopenia, or were also receiving anti-coagulant therapy or antiplatelet therapy; in others there were no known additional risk factors. Use caution with these agents and consider additional monitoring when concomitant use is medically necessary.</w:t>
      </w:r>
    </w:p>
    <w:p w:rsidR="00C12092" w:rsidP="00F72140">
      <w:pPr>
        <w:keepNext/>
        <w:rPr>
          <w:i/>
          <w:szCs w:val="22"/>
        </w:rPr>
      </w:pPr>
    </w:p>
    <w:p w:rsidR="00F72140" w:rsidRPr="00F459D2" w:rsidP="00F72140">
      <w:pPr>
        <w:keepNext/>
        <w:rPr>
          <w:i/>
          <w:szCs w:val="22"/>
        </w:rPr>
      </w:pPr>
      <w:r w:rsidRPr="00F459D2">
        <w:rPr>
          <w:i/>
          <w:szCs w:val="22"/>
        </w:rPr>
        <w:t>Hepatotoxicity</w:t>
      </w:r>
    </w:p>
    <w:p w:rsidR="00F72140" w:rsidRPr="00F459D2" w:rsidP="00F72140">
      <w:pPr>
        <w:rPr>
          <w:szCs w:val="22"/>
        </w:rPr>
      </w:pPr>
      <w:r w:rsidRPr="00F459D2">
        <w:rPr>
          <w:szCs w:val="22"/>
        </w:rPr>
        <w:t>Hepatotoxicity, predominantly in the form of asymptomatic increases in the concentrations of serum transaminases (Grade 1</w:t>
      </w:r>
      <w:r w:rsidRPr="00F459D2">
        <w:rPr>
          <w:szCs w:val="22"/>
        </w:rPr>
        <w:noBreakHyphen/>
        <w:t xml:space="preserve">4 transaminitis), has been observed during treatment with trastuzumab emtansine in clinical studies (see section 4.8). Transaminase elevations were generally transient with peak elevation at day 8 after administration of therapy and subsequent recovery to Grade 1 or less prior to the next cycle. A cumulative effect on transaminases has also been observed (the proportion of patients with Grade 1-2 ALT/AST abnormalities increases with successive cycles). </w:t>
      </w:r>
    </w:p>
    <w:p w:rsidR="00F72140" w:rsidRPr="00F459D2" w:rsidP="00F72140">
      <w:pPr>
        <w:rPr>
          <w:szCs w:val="22"/>
        </w:rPr>
      </w:pPr>
    </w:p>
    <w:p w:rsidR="00F72140" w:rsidRPr="00F459D2" w:rsidP="00F72140">
      <w:pPr>
        <w:rPr>
          <w:szCs w:val="22"/>
        </w:rPr>
      </w:pPr>
      <w:r w:rsidRPr="00F459D2">
        <w:rPr>
          <w:szCs w:val="22"/>
        </w:rPr>
        <w:t xml:space="preserve">Patients with elevated transaminases improved to Grade 1 or normal within 30 days of the last dose of trastuzumab emtansine in the majority of the cases (see section 4.8). </w:t>
      </w:r>
    </w:p>
    <w:p w:rsidR="00F72140" w:rsidRPr="00F459D2" w:rsidP="00F72140">
      <w:pPr>
        <w:rPr>
          <w:szCs w:val="22"/>
        </w:rPr>
      </w:pPr>
    </w:p>
    <w:p w:rsidR="00F72140" w:rsidRPr="00F459D2" w:rsidP="00F72140">
      <w:pPr>
        <w:rPr>
          <w:szCs w:val="22"/>
        </w:rPr>
      </w:pPr>
      <w:r w:rsidRPr="00F459D2">
        <w:rPr>
          <w:szCs w:val="22"/>
        </w:rPr>
        <w:t>Serious hepatobiliary disorders, including nodular regenerative hyperplasia (NRH) of the liver and some with a fatal outcome due to drug-induced liver injury have been observed in patients treated with trastuzumab emtansine. Observed cases may have been confounded by comorbidities and/or concomitant medicinal products with known hepatotoxic potential.</w:t>
      </w:r>
    </w:p>
    <w:p w:rsidR="00F72140" w:rsidRPr="00F459D2" w:rsidP="00F72140">
      <w:pPr>
        <w:rPr>
          <w:szCs w:val="22"/>
        </w:rPr>
      </w:pPr>
    </w:p>
    <w:p w:rsidR="00F72140" w:rsidRPr="00F459D2" w:rsidP="00F72140">
      <w:pPr>
        <w:rPr>
          <w:szCs w:val="22"/>
        </w:rPr>
      </w:pPr>
      <w:r w:rsidRPr="00F459D2">
        <w:rPr>
          <w:szCs w:val="22"/>
        </w:rPr>
        <w:t>Liver function should be monitored prior to initiation of treatment and each dose. Patients with baseline elevation of ALT (e.g. due to liver metastases) may be predisposed to liver injury with a higher risk of a Grade 3-5 hepatic event or liver function test increase. Dose reductions or discontinuation for increased serum transaminases and total bilirubin are specified in section 4.2.</w:t>
      </w:r>
    </w:p>
    <w:p w:rsidR="00F72140" w:rsidRPr="00F459D2" w:rsidP="00F72140">
      <w:pPr>
        <w:rPr>
          <w:szCs w:val="22"/>
        </w:rPr>
      </w:pPr>
    </w:p>
    <w:p w:rsidR="00F72140" w:rsidRPr="00F459D2" w:rsidP="00F72140">
      <w:pPr>
        <w:rPr>
          <w:szCs w:val="22"/>
        </w:rPr>
      </w:pPr>
      <w:r w:rsidRPr="00F459D2">
        <w:rPr>
          <w:szCs w:val="22"/>
        </w:rPr>
        <w:t>Cases of nodular regenerative hyperplasia (NRH) of the liver have been identified from liver biopsies in patients treated with trastuzumab emtansine. NRH is a rare liver condition characterised by widespread benign transformation of hepatic parenchyma into small regenerative nodules; NRH may lead to non</w:t>
      </w:r>
      <w:r w:rsidRPr="00F459D2">
        <w:rPr>
          <w:szCs w:val="22"/>
        </w:rPr>
        <w:noBreakHyphen/>
        <w:t xml:space="preserve">cirrhotic portal hypertension. Diagnosis of NRH can be confirmed only by histopathology. NRH should be considered in all patients with clinical symptoms of portal hypertension and/or cirrhosis-like pattern seen on the computed tomography (CT) scan of the liver but with normal transaminases and no other manifestations of cirrhosis. Upon diagnosis of NRH, trastuzumab emtansine treatment must be permanently discontinued. </w:t>
      </w:r>
    </w:p>
    <w:p w:rsidR="00F72140" w:rsidRPr="00F459D2" w:rsidP="00F72140">
      <w:pPr>
        <w:rPr>
          <w:szCs w:val="22"/>
        </w:rPr>
      </w:pPr>
    </w:p>
    <w:p w:rsidR="00F72140" w:rsidP="00F72140">
      <w:r w:rsidRPr="00F459D2">
        <w:rPr>
          <w:szCs w:val="22"/>
        </w:rPr>
        <w:t>Trastuzumab emtansine has not been studied in patients with serum transaminases &gt; 2.5</w:t>
      </w:r>
      <w:r w:rsidRPr="00F459D2">
        <w:rPr>
          <w:b/>
          <w:szCs w:val="22"/>
        </w:rPr>
        <w:t> </w:t>
      </w:r>
      <w:r w:rsidRPr="00F459D2">
        <w:rPr>
          <w:rFonts w:ascii="Symbol" w:hAnsi="Symbol"/>
          <w:szCs w:val="22"/>
        </w:rPr>
        <w:sym w:font="Symbol" w:char="F0B4"/>
      </w:r>
      <w:r w:rsidRPr="00F459D2">
        <w:rPr>
          <w:szCs w:val="22"/>
        </w:rPr>
        <w:t> ULN or total bilirubin &gt; 1.5</w:t>
      </w:r>
      <w:r w:rsidRPr="00F459D2">
        <w:rPr>
          <w:b/>
          <w:szCs w:val="22"/>
        </w:rPr>
        <w:t> </w:t>
      </w:r>
      <w:r w:rsidRPr="00F459D2">
        <w:rPr>
          <w:rFonts w:ascii="Symbol" w:hAnsi="Symbol"/>
          <w:szCs w:val="22"/>
        </w:rPr>
        <w:sym w:font="Symbol" w:char="F0B4"/>
      </w:r>
      <w:r w:rsidRPr="00F459D2">
        <w:rPr>
          <w:szCs w:val="22"/>
        </w:rPr>
        <w:t> ULN prior to initiation of treatment. Treatment in patients with serum transaminases &gt; 3</w:t>
      </w:r>
      <w:r w:rsidRPr="00F459D2">
        <w:rPr>
          <w:b/>
          <w:szCs w:val="22"/>
        </w:rPr>
        <w:t> </w:t>
      </w:r>
      <w:r w:rsidRPr="00F459D2">
        <w:rPr>
          <w:rFonts w:ascii="Symbol" w:hAnsi="Symbol"/>
          <w:szCs w:val="22"/>
        </w:rPr>
        <w:sym w:font="Symbol" w:char="F0B4"/>
      </w:r>
      <w:r w:rsidRPr="00F459D2">
        <w:rPr>
          <w:szCs w:val="22"/>
        </w:rPr>
        <w:t> ULN and concomitant total bilirubin &gt; 2</w:t>
      </w:r>
      <w:r w:rsidRPr="00F459D2">
        <w:rPr>
          <w:b/>
          <w:szCs w:val="22"/>
        </w:rPr>
        <w:t> </w:t>
      </w:r>
      <w:r w:rsidRPr="00F459D2">
        <w:rPr>
          <w:rFonts w:ascii="Symbol" w:hAnsi="Symbol"/>
          <w:szCs w:val="22"/>
        </w:rPr>
        <w:sym w:font="Symbol" w:char="F0B4"/>
      </w:r>
      <w:r w:rsidRPr="00F459D2">
        <w:rPr>
          <w:szCs w:val="22"/>
        </w:rPr>
        <w:t xml:space="preserve"> ULN should be permanently discontinued. </w:t>
      </w:r>
      <w:r w:rsidRPr="00F459D2">
        <w:t>Treatment of patients with hepatic impairment should be undertaken with caution (see sections 4.2 and 5.2).</w:t>
      </w:r>
    </w:p>
    <w:p w:rsidR="00534835" w:rsidP="00F72140"/>
    <w:p w:rsidR="00534835" w:rsidRPr="003168AE" w:rsidP="00534835">
      <w:pPr>
        <w:keepNext/>
        <w:rPr>
          <w:i/>
          <w:szCs w:val="22"/>
        </w:rPr>
      </w:pPr>
      <w:r w:rsidRPr="003168AE">
        <w:rPr>
          <w:i/>
          <w:szCs w:val="22"/>
        </w:rPr>
        <w:t>Neurotoxicity</w:t>
      </w:r>
    </w:p>
    <w:p w:rsidR="00C85031" w:rsidP="00C85031">
      <w:pPr>
        <w:rPr>
          <w:szCs w:val="22"/>
        </w:rPr>
      </w:pPr>
      <w:r w:rsidRPr="003168AE" w:rsidR="00534835">
        <w:rPr>
          <w:szCs w:val="22"/>
        </w:rPr>
        <w:t xml:space="preserve">Peripheral neuropathy, mainly Grade 1 and predominantly sensory, has been reported in clinical studies with trastuzumab emtansine. </w:t>
      </w:r>
      <w:r>
        <w:rPr>
          <w:szCs w:val="22"/>
        </w:rPr>
        <w:t>MBC p</w:t>
      </w:r>
      <w:r w:rsidRPr="003168AE" w:rsidR="00534835">
        <w:rPr>
          <w:szCs w:val="22"/>
        </w:rPr>
        <w:t>atients with Grade  </w:t>
      </w:r>
      <w:r w:rsidRPr="003168AE" w:rsidR="00534835">
        <w:rPr>
          <w:rFonts w:ascii="Symbol" w:hAnsi="Symbol"/>
          <w:szCs w:val="22"/>
        </w:rPr>
        <w:sym w:font="Symbol" w:char="F0B3"/>
      </w:r>
      <w:r w:rsidRPr="003168AE" w:rsidR="00534835">
        <w:rPr>
          <w:szCs w:val="22"/>
        </w:rPr>
        <w:t xml:space="preserve"> 3 </w:t>
      </w:r>
      <w:r>
        <w:rPr>
          <w:szCs w:val="22"/>
        </w:rPr>
        <w:t>and EBC pat</w:t>
      </w:r>
      <w:r w:rsidR="004B4CCD">
        <w:rPr>
          <w:szCs w:val="22"/>
        </w:rPr>
        <w:t>i</w:t>
      </w:r>
      <w:r>
        <w:rPr>
          <w:szCs w:val="22"/>
        </w:rPr>
        <w:t>ents with Grade  </w:t>
      </w:r>
      <w:r>
        <w:rPr>
          <w:rFonts w:ascii="Symbol" w:hAnsi="Symbol"/>
          <w:szCs w:val="22"/>
        </w:rPr>
        <w:sym w:font="Symbol" w:char="F0B3"/>
      </w:r>
      <w:r>
        <w:rPr>
          <w:szCs w:val="22"/>
        </w:rPr>
        <w:t> 2</w:t>
      </w:r>
    </w:p>
    <w:p w:rsidR="00534835" w:rsidP="00534835">
      <w:pPr>
        <w:keepNext/>
        <w:rPr>
          <w:i/>
          <w:szCs w:val="22"/>
        </w:rPr>
      </w:pPr>
      <w:r w:rsidRPr="003168AE">
        <w:rPr>
          <w:szCs w:val="22"/>
        </w:rPr>
        <w:t>peripheral neuropathy at baseline were excluded from clinical studies. Treatment with trastuzumab emtansine should be temporarily discontinued in patients experiencing Gr</w:t>
      </w:r>
      <w:r w:rsidRPr="003168AE">
        <w:rPr>
          <w:szCs w:val="22"/>
        </w:rPr>
        <w:t>ade 3 or 4 peripheral neuropathy until symptoms resolve or improve to ≤ Grade 2. Patients should be clinically monitored on an ongoing basis for signs/symptoms of neurotoxicity</w:t>
      </w:r>
      <w:r w:rsidRPr="003168AE">
        <w:rPr>
          <w:i/>
          <w:szCs w:val="22"/>
        </w:rPr>
        <w:t>.</w:t>
      </w:r>
      <w:r w:rsidRPr="00A30921">
        <w:rPr>
          <w:i/>
          <w:szCs w:val="22"/>
        </w:rPr>
        <w:t xml:space="preserve"> </w:t>
      </w:r>
    </w:p>
    <w:p w:rsidR="00C85031" w:rsidRPr="00F459D2" w:rsidP="00F72140">
      <w:pPr>
        <w:rPr>
          <w:szCs w:val="22"/>
        </w:rPr>
      </w:pPr>
    </w:p>
    <w:p w:rsidR="00F72140" w:rsidRPr="00F459D2" w:rsidP="00F72140">
      <w:pPr>
        <w:keepNext/>
        <w:rPr>
          <w:szCs w:val="22"/>
        </w:rPr>
      </w:pPr>
      <w:r w:rsidRPr="00F459D2">
        <w:rPr>
          <w:i/>
          <w:szCs w:val="22"/>
        </w:rPr>
        <w:t>Left ventricular dysfunction</w:t>
      </w:r>
      <w:r w:rsidRPr="00F459D2">
        <w:rPr>
          <w:szCs w:val="22"/>
        </w:rPr>
        <w:t xml:space="preserve"> </w:t>
      </w:r>
    </w:p>
    <w:p w:rsidR="00F72140" w:rsidRPr="00F459D2" w:rsidP="00F72140">
      <w:pPr>
        <w:rPr>
          <w:szCs w:val="22"/>
          <w:u w:val="single"/>
        </w:rPr>
      </w:pPr>
      <w:r w:rsidRPr="00F459D2">
        <w:rPr>
          <w:szCs w:val="22"/>
        </w:rPr>
        <w:t>Patients treated with trastuzumab emtansine ar</w:t>
      </w:r>
      <w:r w:rsidRPr="00F459D2">
        <w:rPr>
          <w:szCs w:val="22"/>
        </w:rPr>
        <w:t>e at increased risk of developing left ventricular dysfunction. Left ventricular ejection fraction (LVEF) &lt; 40% has been observed in patients treated with trastuzumab emtansine, and therefore symptomatic congestive heart failure (CHF) is a potential risk (see section 4.8). General risk factors for a cardiac event and those identified in adjuvant breast cancer studies with trastuzumab therapy include advancing age (&gt; 50 years), low baseline LVEF values (&lt; 55%), low LVEF levels prior to or following the use of paclitaxel in the adjuvant setting, prior or concomitant use of antihypertensive medicinal products, previous therapy with an anthracycline and high BMI (&gt; 25 kg/m</w:t>
      </w:r>
      <w:r w:rsidRPr="00F459D2">
        <w:rPr>
          <w:szCs w:val="22"/>
          <w:vertAlign w:val="superscript"/>
        </w:rPr>
        <w:t>2</w:t>
      </w:r>
      <w:r w:rsidRPr="00F459D2">
        <w:rPr>
          <w:szCs w:val="22"/>
        </w:rPr>
        <w:t>).</w:t>
      </w:r>
    </w:p>
    <w:p w:rsidR="00F72140" w:rsidRPr="00F459D2" w:rsidP="00F72140">
      <w:pPr>
        <w:rPr>
          <w:szCs w:val="22"/>
        </w:rPr>
      </w:pPr>
    </w:p>
    <w:p w:rsidR="00F72140" w:rsidP="00F72140">
      <w:pPr>
        <w:rPr>
          <w:szCs w:val="22"/>
        </w:rPr>
      </w:pPr>
      <w:r w:rsidRPr="00F459D2">
        <w:rPr>
          <w:szCs w:val="22"/>
        </w:rPr>
        <w:t>Standard cardiac function testing (echocardiogram or multigated acquisition (MUGA) scanning) should be performed prior to initiation and at regular intervals (e.g. every three months) during treatment. In clinical studies, patients had a LVEF </w:t>
      </w:r>
      <w:r w:rsidRPr="00F459D2">
        <w:rPr>
          <w:rFonts w:ascii="Symbol" w:hAnsi="Symbol"/>
          <w:szCs w:val="22"/>
        </w:rPr>
        <w:sym w:font="Symbol" w:char="F0B3"/>
      </w:r>
      <w:r w:rsidRPr="00F459D2">
        <w:rPr>
          <w:szCs w:val="22"/>
        </w:rPr>
        <w:t> 50% at baseline. Patients with a history of congestive heart failure (CHF), serious cardiac arrhythmia requiring treatment, history of myocardial infarction or unstable angina within 6 months of randomization, or current dyspnoea at rest due to advanced malignancy were excluded from clinical studies. The dose should be delayed or treatment discontinued as necessary in cases of left ventricular dysfunction (see section 4.2).</w:t>
      </w:r>
    </w:p>
    <w:p w:rsidR="009E3416" w:rsidRPr="00A30921" w:rsidP="00F72140">
      <w:pPr>
        <w:rPr>
          <w:szCs w:val="22"/>
        </w:rPr>
      </w:pPr>
    </w:p>
    <w:p w:rsidR="008D43BD" w:rsidRPr="00A30921" w:rsidP="008D43BD">
      <w:pPr>
        <w:rPr>
          <w:i/>
          <w:szCs w:val="22"/>
        </w:rPr>
      </w:pPr>
      <w:r w:rsidRPr="00A30921" w:rsidR="00A4080A">
        <w:rPr>
          <w:i/>
          <w:szCs w:val="22"/>
        </w:rPr>
        <w:t>Pulmonary toxicity</w:t>
      </w:r>
    </w:p>
    <w:p w:rsidR="008D43BD" w:rsidRPr="00A30921" w:rsidP="008D43BD">
      <w:pPr>
        <w:rPr>
          <w:szCs w:val="22"/>
        </w:rPr>
      </w:pPr>
      <w:r w:rsidRPr="00A30921" w:rsidR="00A4080A">
        <w:rPr>
          <w:szCs w:val="22"/>
        </w:rPr>
        <w:t xml:space="preserve">Cases of interstitial lung disease (ILD), including pneumonitis, some leading to acute respiratory distress syndrome or a fatal outcome, have been reported in clinical studies with trastuzumab emtansine (see section 4.8). Signs and symptoms include dyspnoea, cough, fatigue, and pulmonary infiltrates. </w:t>
      </w:r>
    </w:p>
    <w:p w:rsidR="008D43BD" w:rsidRPr="00A30921" w:rsidP="008D43BD">
      <w:pPr>
        <w:rPr>
          <w:szCs w:val="22"/>
        </w:rPr>
      </w:pPr>
    </w:p>
    <w:p w:rsidR="008D43BD" w:rsidRPr="00062D3F" w:rsidP="008D43BD">
      <w:pPr>
        <w:jc w:val="both"/>
      </w:pPr>
      <w:r w:rsidRPr="00A30921" w:rsidR="00A4080A">
        <w:rPr>
          <w:szCs w:val="22"/>
        </w:rPr>
        <w:t>It is recommended that treatment with trastuzumab emtansine be permanently discontinued in patients who are diagnosed with ILD or pneumonitis</w:t>
      </w:r>
      <w:r w:rsidR="002C3286">
        <w:rPr>
          <w:szCs w:val="16"/>
        </w:rPr>
        <w:t>,</w:t>
      </w:r>
      <w:r w:rsidRPr="003557EA" w:rsidR="002C3286">
        <w:rPr>
          <w:b/>
          <w:sz w:val="16"/>
          <w:szCs w:val="16"/>
        </w:rPr>
        <w:t xml:space="preserve"> </w:t>
      </w:r>
      <w:r w:rsidRPr="003557EA" w:rsidR="002C3286">
        <w:rPr>
          <w:szCs w:val="16"/>
        </w:rPr>
        <w:t>except for radiation pneumonitis in</w:t>
      </w:r>
      <w:r w:rsidR="002C3286">
        <w:rPr>
          <w:szCs w:val="16"/>
        </w:rPr>
        <w:t xml:space="preserve"> the adjuvant setting, </w:t>
      </w:r>
      <w:r w:rsidRPr="003557EA" w:rsidR="002C3286">
        <w:rPr>
          <w:szCs w:val="16"/>
        </w:rPr>
        <w:t xml:space="preserve">where </w:t>
      </w:r>
      <w:r w:rsidR="002C3286">
        <w:rPr>
          <w:szCs w:val="16"/>
        </w:rPr>
        <w:t xml:space="preserve">trastuzumab emtansine should be permanently discontinued for </w:t>
      </w:r>
      <w:r w:rsidR="002C3286">
        <w:rPr>
          <w:rFonts w:ascii="Symbol" w:hAnsi="Symbol"/>
          <w:szCs w:val="16"/>
        </w:rPr>
        <w:sym w:font="Symbol" w:char="F0B3"/>
      </w:r>
      <w:r w:rsidR="002C3286">
        <w:rPr>
          <w:szCs w:val="16"/>
        </w:rPr>
        <w:t xml:space="preserve"> Grade 3 or </w:t>
      </w:r>
      <w:r w:rsidRPr="003557EA" w:rsidR="002C3286">
        <w:rPr>
          <w:szCs w:val="16"/>
        </w:rPr>
        <w:t>for Grade 2 not responding to standard treatment.</w:t>
      </w:r>
      <w:r w:rsidR="00A4080A">
        <w:rPr>
          <w:szCs w:val="16"/>
        </w:rPr>
        <w:t xml:space="preserve"> (see section 4.2)</w:t>
      </w:r>
      <w:r w:rsidRPr="00A30921" w:rsidR="00A4080A">
        <w:rPr>
          <w:szCs w:val="22"/>
        </w:rPr>
        <w:t>.</w:t>
      </w:r>
    </w:p>
    <w:p w:rsidR="008D43BD" w:rsidRPr="00A30921" w:rsidP="008D43BD">
      <w:pPr>
        <w:rPr>
          <w:szCs w:val="22"/>
        </w:rPr>
      </w:pPr>
    </w:p>
    <w:p w:rsidR="008D43BD" w:rsidRPr="00A30921" w:rsidP="008D43BD">
      <w:pPr>
        <w:rPr>
          <w:szCs w:val="22"/>
        </w:rPr>
      </w:pPr>
      <w:r w:rsidRPr="00A30921" w:rsidR="00A4080A">
        <w:rPr>
          <w:szCs w:val="22"/>
        </w:rPr>
        <w:t>Patients with dyspnoea at rest due to complications of advanced malignancy</w:t>
      </w:r>
      <w:r w:rsidR="00A4080A">
        <w:rPr>
          <w:szCs w:val="22"/>
        </w:rPr>
        <w:t>,</w:t>
      </w:r>
      <w:r w:rsidRPr="00A30921" w:rsidR="00A4080A">
        <w:rPr>
          <w:szCs w:val="22"/>
        </w:rPr>
        <w:t xml:space="preserve"> co</w:t>
      </w:r>
      <w:r w:rsidRPr="00A30921" w:rsidR="00A4080A">
        <w:rPr>
          <w:szCs w:val="22"/>
        </w:rPr>
        <w:noBreakHyphen/>
        <w:t>morbidities</w:t>
      </w:r>
      <w:r w:rsidR="00A4080A">
        <w:rPr>
          <w:szCs w:val="22"/>
        </w:rPr>
        <w:t xml:space="preserve">, and receiving </w:t>
      </w:r>
      <w:r w:rsidRPr="00D416E8" w:rsidR="00A4080A">
        <w:rPr>
          <w:szCs w:val="22"/>
        </w:rPr>
        <w:t>concurrent pulmonary radiation therapy</w:t>
      </w:r>
      <w:r w:rsidRPr="00A30921" w:rsidR="00A4080A">
        <w:rPr>
          <w:szCs w:val="22"/>
        </w:rPr>
        <w:t xml:space="preserve"> may be at increased risk of pulmonary events.</w:t>
      </w:r>
    </w:p>
    <w:p w:rsidR="008D43BD" w:rsidRPr="00F459D2" w:rsidP="008D43BD">
      <w:pPr>
        <w:rPr>
          <w:b/>
          <w:szCs w:val="22"/>
          <w:u w:val="single"/>
        </w:rPr>
      </w:pPr>
    </w:p>
    <w:p w:rsidR="008D43BD" w:rsidRPr="00A30921" w:rsidP="008D43BD">
      <w:pPr>
        <w:keepNext/>
        <w:rPr>
          <w:i/>
          <w:szCs w:val="22"/>
        </w:rPr>
      </w:pPr>
      <w:r w:rsidRPr="00A30921" w:rsidR="00A4080A">
        <w:rPr>
          <w:i/>
          <w:szCs w:val="22"/>
        </w:rPr>
        <w:t>Infusion-related reactions</w:t>
      </w:r>
    </w:p>
    <w:p w:rsidR="008D43BD" w:rsidRPr="00A30921" w:rsidP="008D43BD">
      <w:pPr>
        <w:rPr>
          <w:szCs w:val="22"/>
        </w:rPr>
      </w:pPr>
      <w:r w:rsidRPr="00A30921" w:rsidR="00A4080A">
        <w:rPr>
          <w:szCs w:val="22"/>
        </w:rPr>
        <w:t>Trastuzumab emtansine treatment has not been studied in patients who had trastuzumab permanently discontinued due to infusion-related reactions (IRR); treatment is not recommended for these patients. Patients should be observed closely for infusion-related reactions, especially during the first infusion.</w:t>
      </w:r>
    </w:p>
    <w:p w:rsidR="008D43BD" w:rsidRPr="00A30921" w:rsidP="008D43BD">
      <w:pPr>
        <w:rPr>
          <w:szCs w:val="22"/>
        </w:rPr>
      </w:pPr>
    </w:p>
    <w:p w:rsidR="008D43BD" w:rsidRPr="00A30921" w:rsidP="008D43BD">
      <w:pPr>
        <w:rPr>
          <w:szCs w:val="22"/>
        </w:rPr>
      </w:pPr>
      <w:r w:rsidRPr="00A30921" w:rsidR="00A4080A">
        <w:rPr>
          <w:szCs w:val="22"/>
        </w:rPr>
        <w:t xml:space="preserve">Infusion-related reactions (due to cytokine release), characterized by one or more of the following symptoms have been reported: flushing, chills, pyrexia, dyspnoea, hypotension, wheezing, bronchospasm, and tachycardia. In general, these symptoms were not severe (see section 4.8). In most patients, these reactions resolved over the course of several hours to a day after the infusion was terminated. Treatment should be interrupted in patients with a severe IRR until signs and symptoms resolve. Consideration for re-treatment should be based on clinical assessment of the severity of the reaction. Treatment must be permanently discontinued in the event of a life threatening infusion-related reaction (see section 4.2). </w:t>
      </w:r>
    </w:p>
    <w:p w:rsidR="008D43BD" w:rsidRPr="00A30921" w:rsidP="008D43BD">
      <w:pPr>
        <w:rPr>
          <w:i/>
          <w:szCs w:val="22"/>
        </w:rPr>
      </w:pPr>
    </w:p>
    <w:p w:rsidR="008D43BD" w:rsidRPr="00A30921" w:rsidP="008D43BD">
      <w:pPr>
        <w:keepNext/>
        <w:rPr>
          <w:i/>
          <w:szCs w:val="22"/>
        </w:rPr>
      </w:pPr>
      <w:r w:rsidRPr="00A30921" w:rsidR="00A4080A">
        <w:rPr>
          <w:i/>
          <w:szCs w:val="22"/>
        </w:rPr>
        <w:t>Hypersensitivity reactions</w:t>
      </w:r>
    </w:p>
    <w:p w:rsidR="008D43BD" w:rsidRPr="00A30921" w:rsidP="008D43BD">
      <w:pPr>
        <w:rPr>
          <w:szCs w:val="22"/>
        </w:rPr>
      </w:pPr>
      <w:r w:rsidRPr="00A30921" w:rsidR="00A4080A">
        <w:rPr>
          <w:szCs w:val="22"/>
        </w:rPr>
        <w:t xml:space="preserve">Trastuzumab emtansine treatment has not been studied in patients who had trastuzumab permanently discontinued due to hypersensitivity; treatment with trastuzumab emtansine is not recommended for these patients. </w:t>
      </w:r>
    </w:p>
    <w:p w:rsidR="008D43BD" w:rsidRPr="00A30921" w:rsidP="008D43BD">
      <w:pPr>
        <w:rPr>
          <w:szCs w:val="22"/>
        </w:rPr>
      </w:pPr>
    </w:p>
    <w:p w:rsidR="008D43BD" w:rsidRPr="00A30921" w:rsidP="008D43BD">
      <w:pPr>
        <w:rPr>
          <w:szCs w:val="22"/>
        </w:rPr>
      </w:pPr>
      <w:r w:rsidRPr="00A30921" w:rsidR="00A4080A">
        <w:rPr>
          <w:szCs w:val="22"/>
        </w:rPr>
        <w:t xml:space="preserve">Patients should be observed closely for hypersensitivity/allergic reactions, which may have the same clinical presentation as an IRR. Serious, anaphylactic reactions have been observed in clinical studies with trastuzumab emtansine. Medicinal products to treat such reactions, as well as emergency equipment, should be available for immediate use. In the event of a true hypersensitivity reaction (in which severity of reaction increases with subsequent infusions), trastuzumab emtansine treatment must be permanently discontinued. </w:t>
      </w:r>
    </w:p>
    <w:p w:rsidR="00534835" w:rsidRPr="00A30921" w:rsidP="008D43BD">
      <w:pPr>
        <w:rPr>
          <w:i/>
          <w:szCs w:val="22"/>
        </w:rPr>
      </w:pPr>
    </w:p>
    <w:p w:rsidR="008D43BD" w:rsidRPr="00A30921" w:rsidP="008D43BD">
      <w:pPr>
        <w:keepNext/>
        <w:rPr>
          <w:i/>
          <w:szCs w:val="22"/>
        </w:rPr>
      </w:pPr>
      <w:r w:rsidRPr="00A30921" w:rsidR="00A4080A">
        <w:rPr>
          <w:i/>
          <w:szCs w:val="22"/>
        </w:rPr>
        <w:t>Sodium content in excipients</w:t>
      </w:r>
    </w:p>
    <w:p w:rsidR="008D43BD" w:rsidRPr="00A30921" w:rsidP="008D43BD">
      <w:pPr>
        <w:rPr>
          <w:szCs w:val="22"/>
        </w:rPr>
      </w:pPr>
      <w:r w:rsidRPr="00A30921" w:rsidR="00A4080A">
        <w:rPr>
          <w:szCs w:val="22"/>
        </w:rPr>
        <w:t>This medicinal product contains less than 1 mmol sodium (23 mg) per dose, i.e. essentially ‘sodium- free’.</w:t>
      </w:r>
    </w:p>
    <w:p w:rsidR="008D43BD" w:rsidRPr="00123D7D" w:rsidP="008D43BD">
      <w:pPr>
        <w:rPr>
          <w:szCs w:val="22"/>
        </w:rPr>
      </w:pPr>
    </w:p>
    <w:p w:rsidR="008D43BD" w:rsidRPr="00A30921" w:rsidP="008D43BD">
      <w:pPr>
        <w:ind w:left="567" w:hanging="567"/>
        <w:outlineLvl w:val="0"/>
        <w:rPr>
          <w:szCs w:val="22"/>
        </w:rPr>
      </w:pPr>
      <w:r w:rsidRPr="00A30921" w:rsidR="00A4080A">
        <w:rPr>
          <w:b/>
          <w:szCs w:val="22"/>
        </w:rPr>
        <w:t>4.5</w:t>
        <w:tab/>
        <w:t>Interaction with other medicinal products and other forms of interaction</w:t>
      </w:r>
    </w:p>
    <w:p w:rsidR="008D43BD" w:rsidRPr="00A30921" w:rsidP="008D43BD">
      <w:pPr>
        <w:rPr>
          <w:szCs w:val="22"/>
        </w:rPr>
      </w:pPr>
    </w:p>
    <w:p w:rsidR="008D43BD" w:rsidRPr="00A30921" w:rsidP="008D43BD">
      <w:pPr>
        <w:rPr>
          <w:szCs w:val="22"/>
        </w:rPr>
      </w:pPr>
      <w:r w:rsidRPr="00A30921" w:rsidR="00A4080A">
        <w:rPr>
          <w:szCs w:val="22"/>
        </w:rPr>
        <w:t xml:space="preserve">No formal interaction studies have been performed. </w:t>
      </w:r>
    </w:p>
    <w:p w:rsidR="008D43BD" w:rsidRPr="00A30921" w:rsidP="008D43BD">
      <w:pPr>
        <w:rPr>
          <w:szCs w:val="22"/>
        </w:rPr>
      </w:pPr>
    </w:p>
    <w:p w:rsidR="008D43BD" w:rsidRPr="00A30921" w:rsidP="008D43BD">
      <w:pPr>
        <w:rPr>
          <w:szCs w:val="22"/>
        </w:rPr>
      </w:pPr>
      <w:r w:rsidRPr="00A30921" w:rsidR="00A4080A">
        <w:rPr>
          <w:i/>
          <w:szCs w:val="22"/>
        </w:rPr>
        <w:t>In vitro</w:t>
      </w:r>
      <w:r w:rsidRPr="00A30921" w:rsidR="00A4080A">
        <w:rPr>
          <w:szCs w:val="22"/>
        </w:rPr>
        <w:t xml:space="preserve"> metabolism studies in human liver microsomes suggest that DM1, a component of trastuzumab emtansine, is metabolised mainly by CYP3A4 and, to a lesser extent, by CYP3A5.   Concomitant use of strong CYP3A4 inhibitors (e.g., ketoconazole, itraconazole, clarithromycin, atazanavir, indinavir, nefazodone, nelfinavir, ritonavir, saquinavir, telithromycin, and voriconazole) with trastuzumab emtansine should be avoided due to the potential for an increase in DM1 exposure and toxicity.  Consider an alternate medicinal product with no or minimal potential to inhibit CYP3A4.  If concomitant use of strong CYP3A4 inhibitors is unavoidable, consider delaying trastuzumab emtansine treatment until the strong CYP3A4 inhibitors have cleared from the circulation (approximately 3 elimination half-lives of the inhibitors) when possible.  If a strong CYP3A4 inhibitor is coadministered and trastuzumab emtansine treatment cannot be delayed, patients should be closely monitored for adverse reactions. </w:t>
      </w:r>
    </w:p>
    <w:p w:rsidR="008D43BD" w:rsidRPr="00123D7D" w:rsidP="008D43BD">
      <w:pPr>
        <w:rPr>
          <w:szCs w:val="22"/>
        </w:rPr>
      </w:pPr>
    </w:p>
    <w:p w:rsidR="008D43BD" w:rsidRPr="00A30921" w:rsidP="008D43BD">
      <w:pPr>
        <w:ind w:left="567" w:hanging="567"/>
        <w:outlineLvl w:val="0"/>
        <w:rPr>
          <w:szCs w:val="22"/>
        </w:rPr>
      </w:pPr>
      <w:r w:rsidRPr="00A30921" w:rsidR="00A4080A">
        <w:rPr>
          <w:b/>
          <w:szCs w:val="22"/>
        </w:rPr>
        <w:t>4.6</w:t>
        <w:tab/>
      </w:r>
      <w:r w:rsidRPr="00A30921" w:rsidR="00A4080A">
        <w:rPr>
          <w:b/>
          <w:bCs/>
          <w:szCs w:val="22"/>
        </w:rPr>
        <w:t>Fertility, p</w:t>
      </w:r>
      <w:r w:rsidRPr="00A30921" w:rsidR="00A4080A">
        <w:rPr>
          <w:b/>
          <w:szCs w:val="22"/>
        </w:rPr>
        <w:t>regnancy and lactation</w:t>
      </w:r>
    </w:p>
    <w:p w:rsidR="008D43BD" w:rsidRPr="00A30921" w:rsidP="008D43BD">
      <w:pPr>
        <w:rPr>
          <w:szCs w:val="22"/>
        </w:rPr>
      </w:pPr>
    </w:p>
    <w:p w:rsidR="008D43BD" w:rsidP="008D43BD">
      <w:pPr>
        <w:rPr>
          <w:szCs w:val="22"/>
          <w:u w:val="single"/>
        </w:rPr>
      </w:pPr>
      <w:r w:rsidRPr="00405F86" w:rsidR="00A4080A">
        <w:rPr>
          <w:szCs w:val="22"/>
          <w:u w:val="single"/>
        </w:rPr>
        <w:t>Contraception in males and females</w:t>
      </w:r>
    </w:p>
    <w:p w:rsidR="008D43BD" w:rsidRPr="00405F86" w:rsidP="008D43BD">
      <w:pPr>
        <w:rPr>
          <w:szCs w:val="22"/>
          <w:u w:val="single"/>
        </w:rPr>
      </w:pPr>
    </w:p>
    <w:p w:rsidR="008D43BD" w:rsidRPr="00A30921" w:rsidP="008D43BD">
      <w:pPr>
        <w:rPr>
          <w:szCs w:val="22"/>
        </w:rPr>
      </w:pPr>
      <w:r w:rsidRPr="00A30921" w:rsidR="00A4080A">
        <w:rPr>
          <w:szCs w:val="22"/>
        </w:rPr>
        <w:t xml:space="preserve">Women of childbearing potential should use effective contraception while receiving trastuzumab emtansine and for </w:t>
      </w:r>
      <w:r w:rsidR="00A4080A">
        <w:rPr>
          <w:szCs w:val="22"/>
        </w:rPr>
        <w:t>7</w:t>
      </w:r>
      <w:r w:rsidRPr="00A30921" w:rsidR="00A4080A">
        <w:rPr>
          <w:szCs w:val="22"/>
        </w:rPr>
        <w:t> months following the last dose of trastuzumab emtansine. Male patients or their female partners should also use effective contraception.</w:t>
      </w:r>
    </w:p>
    <w:p w:rsidR="008D43BD" w:rsidRPr="00A30921" w:rsidP="008D43BD">
      <w:pPr>
        <w:rPr>
          <w:b/>
          <w:szCs w:val="22"/>
          <w:u w:val="single"/>
        </w:rPr>
      </w:pPr>
    </w:p>
    <w:p w:rsidR="008D43BD" w:rsidP="008D43BD">
      <w:pPr>
        <w:keepNext/>
        <w:rPr>
          <w:szCs w:val="22"/>
          <w:u w:val="single"/>
        </w:rPr>
      </w:pPr>
      <w:r w:rsidRPr="00405F86" w:rsidR="00A4080A">
        <w:rPr>
          <w:szCs w:val="22"/>
          <w:u w:val="single"/>
        </w:rPr>
        <w:t>Pregnancy</w:t>
      </w:r>
    </w:p>
    <w:p w:rsidR="008D43BD" w:rsidRPr="00405F86" w:rsidP="008D43BD">
      <w:pPr>
        <w:keepNext/>
        <w:rPr>
          <w:szCs w:val="22"/>
          <w:u w:val="single"/>
        </w:rPr>
      </w:pPr>
    </w:p>
    <w:p w:rsidR="008D43BD" w:rsidRPr="00A30921" w:rsidP="008D43BD">
      <w:pPr>
        <w:rPr>
          <w:szCs w:val="22"/>
        </w:rPr>
      </w:pPr>
      <w:r w:rsidRPr="00A30921" w:rsidR="00A4080A">
        <w:rPr>
          <w:szCs w:val="22"/>
        </w:rPr>
        <w:t>There are no data from the use of trastuzumab emtansine in pregnant women. Trastuzumab, a component of trastuzumab emtansine, can cause foetal harm or death when administered to a pregnant woman. In the post</w:t>
      </w:r>
      <w:r w:rsidRPr="00A30921" w:rsidR="00A4080A">
        <w:rPr>
          <w:szCs w:val="22"/>
        </w:rPr>
        <w:noBreakHyphen/>
        <w:t>marketing setting, cases of oligohydramnios, some associated with fatal pulmonary hypoplasia, have been reported in pregnant women receiving trastuzumab. Animal studies of maytansine, a closely related chemical entity of the same maytansinoid class as DM1, suggest that DM1, the microtubule inhibiting cytotoxic component of trastuzumab emtansine, is expected to be teratogenic and potentially embryotoxic (see section 5.3).</w:t>
      </w:r>
    </w:p>
    <w:p w:rsidR="008D43BD" w:rsidRPr="00A30921" w:rsidP="008D43BD">
      <w:pPr>
        <w:rPr>
          <w:szCs w:val="22"/>
        </w:rPr>
      </w:pPr>
    </w:p>
    <w:p w:rsidR="008D43BD" w:rsidRPr="00A30921" w:rsidP="008D43BD">
      <w:pPr>
        <w:rPr>
          <w:szCs w:val="22"/>
        </w:rPr>
      </w:pPr>
      <w:r w:rsidRPr="00A30921" w:rsidR="00A4080A">
        <w:rPr>
          <w:szCs w:val="22"/>
        </w:rPr>
        <w:t>Administration</w:t>
      </w:r>
      <w:r w:rsidRPr="00A30921" w:rsidR="00A4080A">
        <w:rPr>
          <w:i/>
          <w:szCs w:val="22"/>
        </w:rPr>
        <w:t xml:space="preserve"> </w:t>
      </w:r>
      <w:r w:rsidRPr="00A30921" w:rsidR="00A4080A">
        <w:rPr>
          <w:szCs w:val="22"/>
        </w:rPr>
        <w:t>of trastuzumab emtansine to pregnant women is not recommended and women should be informed of the possibility of harm to the foetus before they become pregnant. Women who become pregnant must immediately contact their doctor. If a pregnant woman is treated with trastuzumab emtansine, close monitoring by a multidisciplinary team is recommended.</w:t>
      </w:r>
    </w:p>
    <w:p w:rsidR="008D43BD" w:rsidRPr="00A30921" w:rsidP="008D43BD">
      <w:pPr>
        <w:rPr>
          <w:i/>
          <w:szCs w:val="22"/>
        </w:rPr>
      </w:pPr>
    </w:p>
    <w:p w:rsidR="008D43BD" w:rsidP="008D43BD">
      <w:pPr>
        <w:keepNext/>
        <w:rPr>
          <w:szCs w:val="22"/>
          <w:u w:val="single"/>
        </w:rPr>
      </w:pPr>
      <w:r w:rsidRPr="00405F86" w:rsidR="00A4080A">
        <w:rPr>
          <w:szCs w:val="22"/>
          <w:u w:val="single"/>
        </w:rPr>
        <w:t>Breast</w:t>
      </w:r>
      <w:r w:rsidRPr="00405F86" w:rsidR="00A4080A">
        <w:rPr>
          <w:szCs w:val="22"/>
          <w:u w:val="single"/>
        </w:rPr>
        <w:noBreakHyphen/>
        <w:t>feeding</w:t>
      </w:r>
    </w:p>
    <w:p w:rsidR="008D43BD" w:rsidRPr="00405F86" w:rsidP="008D43BD">
      <w:pPr>
        <w:keepNext/>
        <w:rPr>
          <w:szCs w:val="22"/>
          <w:u w:val="single"/>
        </w:rPr>
      </w:pPr>
    </w:p>
    <w:p w:rsidR="008D43BD" w:rsidRPr="00A30921" w:rsidP="008D43BD">
      <w:pPr>
        <w:rPr>
          <w:szCs w:val="22"/>
        </w:rPr>
      </w:pPr>
      <w:r w:rsidRPr="00A30921" w:rsidR="00A4080A">
        <w:rPr>
          <w:szCs w:val="22"/>
        </w:rPr>
        <w:t>It is not known whether trastuzumab emtansine is excreted in human milk. Since many medicinal products are excreted in human milk and because of the potential for serious adverse reactions in breast</w:t>
      </w:r>
      <w:r w:rsidRPr="00A30921" w:rsidR="00A4080A">
        <w:rPr>
          <w:szCs w:val="22"/>
        </w:rPr>
        <w:noBreakHyphen/>
        <w:t>feeding infants, women should discontinue breast</w:t>
      </w:r>
      <w:r w:rsidRPr="00A30921" w:rsidR="00A4080A">
        <w:rPr>
          <w:szCs w:val="22"/>
        </w:rPr>
        <w:noBreakHyphen/>
        <w:t>feeding prior to initiating treatment with trastuzumab emtansine. Women may begin breast</w:t>
      </w:r>
      <w:r w:rsidRPr="00A30921" w:rsidR="00A4080A">
        <w:rPr>
          <w:szCs w:val="22"/>
        </w:rPr>
        <w:noBreakHyphen/>
        <w:t xml:space="preserve">feeding </w:t>
      </w:r>
      <w:r w:rsidR="00A4080A">
        <w:rPr>
          <w:szCs w:val="22"/>
        </w:rPr>
        <w:t>7</w:t>
      </w:r>
      <w:r w:rsidRPr="00A30921" w:rsidR="00A4080A">
        <w:rPr>
          <w:szCs w:val="22"/>
        </w:rPr>
        <w:t xml:space="preserve"> months after concluding treatment. </w:t>
      </w:r>
    </w:p>
    <w:p w:rsidR="008D43BD" w:rsidRPr="00A30921" w:rsidP="008D43BD">
      <w:pPr>
        <w:rPr>
          <w:i/>
          <w:szCs w:val="22"/>
        </w:rPr>
      </w:pPr>
    </w:p>
    <w:p w:rsidR="008D43BD" w:rsidP="008D43BD">
      <w:pPr>
        <w:keepNext/>
        <w:rPr>
          <w:szCs w:val="22"/>
          <w:u w:val="single"/>
        </w:rPr>
      </w:pPr>
      <w:r w:rsidRPr="00405F86" w:rsidR="00A4080A">
        <w:rPr>
          <w:szCs w:val="22"/>
          <w:u w:val="single"/>
        </w:rPr>
        <w:t>Fertility</w:t>
      </w:r>
    </w:p>
    <w:p w:rsidR="008D43BD" w:rsidRPr="00405F86" w:rsidP="008D43BD">
      <w:pPr>
        <w:keepNext/>
        <w:rPr>
          <w:szCs w:val="22"/>
          <w:u w:val="single"/>
        </w:rPr>
      </w:pPr>
    </w:p>
    <w:p w:rsidR="008D43BD" w:rsidRPr="00A30921" w:rsidP="008D43BD">
      <w:pPr>
        <w:rPr>
          <w:szCs w:val="22"/>
        </w:rPr>
      </w:pPr>
      <w:r w:rsidRPr="00A30921" w:rsidR="00A4080A">
        <w:rPr>
          <w:szCs w:val="22"/>
        </w:rPr>
        <w:t xml:space="preserve">No reproductive and developmental toxicology studies have been conducted with trastuzumab emtansine. </w:t>
      </w:r>
    </w:p>
    <w:p w:rsidR="008D43BD" w:rsidRPr="00A30921" w:rsidP="008D43BD">
      <w:pPr>
        <w:rPr>
          <w:szCs w:val="22"/>
        </w:rPr>
      </w:pPr>
    </w:p>
    <w:p w:rsidR="008D43BD" w:rsidRPr="00A30921" w:rsidP="008D43BD">
      <w:pPr>
        <w:keepNext/>
        <w:keepLines/>
        <w:ind w:left="567" w:hanging="567"/>
        <w:outlineLvl w:val="0"/>
        <w:rPr>
          <w:szCs w:val="22"/>
        </w:rPr>
      </w:pPr>
      <w:r w:rsidRPr="00A30921" w:rsidR="00A4080A">
        <w:rPr>
          <w:b/>
          <w:szCs w:val="22"/>
        </w:rPr>
        <w:t>4.7</w:t>
        <w:tab/>
        <w:t>Effects on ability to drive and use machines</w:t>
      </w:r>
    </w:p>
    <w:p w:rsidR="008D43BD" w:rsidRPr="00A30921" w:rsidP="008D43BD">
      <w:pPr>
        <w:keepNext/>
        <w:keepLines/>
        <w:rPr>
          <w:szCs w:val="22"/>
        </w:rPr>
      </w:pPr>
    </w:p>
    <w:p w:rsidR="008D43BD" w:rsidRPr="00F459D2" w:rsidP="008D43BD">
      <w:pPr>
        <w:rPr>
          <w:szCs w:val="22"/>
        </w:rPr>
      </w:pPr>
      <w:r w:rsidRPr="00F459D2" w:rsidR="00A4080A">
        <w:rPr>
          <w:szCs w:val="22"/>
        </w:rPr>
        <w:t xml:space="preserve">Trastuzumab emtansine has </w:t>
      </w:r>
      <w:r w:rsidRPr="00F459D2" w:rsidR="005D4B7E">
        <w:rPr>
          <w:szCs w:val="22"/>
        </w:rPr>
        <w:t>minor</w:t>
      </w:r>
      <w:r w:rsidRPr="00F459D2" w:rsidR="00A4080A">
        <w:rPr>
          <w:szCs w:val="22"/>
        </w:rPr>
        <w:t xml:space="preserve"> influence on the ability to drive and use machines. </w:t>
      </w:r>
    </w:p>
    <w:p w:rsidR="00F409D5" w:rsidRPr="00A30921" w:rsidP="008D43BD">
      <w:pPr>
        <w:rPr>
          <w:szCs w:val="22"/>
        </w:rPr>
      </w:pPr>
      <w:r w:rsidRPr="001B4A07" w:rsidR="00A4080A">
        <w:rPr>
          <w:szCs w:val="22"/>
        </w:rPr>
        <w:t>The significance of reported adverse reactions such as fatigue, headache, dizziness and blurred vision on the ability to drive or use machines is unknown. Patients experiencing infusion</w:t>
      </w:r>
      <w:r w:rsidRPr="001B4A07" w:rsidR="00A4080A">
        <w:rPr>
          <w:szCs w:val="22"/>
        </w:rPr>
        <w:noBreakHyphen/>
        <w:t xml:space="preserve">related reactions </w:t>
      </w:r>
      <w:r w:rsidRPr="00B34766" w:rsidR="00A4080A">
        <w:rPr>
          <w:szCs w:val="22"/>
        </w:rPr>
        <w:t>(</w:t>
      </w:r>
      <w:r w:rsidRPr="00F459D2" w:rsidR="00282AC6">
        <w:rPr>
          <w:szCs w:val="22"/>
        </w:rPr>
        <w:t>flushing, chills, pyrexia, dyspnoea, hypotension, wheezing, bronchospasm, and tachycardia</w:t>
      </w:r>
      <w:r w:rsidRPr="00F459D2" w:rsidR="00A4080A">
        <w:rPr>
          <w:szCs w:val="22"/>
        </w:rPr>
        <w:t>) should be advised not to drive and use machines until symptoms abate.</w:t>
      </w:r>
    </w:p>
    <w:p w:rsidR="008D43BD" w:rsidRPr="00A30921" w:rsidP="008D43BD">
      <w:pPr>
        <w:rPr>
          <w:szCs w:val="22"/>
        </w:rPr>
      </w:pPr>
    </w:p>
    <w:p w:rsidR="008D43BD" w:rsidRPr="00A30921" w:rsidP="008D43BD">
      <w:pPr>
        <w:keepNext/>
        <w:keepLines/>
        <w:ind w:left="567" w:hanging="567"/>
        <w:outlineLvl w:val="0"/>
        <w:rPr>
          <w:b/>
          <w:szCs w:val="22"/>
        </w:rPr>
      </w:pPr>
      <w:r w:rsidRPr="00A30921" w:rsidR="00A4080A">
        <w:rPr>
          <w:b/>
          <w:szCs w:val="22"/>
        </w:rPr>
        <w:t>4.8</w:t>
        <w:tab/>
        <w:t>Undesirable effects</w:t>
      </w:r>
    </w:p>
    <w:p w:rsidR="008D43BD" w:rsidRPr="00A30921" w:rsidP="008D43BD">
      <w:pPr>
        <w:keepNext/>
        <w:keepLines/>
        <w:rPr>
          <w:szCs w:val="22"/>
        </w:rPr>
      </w:pPr>
    </w:p>
    <w:p w:rsidR="008D43BD" w:rsidRPr="006F38C9" w:rsidP="008D43BD">
      <w:pPr>
        <w:keepNext/>
        <w:keepLines/>
        <w:rPr>
          <w:rFonts w:eastAsia="PMingLiU"/>
          <w:szCs w:val="22"/>
          <w:u w:val="single"/>
          <w:lang w:eastAsia="zh-TW"/>
        </w:rPr>
      </w:pPr>
      <w:r w:rsidRPr="006F38C9" w:rsidR="00A4080A">
        <w:rPr>
          <w:szCs w:val="22"/>
          <w:u w:val="single"/>
        </w:rPr>
        <w:t>Summary of the safety profile</w:t>
      </w:r>
      <w:r w:rsidRPr="006F38C9" w:rsidR="00A4080A">
        <w:rPr>
          <w:rFonts w:eastAsia="PMingLiU"/>
          <w:szCs w:val="22"/>
          <w:u w:val="single"/>
          <w:lang w:eastAsia="zh-TW"/>
        </w:rPr>
        <w:t xml:space="preserve"> </w:t>
      </w:r>
    </w:p>
    <w:p w:rsidR="008D43BD" w:rsidRPr="006F38C9" w:rsidP="008D43BD">
      <w:pPr>
        <w:keepNext/>
        <w:keepLines/>
        <w:rPr>
          <w:rFonts w:eastAsia="PMingLiU"/>
          <w:szCs w:val="22"/>
          <w:u w:val="single"/>
          <w:lang w:eastAsia="zh-TW"/>
        </w:rPr>
      </w:pPr>
    </w:p>
    <w:p w:rsidR="008D43BD" w:rsidRPr="00A30921" w:rsidP="008D43BD">
      <w:pPr>
        <w:keepNext/>
        <w:keepLines/>
        <w:rPr>
          <w:szCs w:val="22"/>
        </w:rPr>
      </w:pPr>
      <w:r w:rsidRPr="006F38C9" w:rsidR="00A4080A">
        <w:rPr>
          <w:szCs w:val="22"/>
        </w:rPr>
        <w:t>The safety of trastuzumab</w:t>
      </w:r>
      <w:r w:rsidRPr="00A30921" w:rsidR="00A4080A">
        <w:rPr>
          <w:szCs w:val="22"/>
        </w:rPr>
        <w:t xml:space="preserve"> emtansine has been evaluated </w:t>
      </w:r>
      <w:r w:rsidRPr="006A6270" w:rsidR="00A4080A">
        <w:rPr>
          <w:szCs w:val="22"/>
        </w:rPr>
        <w:t xml:space="preserve">in </w:t>
      </w:r>
      <w:r w:rsidR="00B1301E">
        <w:rPr>
          <w:szCs w:val="22"/>
        </w:rPr>
        <w:t>2</w:t>
      </w:r>
      <w:r w:rsidR="008511AC">
        <w:rPr>
          <w:szCs w:val="22"/>
        </w:rPr>
        <w:t>,</w:t>
      </w:r>
      <w:r w:rsidR="00B1301E">
        <w:rPr>
          <w:szCs w:val="22"/>
        </w:rPr>
        <w:t>61</w:t>
      </w:r>
      <w:r w:rsidRPr="006A6270" w:rsidR="00A4080A">
        <w:rPr>
          <w:szCs w:val="22"/>
        </w:rPr>
        <w:t>1</w:t>
      </w:r>
      <w:r w:rsidRPr="00A30921" w:rsidR="00A4080A">
        <w:rPr>
          <w:szCs w:val="22"/>
        </w:rPr>
        <w:t xml:space="preserve"> breast cancer patients in clinical studies. In this patient population: </w:t>
      </w:r>
    </w:p>
    <w:p w:rsidR="008D43BD" w:rsidRPr="00A30921" w:rsidP="008D43BD">
      <w:pPr>
        <w:keepNext/>
        <w:keepLines/>
        <w:rPr>
          <w:szCs w:val="22"/>
        </w:rPr>
      </w:pPr>
    </w:p>
    <w:p w:rsidR="008D43BD" w:rsidP="008D43BD">
      <w:pPr>
        <w:ind w:left="357" w:hanging="357"/>
        <w:rPr>
          <w:szCs w:val="22"/>
        </w:rPr>
      </w:pPr>
      <w:r w:rsidRPr="00CA6DA7" w:rsidR="00A4080A">
        <w:rPr>
          <w:rFonts w:ascii="Symbol" w:hAnsi="Symbol"/>
          <w:szCs w:val="22"/>
          <w:lang w:val="es-ES"/>
        </w:rPr>
        <w:sym w:font="Symbol" w:char="F0B7"/>
      </w:r>
      <w:r w:rsidRPr="00CA6DA7" w:rsidR="00A4080A">
        <w:rPr>
          <w:szCs w:val="24"/>
        </w:rPr>
        <w:tab/>
      </w:r>
      <w:r w:rsidRPr="00CA6DA7" w:rsidR="00A4080A">
        <w:rPr>
          <w:szCs w:val="22"/>
        </w:rPr>
        <w:t xml:space="preserve">the most common serious ADRs (&gt; 0.5% of patients) were haemorrhage, pyrexia, </w:t>
      </w:r>
      <w:r w:rsidRPr="00CA6DA7" w:rsidR="005E0EA8">
        <w:rPr>
          <w:szCs w:val="22"/>
        </w:rPr>
        <w:t xml:space="preserve">thrombocytopenia, </w:t>
      </w:r>
      <w:r w:rsidRPr="00CA6DA7" w:rsidR="00A4080A">
        <w:rPr>
          <w:szCs w:val="22"/>
        </w:rPr>
        <w:t>dyspnoea, abdominal pain</w:t>
      </w:r>
      <w:r w:rsidRPr="00CA6DA7" w:rsidR="00D8464A">
        <w:rPr>
          <w:szCs w:val="22"/>
        </w:rPr>
        <w:t>,</w:t>
      </w:r>
      <w:r w:rsidRPr="00CA6DA7" w:rsidR="00A4080A">
        <w:rPr>
          <w:szCs w:val="22"/>
        </w:rPr>
        <w:t xml:space="preserve"> </w:t>
      </w:r>
      <w:r w:rsidRPr="00CA6DA7" w:rsidR="005E0EA8">
        <w:rPr>
          <w:szCs w:val="22"/>
        </w:rPr>
        <w:t>musculoskeletal pain</w:t>
      </w:r>
      <w:r w:rsidRPr="00CA6DA7" w:rsidR="0007167A">
        <w:rPr>
          <w:szCs w:val="22"/>
        </w:rPr>
        <w:t>, and vomiting</w:t>
      </w:r>
      <w:r w:rsidRPr="00CA6DA7" w:rsidR="00A4080A">
        <w:rPr>
          <w:szCs w:val="22"/>
        </w:rPr>
        <w:t>.</w:t>
      </w:r>
    </w:p>
    <w:p w:rsidR="008D43BD" w:rsidP="008D43BD">
      <w:pPr>
        <w:ind w:left="357" w:hanging="357"/>
        <w:rPr>
          <w:color w:val="000000"/>
          <w:szCs w:val="22"/>
        </w:rPr>
      </w:pPr>
      <w:r w:rsidRPr="002D59C9" w:rsidR="00A4080A">
        <w:rPr>
          <w:rFonts w:ascii="Symbol" w:hAnsi="Symbol"/>
          <w:szCs w:val="22"/>
          <w:lang w:val="es-ES"/>
        </w:rPr>
        <w:sym w:font="Symbol" w:char="F0B7"/>
      </w:r>
      <w:r w:rsidRPr="00FF5E1A" w:rsidR="00A4080A">
        <w:rPr>
          <w:szCs w:val="24"/>
        </w:rPr>
        <w:tab/>
      </w:r>
      <w:r w:rsidRPr="00A30921" w:rsidR="00A4080A">
        <w:rPr>
          <w:color w:val="000000"/>
          <w:szCs w:val="22"/>
        </w:rPr>
        <w:t xml:space="preserve">the most common adverse drug reactions (ADRs) (≥25%) with trastuzumab emtansine were </w:t>
      </w:r>
      <w:r w:rsidR="00A4080A">
        <w:rPr>
          <w:color w:val="000000"/>
          <w:szCs w:val="22"/>
        </w:rPr>
        <w:t xml:space="preserve">nausea, </w:t>
      </w:r>
      <w:r w:rsidRPr="00A30921" w:rsidR="00A4080A">
        <w:rPr>
          <w:color w:val="000000"/>
          <w:szCs w:val="22"/>
        </w:rPr>
        <w:t>fatigue</w:t>
      </w:r>
      <w:r w:rsidR="003538B2">
        <w:rPr>
          <w:color w:val="000000"/>
          <w:szCs w:val="22"/>
        </w:rPr>
        <w:t xml:space="preserve">, </w:t>
      </w:r>
      <w:r w:rsidR="00B70BB0">
        <w:rPr>
          <w:color w:val="000000"/>
          <w:szCs w:val="22"/>
        </w:rPr>
        <w:t>musculoskeletal pain, haemorrhage,</w:t>
      </w:r>
      <w:r w:rsidRPr="00713806" w:rsidR="00B70BB0">
        <w:rPr>
          <w:color w:val="000000"/>
          <w:szCs w:val="22"/>
        </w:rPr>
        <w:t xml:space="preserve"> </w:t>
      </w:r>
      <w:r w:rsidRPr="00A30921" w:rsidR="00B70BB0">
        <w:rPr>
          <w:color w:val="000000"/>
          <w:szCs w:val="22"/>
        </w:rPr>
        <w:t>headache</w:t>
      </w:r>
      <w:r w:rsidR="00B70BB0">
        <w:rPr>
          <w:color w:val="000000"/>
          <w:szCs w:val="22"/>
        </w:rPr>
        <w:t>, transaminases increased</w:t>
      </w:r>
      <w:r w:rsidR="007532B6">
        <w:rPr>
          <w:color w:val="000000"/>
          <w:szCs w:val="22"/>
        </w:rPr>
        <w:t>,</w:t>
      </w:r>
      <w:r w:rsidR="00B70BB0">
        <w:rPr>
          <w:color w:val="000000"/>
          <w:szCs w:val="22"/>
        </w:rPr>
        <w:t xml:space="preserve"> thrombocytopenia</w:t>
      </w:r>
      <w:r w:rsidR="004507A1">
        <w:rPr>
          <w:color w:val="000000"/>
          <w:szCs w:val="22"/>
        </w:rPr>
        <w:t xml:space="preserve">, and </w:t>
      </w:r>
      <w:r w:rsidRPr="003168AE" w:rsidR="004507A1">
        <w:rPr>
          <w:color w:val="000000"/>
          <w:szCs w:val="22"/>
        </w:rPr>
        <w:t>peripheral neuropathy</w:t>
      </w:r>
      <w:r w:rsidRPr="003168AE" w:rsidR="009C6486">
        <w:rPr>
          <w:color w:val="000000"/>
          <w:szCs w:val="22"/>
        </w:rPr>
        <w:t>.</w:t>
      </w:r>
      <w:r w:rsidRPr="003168AE" w:rsidR="00A4080A">
        <w:rPr>
          <w:color w:val="000000"/>
          <w:szCs w:val="22"/>
        </w:rPr>
        <w:t xml:space="preserve"> The</w:t>
      </w:r>
      <w:r w:rsidRPr="00A30921" w:rsidR="00A4080A">
        <w:rPr>
          <w:color w:val="000000"/>
          <w:szCs w:val="22"/>
        </w:rPr>
        <w:t xml:space="preserve"> majority of ADRs reported were of G</w:t>
      </w:r>
      <w:r w:rsidRPr="00A30921" w:rsidR="00A4080A">
        <w:rPr>
          <w:color w:val="000000"/>
          <w:szCs w:val="22"/>
        </w:rPr>
        <w:t>rade 1 or 2 severity.</w:t>
      </w:r>
    </w:p>
    <w:p w:rsidR="008D43BD" w:rsidRPr="00A30921"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A30921" w:rsidR="00A4080A">
        <w:rPr>
          <w:szCs w:val="22"/>
        </w:rPr>
        <w:t>the most common National Cancer Institute - Common Terminology Criteria for Adverse Events (NCI-CTCAE) Grade</w:t>
      </w:r>
      <w:r w:rsidR="00A4080A">
        <w:rPr>
          <w:szCs w:val="22"/>
        </w:rPr>
        <w:t xml:space="preserve"> ≥</w:t>
      </w:r>
      <w:r w:rsidRPr="00A30921" w:rsidR="00A4080A">
        <w:rPr>
          <w:szCs w:val="22"/>
        </w:rPr>
        <w:t> 3 ADRs (&gt; 2%) were thrombocytopenia, increased transaminases, anaemia, neutropenia</w:t>
      </w:r>
      <w:r w:rsidR="00A4080A">
        <w:rPr>
          <w:szCs w:val="22"/>
        </w:rPr>
        <w:t xml:space="preserve">, </w:t>
      </w:r>
      <w:r w:rsidRPr="00A30921" w:rsidR="00A4080A">
        <w:rPr>
          <w:szCs w:val="22"/>
        </w:rPr>
        <w:t>fatigue</w:t>
      </w:r>
      <w:r w:rsidR="00B70BB0">
        <w:rPr>
          <w:szCs w:val="22"/>
        </w:rPr>
        <w:t xml:space="preserve"> and</w:t>
      </w:r>
      <w:r w:rsidRPr="00A30921" w:rsidR="00A4080A">
        <w:rPr>
          <w:szCs w:val="22"/>
        </w:rPr>
        <w:t xml:space="preserve"> hypokalaemia.</w:t>
      </w:r>
    </w:p>
    <w:p w:rsidR="008D43BD" w:rsidRPr="00A30921" w:rsidP="008D43BD">
      <w:pPr>
        <w:keepNext/>
        <w:rPr>
          <w:szCs w:val="22"/>
          <w:u w:val="single"/>
        </w:rPr>
      </w:pPr>
    </w:p>
    <w:p w:rsidR="008D43BD" w:rsidRPr="00A30921" w:rsidP="008D43BD">
      <w:pPr>
        <w:keepNext/>
        <w:rPr>
          <w:szCs w:val="22"/>
          <w:u w:val="single"/>
        </w:rPr>
      </w:pPr>
      <w:r w:rsidRPr="00A30921" w:rsidR="00A4080A">
        <w:rPr>
          <w:szCs w:val="22"/>
          <w:u w:val="single"/>
        </w:rPr>
        <w:t xml:space="preserve">Tabulated </w:t>
      </w:r>
      <w:r w:rsidRPr="00A30921" w:rsidR="00A4080A">
        <w:rPr>
          <w:szCs w:val="22"/>
          <w:u w:val="single"/>
        </w:rPr>
        <w:t>list of adverse reactions</w:t>
      </w:r>
    </w:p>
    <w:p w:rsidR="008D43BD" w:rsidRPr="00A30921" w:rsidP="008D43BD">
      <w:pPr>
        <w:keepNext/>
        <w:rPr>
          <w:szCs w:val="22"/>
          <w:u w:val="single"/>
        </w:rPr>
      </w:pPr>
    </w:p>
    <w:p w:rsidR="008D43BD" w:rsidRPr="00A30921" w:rsidP="008D43BD">
      <w:pPr>
        <w:rPr>
          <w:szCs w:val="22"/>
        </w:rPr>
      </w:pPr>
      <w:r w:rsidRPr="00A30921" w:rsidR="00A4080A">
        <w:rPr>
          <w:szCs w:val="22"/>
        </w:rPr>
        <w:t>The ADRs in</w:t>
      </w:r>
      <w:r w:rsidR="00A4080A">
        <w:rPr>
          <w:szCs w:val="22"/>
        </w:rPr>
        <w:t xml:space="preserve"> </w:t>
      </w:r>
      <w:r w:rsidR="00B1301E">
        <w:rPr>
          <w:szCs w:val="22"/>
        </w:rPr>
        <w:t>2</w:t>
      </w:r>
      <w:r w:rsidR="00EA259F">
        <w:rPr>
          <w:szCs w:val="22"/>
        </w:rPr>
        <w:t>,</w:t>
      </w:r>
      <w:r w:rsidR="00B1301E">
        <w:rPr>
          <w:szCs w:val="22"/>
        </w:rPr>
        <w:t>611</w:t>
      </w:r>
      <w:r w:rsidRPr="00A30921" w:rsidR="00A4080A">
        <w:rPr>
          <w:szCs w:val="22"/>
        </w:rPr>
        <w:t> patients treated with trastuzumab emtansine are presented in Table </w:t>
      </w:r>
      <w:r w:rsidR="00A4080A">
        <w:rPr>
          <w:szCs w:val="22"/>
        </w:rPr>
        <w:t>3</w:t>
      </w:r>
      <w:r w:rsidRPr="00A30921" w:rsidR="00A4080A">
        <w:rPr>
          <w:szCs w:val="22"/>
        </w:rPr>
        <w:t>.  The ADRs are listed below by MedDRA system organ class (SOC) and categories of frequency. Frequency categories are defined as very common (≥ 1/10), common (≥ 1/100 to &lt; 1/10), uncommon (≥ 1/1,000 to &lt; 1/100), rare (≥ 1/10,000 to &lt; 1/1,000), very rare (&lt; 1/10,000) and not known (cannot be estimated from the available data). Within each frequency grouping and SOC, adverse reactions are presented</w:t>
      </w:r>
      <w:r w:rsidRPr="00A30921" w:rsidR="00A4080A">
        <w:rPr>
          <w:szCs w:val="22"/>
        </w:rPr>
        <w:t xml:space="preserve"> in order of decreasing seriousness.  ADRs were reported using NCI-CTCAE for assessment of toxicity.</w:t>
      </w:r>
    </w:p>
    <w:p w:rsidR="008D43BD" w:rsidRPr="00A30921" w:rsidP="008D43BD">
      <w:pPr>
        <w:rPr>
          <w:b/>
          <w:szCs w:val="22"/>
        </w:rPr>
      </w:pPr>
    </w:p>
    <w:p w:rsidR="008D43BD" w:rsidRPr="00A30921" w:rsidP="008D43BD">
      <w:pPr>
        <w:keepNext/>
        <w:keepLines/>
        <w:rPr>
          <w:b/>
          <w:bCs/>
          <w:szCs w:val="22"/>
        </w:rPr>
      </w:pPr>
      <w:r w:rsidRPr="00A30921" w:rsidR="00A4080A">
        <w:rPr>
          <w:b/>
          <w:szCs w:val="22"/>
        </w:rPr>
        <w:t>Table </w:t>
      </w:r>
      <w:r w:rsidR="00A4080A">
        <w:rPr>
          <w:b/>
          <w:szCs w:val="22"/>
        </w:rPr>
        <w:t>3</w:t>
      </w:r>
      <w:r w:rsidRPr="00A30921" w:rsidR="00A4080A">
        <w:rPr>
          <w:b/>
          <w:szCs w:val="22"/>
        </w:rPr>
        <w:tab/>
        <w:t xml:space="preserve">Tabulated list </w:t>
      </w:r>
      <w:r w:rsidRPr="00A30921" w:rsidR="00A4080A">
        <w:rPr>
          <w:b/>
          <w:bCs/>
          <w:szCs w:val="22"/>
        </w:rPr>
        <w:t xml:space="preserve">of ADRs in patients treated with trastuzumab emtansine </w:t>
      </w:r>
      <w:r w:rsidR="00A4080A">
        <w:rPr>
          <w:b/>
          <w:bCs/>
          <w:szCs w:val="22"/>
        </w:rPr>
        <w:t>in clinical trials</w:t>
      </w:r>
    </w:p>
    <w:p w:rsidR="008D43BD" w:rsidRPr="00A30921" w:rsidP="008D43BD">
      <w:pPr>
        <w:keepNext/>
        <w:keepLines/>
        <w:rPr>
          <w:szCs w:val="22"/>
        </w:rPr>
      </w:pP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tblPr>
      <w:tblGrid>
        <w:gridCol w:w="2719"/>
        <w:gridCol w:w="2098"/>
        <w:gridCol w:w="2098"/>
        <w:gridCol w:w="1912"/>
      </w:tblGrid>
      <w:tr w:rsidTr="008D43BD">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tblPrEx>
        <w:trPr>
          <w:trHeight w:hRule="exact" w:val="316"/>
          <w:tblHeader/>
          <w:jc w:val="center"/>
        </w:trPr>
        <w:tc>
          <w:tcPr>
            <w:tcW w:w="2719" w:type="dxa"/>
            <w:noWrap/>
            <w:vAlign w:val="center"/>
          </w:tcPr>
          <w:p w:rsidR="008D43BD" w:rsidRPr="00A30921" w:rsidP="008D43BD">
            <w:pPr>
              <w:pStyle w:val="Default"/>
              <w:keepNext/>
              <w:keepLines/>
              <w:ind w:left="-1" w:firstLine="1"/>
              <w:jc w:val="center"/>
              <w:rPr>
                <w:rFonts w:eastAsia="Times New Roman"/>
                <w:b/>
                <w:color w:val="auto"/>
                <w:sz w:val="22"/>
                <w:szCs w:val="22"/>
                <w:lang w:eastAsia="ja-JP"/>
              </w:rPr>
            </w:pPr>
            <w:r w:rsidRPr="00A30921" w:rsidR="00A4080A">
              <w:rPr>
                <w:rFonts w:eastAsia="Times New Roman"/>
                <w:b/>
                <w:color w:val="auto"/>
                <w:sz w:val="22"/>
                <w:szCs w:val="22"/>
                <w:lang w:eastAsia="ja-JP"/>
              </w:rPr>
              <w:t>System Organ Class</w:t>
            </w:r>
          </w:p>
        </w:tc>
        <w:tc>
          <w:tcPr>
            <w:tcW w:w="2098" w:type="dxa"/>
            <w:noWrap/>
            <w:vAlign w:val="center"/>
          </w:tcPr>
          <w:p w:rsidR="008D43BD" w:rsidRPr="00A30921" w:rsidP="008D43BD">
            <w:pPr>
              <w:pStyle w:val="Default"/>
              <w:keepNext/>
              <w:keepLines/>
              <w:jc w:val="center"/>
              <w:rPr>
                <w:rFonts w:eastAsia="Times New Roman"/>
                <w:b/>
                <w:color w:val="auto"/>
                <w:sz w:val="22"/>
                <w:szCs w:val="22"/>
                <w:lang w:eastAsia="ja-JP"/>
              </w:rPr>
            </w:pPr>
            <w:r w:rsidRPr="00A30921" w:rsidR="00A4080A">
              <w:rPr>
                <w:rFonts w:eastAsia="Times New Roman"/>
                <w:b/>
                <w:color w:val="auto"/>
                <w:sz w:val="22"/>
                <w:szCs w:val="22"/>
                <w:lang w:eastAsia="ja-JP"/>
              </w:rPr>
              <w:t>Very Common</w:t>
            </w:r>
          </w:p>
        </w:tc>
        <w:tc>
          <w:tcPr>
            <w:tcW w:w="2098" w:type="dxa"/>
            <w:noWrap/>
            <w:vAlign w:val="center"/>
          </w:tcPr>
          <w:p w:rsidR="008D43BD" w:rsidRPr="00A30921" w:rsidP="008D43BD">
            <w:pPr>
              <w:pStyle w:val="Default"/>
              <w:keepNext/>
              <w:keepLines/>
              <w:jc w:val="center"/>
              <w:rPr>
                <w:rFonts w:eastAsia="Times New Roman"/>
                <w:b/>
                <w:color w:val="auto"/>
                <w:sz w:val="22"/>
                <w:szCs w:val="22"/>
                <w:lang w:eastAsia="ja-JP"/>
              </w:rPr>
            </w:pPr>
            <w:r w:rsidRPr="00A30921" w:rsidR="00A4080A">
              <w:rPr>
                <w:rFonts w:eastAsia="Times New Roman"/>
                <w:b/>
                <w:color w:val="auto"/>
                <w:sz w:val="22"/>
                <w:szCs w:val="22"/>
                <w:lang w:eastAsia="ja-JP"/>
              </w:rPr>
              <w:t>Common</w:t>
            </w:r>
          </w:p>
        </w:tc>
        <w:tc>
          <w:tcPr>
            <w:tcW w:w="1912" w:type="dxa"/>
            <w:noWrap/>
            <w:vAlign w:val="center"/>
          </w:tcPr>
          <w:p w:rsidR="008D43BD" w:rsidRPr="00A30921" w:rsidP="008D43BD">
            <w:pPr>
              <w:pStyle w:val="Default"/>
              <w:keepNext/>
              <w:keepLines/>
              <w:jc w:val="center"/>
              <w:rPr>
                <w:rFonts w:eastAsia="Times New Roman"/>
                <w:b/>
                <w:color w:val="auto"/>
                <w:sz w:val="22"/>
                <w:szCs w:val="22"/>
                <w:lang w:eastAsia="ja-JP"/>
              </w:rPr>
            </w:pPr>
            <w:r w:rsidRPr="00A30921" w:rsidR="00A4080A">
              <w:rPr>
                <w:rFonts w:eastAsia="Times New Roman"/>
                <w:b/>
                <w:color w:val="auto"/>
                <w:sz w:val="22"/>
                <w:szCs w:val="22"/>
                <w:lang w:eastAsia="ja-JP"/>
              </w:rPr>
              <w:t>Uncommon</w:t>
            </w:r>
          </w:p>
        </w:tc>
      </w:tr>
      <w:tr w:rsidTr="008D43BD">
        <w:tblPrEx>
          <w:tblW w:w="0" w:type="auto"/>
          <w:jc w:val="center"/>
          <w:tblLayout w:type="fixed"/>
          <w:tblCellMar>
            <w:left w:w="85" w:type="dxa"/>
            <w:right w:w="85" w:type="dxa"/>
          </w:tblCellMar>
          <w:tblLook w:val="01E0"/>
        </w:tblPrEx>
        <w:trPr>
          <w:trHeight w:val="521"/>
          <w:jc w:val="center"/>
        </w:trPr>
        <w:tc>
          <w:tcPr>
            <w:tcW w:w="2719" w:type="dxa"/>
            <w:noWrap/>
          </w:tcPr>
          <w:p w:rsidR="008D43BD" w:rsidRPr="00A30921" w:rsidP="008D43BD">
            <w:pPr>
              <w:keepNext/>
              <w:keepLines/>
              <w:rPr>
                <w:szCs w:val="22"/>
              </w:rPr>
            </w:pPr>
            <w:r w:rsidRPr="00A30921" w:rsidR="00A4080A">
              <w:rPr>
                <w:szCs w:val="22"/>
              </w:rPr>
              <w:t>Infections and infestations</w:t>
            </w:r>
          </w:p>
        </w:tc>
        <w:tc>
          <w:tcPr>
            <w:tcW w:w="2098" w:type="dxa"/>
            <w:noWrap/>
          </w:tcPr>
          <w:p w:rsidR="008D43BD" w:rsidRPr="00A30921" w:rsidP="008D43BD">
            <w:pPr>
              <w:keepNext/>
              <w:keepLines/>
              <w:rPr>
                <w:szCs w:val="22"/>
              </w:rPr>
            </w:pPr>
            <w:r w:rsidRPr="00A30921" w:rsidR="00A4080A">
              <w:rPr>
                <w:szCs w:val="22"/>
              </w:rPr>
              <w:t>Urinary tract infection</w:t>
            </w:r>
          </w:p>
        </w:tc>
        <w:tc>
          <w:tcPr>
            <w:tcW w:w="2098" w:type="dxa"/>
            <w:noWrap/>
          </w:tcPr>
          <w:p w:rsidR="008D43BD" w:rsidRPr="00A30921" w:rsidP="008D43BD">
            <w:pPr>
              <w:keepNext/>
              <w:keepLines/>
              <w:rPr>
                <w:szCs w:val="22"/>
              </w:rPr>
            </w:pPr>
          </w:p>
        </w:tc>
        <w:tc>
          <w:tcPr>
            <w:tcW w:w="1912" w:type="dxa"/>
            <w:noWrap/>
          </w:tcPr>
          <w:p w:rsidR="008D43BD" w:rsidRPr="00A30921" w:rsidP="008D43BD">
            <w:pPr>
              <w:keepNext/>
              <w:keepLines/>
              <w:rPr>
                <w:szCs w:val="22"/>
              </w:rPr>
            </w:pPr>
          </w:p>
        </w:tc>
      </w:tr>
      <w:tr w:rsidTr="008D43BD">
        <w:tblPrEx>
          <w:tblW w:w="0" w:type="auto"/>
          <w:jc w:val="center"/>
          <w:tblLayout w:type="fixed"/>
          <w:tblCellMar>
            <w:left w:w="85" w:type="dxa"/>
            <w:right w:w="85" w:type="dxa"/>
          </w:tblCellMar>
          <w:tblLook w:val="01E0"/>
        </w:tblPrEx>
        <w:trPr>
          <w:trHeight w:val="521"/>
          <w:jc w:val="center"/>
        </w:trPr>
        <w:tc>
          <w:tcPr>
            <w:tcW w:w="2719" w:type="dxa"/>
            <w:noWrap/>
          </w:tcPr>
          <w:p w:rsidR="008D43BD" w:rsidRPr="00A30921" w:rsidP="008D43BD">
            <w:pPr>
              <w:keepNext/>
              <w:keepLines/>
              <w:rPr>
                <w:szCs w:val="22"/>
              </w:rPr>
            </w:pPr>
            <w:r w:rsidRPr="00A30921" w:rsidR="00A4080A">
              <w:rPr>
                <w:szCs w:val="22"/>
              </w:rPr>
              <w:t>Blood and lymphatic system disorders</w:t>
            </w:r>
          </w:p>
        </w:tc>
        <w:tc>
          <w:tcPr>
            <w:tcW w:w="2098" w:type="dxa"/>
            <w:noWrap/>
          </w:tcPr>
          <w:p w:rsidR="008D43BD" w:rsidRPr="00A30921" w:rsidP="008D43BD">
            <w:pPr>
              <w:keepNext/>
              <w:keepLines/>
              <w:rPr>
                <w:szCs w:val="22"/>
              </w:rPr>
            </w:pPr>
            <w:r w:rsidRPr="00A30921" w:rsidR="00A4080A">
              <w:rPr>
                <w:szCs w:val="22"/>
              </w:rPr>
              <w:t>Thrombocytopenia, Anaemia</w:t>
            </w:r>
          </w:p>
        </w:tc>
        <w:tc>
          <w:tcPr>
            <w:tcW w:w="2098" w:type="dxa"/>
            <w:noWrap/>
          </w:tcPr>
          <w:p w:rsidR="008D43BD" w:rsidRPr="00A30921" w:rsidP="008D43BD">
            <w:pPr>
              <w:keepNext/>
              <w:keepLines/>
              <w:rPr>
                <w:szCs w:val="22"/>
              </w:rPr>
            </w:pPr>
            <w:r w:rsidRPr="00A30921" w:rsidR="00A4080A">
              <w:rPr>
                <w:szCs w:val="22"/>
              </w:rPr>
              <w:t>Neutropenia, Leucopoenia</w:t>
            </w:r>
          </w:p>
        </w:tc>
        <w:tc>
          <w:tcPr>
            <w:tcW w:w="1912" w:type="dxa"/>
            <w:noWrap/>
          </w:tcPr>
          <w:p w:rsidR="008D43BD" w:rsidRPr="00A30921" w:rsidP="008D43BD">
            <w:pPr>
              <w:keepNext/>
              <w:keepLines/>
              <w:rPr>
                <w:szCs w:val="22"/>
              </w:rPr>
            </w:pPr>
          </w:p>
        </w:tc>
      </w:tr>
      <w:tr w:rsidTr="008D43BD">
        <w:tblPrEx>
          <w:tblW w:w="0" w:type="auto"/>
          <w:jc w:val="center"/>
          <w:tblLayout w:type="fixed"/>
          <w:tblCellMar>
            <w:left w:w="85" w:type="dxa"/>
            <w:right w:w="85" w:type="dxa"/>
          </w:tblCellMar>
          <w:tblLook w:val="01E0"/>
        </w:tblPrEx>
        <w:trPr>
          <w:trHeight w:val="296"/>
          <w:jc w:val="center"/>
        </w:trPr>
        <w:tc>
          <w:tcPr>
            <w:tcW w:w="2719" w:type="dxa"/>
            <w:noWrap/>
          </w:tcPr>
          <w:p w:rsidR="008D43BD" w:rsidRPr="00A30921" w:rsidP="008D43BD">
            <w:pPr>
              <w:keepNext/>
              <w:keepLines/>
              <w:rPr>
                <w:szCs w:val="22"/>
              </w:rPr>
            </w:pPr>
            <w:r w:rsidRPr="00A30921" w:rsidR="00A4080A">
              <w:rPr>
                <w:szCs w:val="22"/>
              </w:rPr>
              <w:t xml:space="preserve">Immune system disorders </w:t>
            </w:r>
          </w:p>
        </w:tc>
        <w:tc>
          <w:tcPr>
            <w:tcW w:w="2098" w:type="dxa"/>
            <w:noWrap/>
          </w:tcPr>
          <w:p w:rsidR="008D43BD" w:rsidRPr="00A30921" w:rsidP="008D43BD">
            <w:pPr>
              <w:keepNext/>
              <w:keepLines/>
              <w:rPr>
                <w:szCs w:val="22"/>
              </w:rPr>
            </w:pPr>
          </w:p>
        </w:tc>
        <w:tc>
          <w:tcPr>
            <w:tcW w:w="2098" w:type="dxa"/>
            <w:noWrap/>
          </w:tcPr>
          <w:p w:rsidR="008D43BD" w:rsidRPr="00A30921" w:rsidP="008D43BD">
            <w:pPr>
              <w:keepNext/>
              <w:keepLines/>
              <w:ind w:left="10" w:hanging="10"/>
              <w:rPr>
                <w:szCs w:val="22"/>
              </w:rPr>
            </w:pPr>
            <w:r w:rsidRPr="00A30921" w:rsidR="00A4080A">
              <w:rPr>
                <w:szCs w:val="22"/>
              </w:rPr>
              <w:t>Drug hypersensitivity</w:t>
            </w:r>
          </w:p>
        </w:tc>
        <w:tc>
          <w:tcPr>
            <w:tcW w:w="1912" w:type="dxa"/>
            <w:noWrap/>
          </w:tcPr>
          <w:p w:rsidR="008D43BD" w:rsidRPr="00A30921" w:rsidP="008D43BD">
            <w:pPr>
              <w:keepNext/>
              <w:keepLines/>
              <w:rPr>
                <w:szCs w:val="22"/>
              </w:rPr>
            </w:pPr>
          </w:p>
        </w:tc>
      </w:tr>
      <w:tr w:rsidTr="008D43BD">
        <w:tblPrEx>
          <w:tblW w:w="0" w:type="auto"/>
          <w:jc w:val="center"/>
          <w:tblLayout w:type="fixed"/>
          <w:tblCellMar>
            <w:left w:w="85" w:type="dxa"/>
            <w:right w:w="85" w:type="dxa"/>
          </w:tblCellMar>
          <w:tblLook w:val="01E0"/>
        </w:tblPrEx>
        <w:trPr>
          <w:trHeight w:val="341"/>
          <w:jc w:val="center"/>
        </w:trPr>
        <w:tc>
          <w:tcPr>
            <w:tcW w:w="2719" w:type="dxa"/>
            <w:noWrap/>
          </w:tcPr>
          <w:p w:rsidR="008D43BD" w:rsidRPr="00A30921" w:rsidP="008D43BD">
            <w:pPr>
              <w:keepNext/>
              <w:keepLines/>
              <w:rPr>
                <w:szCs w:val="22"/>
              </w:rPr>
            </w:pPr>
            <w:r w:rsidRPr="00A30921" w:rsidR="00A4080A">
              <w:rPr>
                <w:szCs w:val="22"/>
              </w:rPr>
              <w:t xml:space="preserve">Metabolism and nutrition disorders </w:t>
            </w:r>
          </w:p>
        </w:tc>
        <w:tc>
          <w:tcPr>
            <w:tcW w:w="2098" w:type="dxa"/>
            <w:noWrap/>
          </w:tcPr>
          <w:p w:rsidR="008D43BD" w:rsidRPr="00A30921" w:rsidP="008D43BD">
            <w:pPr>
              <w:keepNext/>
              <w:keepLines/>
              <w:rPr>
                <w:szCs w:val="22"/>
              </w:rPr>
            </w:pPr>
          </w:p>
        </w:tc>
        <w:tc>
          <w:tcPr>
            <w:tcW w:w="2098" w:type="dxa"/>
            <w:noWrap/>
          </w:tcPr>
          <w:p w:rsidR="008D43BD" w:rsidRPr="00A30921" w:rsidP="008D43BD">
            <w:pPr>
              <w:keepNext/>
              <w:keepLines/>
              <w:ind w:left="10" w:hanging="10"/>
              <w:rPr>
                <w:szCs w:val="22"/>
              </w:rPr>
            </w:pPr>
            <w:r w:rsidRPr="00A30921" w:rsidR="00D66879">
              <w:rPr>
                <w:szCs w:val="22"/>
              </w:rPr>
              <w:t>Hypokalaemia</w:t>
            </w:r>
          </w:p>
        </w:tc>
        <w:tc>
          <w:tcPr>
            <w:tcW w:w="1912" w:type="dxa"/>
            <w:noWrap/>
          </w:tcPr>
          <w:p w:rsidR="008D43BD" w:rsidRPr="00A30921" w:rsidP="008D43BD">
            <w:pPr>
              <w:keepNext/>
              <w:keepLines/>
              <w:rPr>
                <w:szCs w:val="22"/>
              </w:rPr>
            </w:pPr>
          </w:p>
        </w:tc>
      </w:tr>
      <w:tr w:rsidTr="008D43BD">
        <w:tblPrEx>
          <w:tblW w:w="0" w:type="auto"/>
          <w:jc w:val="center"/>
          <w:tblLayout w:type="fixed"/>
          <w:tblCellMar>
            <w:left w:w="85" w:type="dxa"/>
            <w:right w:w="85" w:type="dxa"/>
          </w:tblCellMar>
          <w:tblLook w:val="01E0"/>
        </w:tblPrEx>
        <w:trPr>
          <w:trHeight w:val="134"/>
          <w:jc w:val="center"/>
        </w:trPr>
        <w:tc>
          <w:tcPr>
            <w:tcW w:w="2719" w:type="dxa"/>
            <w:noWrap/>
          </w:tcPr>
          <w:p w:rsidR="008D43BD" w:rsidRPr="00A30921" w:rsidP="008D43BD">
            <w:pPr>
              <w:keepNext/>
              <w:keepLines/>
              <w:rPr>
                <w:szCs w:val="22"/>
              </w:rPr>
            </w:pPr>
            <w:r w:rsidRPr="00A30921" w:rsidR="00A4080A">
              <w:rPr>
                <w:szCs w:val="22"/>
              </w:rPr>
              <w:t>Psychiatric disorders</w:t>
            </w:r>
          </w:p>
        </w:tc>
        <w:tc>
          <w:tcPr>
            <w:tcW w:w="2098" w:type="dxa"/>
            <w:noWrap/>
          </w:tcPr>
          <w:p w:rsidR="008D43BD" w:rsidRPr="00A30921" w:rsidP="008D43BD">
            <w:pPr>
              <w:keepNext/>
              <w:keepLines/>
              <w:rPr>
                <w:szCs w:val="22"/>
              </w:rPr>
            </w:pPr>
            <w:r w:rsidRPr="00A30921" w:rsidR="00A4080A">
              <w:rPr>
                <w:szCs w:val="22"/>
              </w:rPr>
              <w:t>Insomnia</w:t>
            </w:r>
          </w:p>
        </w:tc>
        <w:tc>
          <w:tcPr>
            <w:tcW w:w="2098" w:type="dxa"/>
            <w:noWrap/>
          </w:tcPr>
          <w:p w:rsidR="008D43BD" w:rsidRPr="00A30921" w:rsidP="008D43BD">
            <w:pPr>
              <w:keepNext/>
              <w:keepLines/>
              <w:ind w:left="10" w:hanging="10"/>
              <w:rPr>
                <w:szCs w:val="22"/>
              </w:rPr>
            </w:pPr>
          </w:p>
        </w:tc>
        <w:tc>
          <w:tcPr>
            <w:tcW w:w="1912" w:type="dxa"/>
            <w:noWrap/>
          </w:tcPr>
          <w:p w:rsidR="008D43BD" w:rsidRPr="00A30921" w:rsidP="008D43BD">
            <w:pPr>
              <w:keepNext/>
              <w:keepLines/>
              <w:rPr>
                <w:szCs w:val="22"/>
              </w:rPr>
            </w:pPr>
          </w:p>
        </w:tc>
      </w:tr>
      <w:tr w:rsidTr="008D43BD">
        <w:tblPrEx>
          <w:tblW w:w="0" w:type="auto"/>
          <w:jc w:val="center"/>
          <w:tblLayout w:type="fixed"/>
          <w:tblCellMar>
            <w:left w:w="85" w:type="dxa"/>
            <w:right w:w="85" w:type="dxa"/>
          </w:tblCellMar>
          <w:tblLook w:val="01E0"/>
        </w:tblPrEx>
        <w:trPr>
          <w:trHeight w:val="494"/>
          <w:jc w:val="center"/>
        </w:trPr>
        <w:tc>
          <w:tcPr>
            <w:tcW w:w="2719" w:type="dxa"/>
            <w:noWrap/>
          </w:tcPr>
          <w:p w:rsidR="008D43BD" w:rsidRPr="00A30921" w:rsidP="008D43BD">
            <w:pPr>
              <w:keepNext/>
              <w:keepLines/>
              <w:rPr>
                <w:szCs w:val="22"/>
              </w:rPr>
            </w:pPr>
            <w:r w:rsidRPr="00A30921" w:rsidR="00A4080A">
              <w:rPr>
                <w:szCs w:val="22"/>
              </w:rPr>
              <w:t>Nervous system disorders</w:t>
            </w:r>
          </w:p>
        </w:tc>
        <w:tc>
          <w:tcPr>
            <w:tcW w:w="2098" w:type="dxa"/>
            <w:noWrap/>
          </w:tcPr>
          <w:p w:rsidR="008D43BD" w:rsidRPr="00A30921" w:rsidP="008D43BD">
            <w:pPr>
              <w:keepNext/>
              <w:keepLines/>
              <w:rPr>
                <w:szCs w:val="22"/>
              </w:rPr>
            </w:pPr>
            <w:r w:rsidRPr="00A30921" w:rsidR="00A4080A">
              <w:rPr>
                <w:szCs w:val="22"/>
              </w:rPr>
              <w:t xml:space="preserve">Neuropathy peripheral, Headache </w:t>
            </w:r>
          </w:p>
        </w:tc>
        <w:tc>
          <w:tcPr>
            <w:tcW w:w="2098" w:type="dxa"/>
            <w:noWrap/>
          </w:tcPr>
          <w:p w:rsidR="008D43BD" w:rsidRPr="00A30921" w:rsidP="008D43BD">
            <w:pPr>
              <w:keepNext/>
              <w:keepLines/>
              <w:ind w:left="10" w:hanging="10"/>
              <w:rPr>
                <w:szCs w:val="22"/>
              </w:rPr>
            </w:pPr>
            <w:r w:rsidR="00A4080A">
              <w:rPr>
                <w:szCs w:val="22"/>
              </w:rPr>
              <w:t xml:space="preserve">Dizziness, </w:t>
            </w:r>
            <w:r w:rsidRPr="00A30921" w:rsidR="00A4080A">
              <w:rPr>
                <w:szCs w:val="22"/>
              </w:rPr>
              <w:t>Dysgeusia, Memory impairment</w:t>
            </w:r>
          </w:p>
        </w:tc>
        <w:tc>
          <w:tcPr>
            <w:tcW w:w="1912" w:type="dxa"/>
            <w:noWrap/>
          </w:tcPr>
          <w:p w:rsidR="008D43BD" w:rsidRPr="00A30921" w:rsidP="008D43BD">
            <w:pPr>
              <w:keepNext/>
              <w:keepLines/>
              <w:rPr>
                <w:szCs w:val="22"/>
              </w:rPr>
            </w:pPr>
          </w:p>
        </w:tc>
      </w:tr>
      <w:tr w:rsidTr="008D43BD">
        <w:tblPrEx>
          <w:tblW w:w="0" w:type="auto"/>
          <w:jc w:val="center"/>
          <w:tblLayout w:type="fixed"/>
          <w:tblCellMar>
            <w:left w:w="85" w:type="dxa"/>
            <w:right w:w="85" w:type="dxa"/>
          </w:tblCellMar>
          <w:tblLook w:val="01E0"/>
        </w:tblPrEx>
        <w:trPr>
          <w:trHeight w:val="719"/>
          <w:jc w:val="center"/>
        </w:trPr>
        <w:tc>
          <w:tcPr>
            <w:tcW w:w="2719" w:type="dxa"/>
            <w:noWrap/>
          </w:tcPr>
          <w:p w:rsidR="008D43BD" w:rsidRPr="00A30921" w:rsidP="008D43BD">
            <w:pPr>
              <w:keepNext/>
              <w:keepLines/>
              <w:rPr>
                <w:szCs w:val="22"/>
              </w:rPr>
            </w:pPr>
            <w:r w:rsidRPr="00A30921" w:rsidR="00A4080A">
              <w:rPr>
                <w:szCs w:val="22"/>
              </w:rPr>
              <w:t>Eye disorders</w:t>
            </w:r>
          </w:p>
        </w:tc>
        <w:tc>
          <w:tcPr>
            <w:tcW w:w="2098" w:type="dxa"/>
            <w:noWrap/>
          </w:tcPr>
          <w:p w:rsidR="008D43BD" w:rsidRPr="00A30921" w:rsidP="008D43BD">
            <w:pPr>
              <w:keepNext/>
              <w:keepLines/>
              <w:rPr>
                <w:szCs w:val="22"/>
              </w:rPr>
            </w:pPr>
          </w:p>
        </w:tc>
        <w:tc>
          <w:tcPr>
            <w:tcW w:w="2098" w:type="dxa"/>
            <w:noWrap/>
          </w:tcPr>
          <w:p w:rsidR="008D43BD" w:rsidRPr="00A30921" w:rsidP="008D43BD">
            <w:pPr>
              <w:keepNext/>
              <w:keepLines/>
              <w:ind w:left="10" w:hanging="10"/>
              <w:rPr>
                <w:szCs w:val="22"/>
              </w:rPr>
            </w:pPr>
            <w:r w:rsidRPr="00A30921" w:rsidR="00A4080A">
              <w:rPr>
                <w:szCs w:val="22"/>
              </w:rPr>
              <w:t>Dry eye, Conjunctivitis, Vision blurred, Lacrimation increased</w:t>
            </w:r>
          </w:p>
        </w:tc>
        <w:tc>
          <w:tcPr>
            <w:tcW w:w="1912" w:type="dxa"/>
            <w:noWrap/>
          </w:tcPr>
          <w:p w:rsidR="008D43BD" w:rsidRPr="00A30921" w:rsidP="008D43BD">
            <w:pPr>
              <w:keepNext/>
              <w:keepLines/>
              <w:rPr>
                <w:szCs w:val="22"/>
              </w:rPr>
            </w:pPr>
          </w:p>
        </w:tc>
      </w:tr>
      <w:tr w:rsidTr="008D43BD">
        <w:tblPrEx>
          <w:tblW w:w="0" w:type="auto"/>
          <w:jc w:val="center"/>
          <w:tblLayout w:type="fixed"/>
          <w:tblCellMar>
            <w:left w:w="85" w:type="dxa"/>
            <w:right w:w="85" w:type="dxa"/>
          </w:tblCellMar>
          <w:tblLook w:val="01E0"/>
        </w:tblPrEx>
        <w:trPr>
          <w:trHeight w:val="161"/>
          <w:jc w:val="center"/>
        </w:trPr>
        <w:tc>
          <w:tcPr>
            <w:tcW w:w="2719" w:type="dxa"/>
            <w:noWrap/>
          </w:tcPr>
          <w:p w:rsidR="008D43BD" w:rsidRPr="00A30921" w:rsidP="008D43BD">
            <w:pPr>
              <w:keepNext/>
              <w:keepLines/>
              <w:rPr>
                <w:szCs w:val="22"/>
              </w:rPr>
            </w:pPr>
            <w:r w:rsidRPr="00A30921" w:rsidR="00A4080A">
              <w:rPr>
                <w:szCs w:val="22"/>
              </w:rPr>
              <w:t>Cardiac disorders</w:t>
            </w:r>
          </w:p>
        </w:tc>
        <w:tc>
          <w:tcPr>
            <w:tcW w:w="2098" w:type="dxa"/>
            <w:noWrap/>
          </w:tcPr>
          <w:p w:rsidR="008D43BD" w:rsidRPr="00A30921" w:rsidP="008D43BD">
            <w:pPr>
              <w:keepNext/>
              <w:keepLines/>
              <w:rPr>
                <w:szCs w:val="22"/>
              </w:rPr>
            </w:pPr>
          </w:p>
        </w:tc>
        <w:tc>
          <w:tcPr>
            <w:tcW w:w="2098" w:type="dxa"/>
            <w:noWrap/>
          </w:tcPr>
          <w:p w:rsidR="008D43BD" w:rsidRPr="00A30921" w:rsidP="008D43BD">
            <w:pPr>
              <w:keepNext/>
              <w:keepLines/>
              <w:ind w:left="10" w:hanging="10"/>
              <w:rPr>
                <w:szCs w:val="22"/>
              </w:rPr>
            </w:pPr>
            <w:r w:rsidRPr="00A30921" w:rsidR="00A4080A">
              <w:rPr>
                <w:szCs w:val="22"/>
              </w:rPr>
              <w:t>Left ventricular dysfunction</w:t>
            </w:r>
          </w:p>
        </w:tc>
        <w:tc>
          <w:tcPr>
            <w:tcW w:w="1912" w:type="dxa"/>
            <w:noWrap/>
          </w:tcPr>
          <w:p w:rsidR="008D43BD" w:rsidRPr="00A30921" w:rsidP="008D43BD">
            <w:pPr>
              <w:keepNext/>
              <w:keepLines/>
              <w:ind w:left="10" w:hanging="10"/>
              <w:rPr>
                <w:szCs w:val="22"/>
              </w:rPr>
            </w:pPr>
          </w:p>
        </w:tc>
      </w:tr>
      <w:tr w:rsidTr="008D43BD">
        <w:tblPrEx>
          <w:tblW w:w="0" w:type="auto"/>
          <w:jc w:val="center"/>
          <w:tblLayout w:type="fixed"/>
          <w:tblCellMar>
            <w:left w:w="85" w:type="dxa"/>
            <w:right w:w="85" w:type="dxa"/>
          </w:tblCellMar>
          <w:tblLook w:val="01E0"/>
        </w:tblPrEx>
        <w:trPr>
          <w:trHeight w:val="70"/>
          <w:jc w:val="center"/>
        </w:trPr>
        <w:tc>
          <w:tcPr>
            <w:tcW w:w="2719" w:type="dxa"/>
            <w:noWrap/>
          </w:tcPr>
          <w:p w:rsidR="008D43BD" w:rsidRPr="00A30921" w:rsidP="008D43BD">
            <w:pPr>
              <w:pStyle w:val="Default"/>
              <w:keepNext/>
              <w:keepLines/>
              <w:rPr>
                <w:color w:val="auto"/>
                <w:sz w:val="22"/>
                <w:szCs w:val="22"/>
              </w:rPr>
            </w:pPr>
            <w:r w:rsidRPr="00A30921" w:rsidR="00A4080A">
              <w:rPr>
                <w:color w:val="auto"/>
                <w:sz w:val="22"/>
                <w:szCs w:val="22"/>
              </w:rPr>
              <w:t>Vascular disorders</w:t>
            </w:r>
          </w:p>
        </w:tc>
        <w:tc>
          <w:tcPr>
            <w:tcW w:w="2098" w:type="dxa"/>
            <w:noWrap/>
          </w:tcPr>
          <w:p w:rsidR="008D43BD" w:rsidRPr="00A30921" w:rsidP="008D43BD">
            <w:pPr>
              <w:pStyle w:val="Default"/>
              <w:keepNext/>
              <w:keepLines/>
              <w:rPr>
                <w:color w:val="auto"/>
                <w:sz w:val="22"/>
                <w:szCs w:val="22"/>
              </w:rPr>
            </w:pPr>
            <w:r w:rsidRPr="00A30921" w:rsidR="00A4080A">
              <w:rPr>
                <w:color w:val="auto"/>
                <w:sz w:val="22"/>
                <w:szCs w:val="22"/>
              </w:rPr>
              <w:t>Haemorrhage</w:t>
            </w:r>
          </w:p>
        </w:tc>
        <w:tc>
          <w:tcPr>
            <w:tcW w:w="2098" w:type="dxa"/>
            <w:noWrap/>
          </w:tcPr>
          <w:p w:rsidR="008D43BD" w:rsidRPr="00A30921" w:rsidP="008D43BD">
            <w:pPr>
              <w:pStyle w:val="Default"/>
              <w:keepNext/>
              <w:keepLines/>
              <w:rPr>
                <w:color w:val="auto"/>
                <w:sz w:val="22"/>
                <w:szCs w:val="22"/>
              </w:rPr>
            </w:pPr>
            <w:r w:rsidRPr="00A30921" w:rsidR="00A4080A">
              <w:rPr>
                <w:color w:val="auto"/>
                <w:sz w:val="22"/>
                <w:szCs w:val="22"/>
              </w:rPr>
              <w:t>Hypertension</w:t>
            </w:r>
          </w:p>
        </w:tc>
        <w:tc>
          <w:tcPr>
            <w:tcW w:w="1912" w:type="dxa"/>
            <w:noWrap/>
          </w:tcPr>
          <w:p w:rsidR="008D43BD" w:rsidRPr="00A30921" w:rsidP="008D43BD">
            <w:pPr>
              <w:keepNext/>
              <w:keepLines/>
              <w:ind w:left="10" w:hanging="10"/>
              <w:rPr>
                <w:szCs w:val="22"/>
              </w:rPr>
            </w:pPr>
          </w:p>
        </w:tc>
      </w:tr>
      <w:tr w:rsidTr="008D43BD">
        <w:tblPrEx>
          <w:tblW w:w="0" w:type="auto"/>
          <w:jc w:val="center"/>
          <w:tblLayout w:type="fixed"/>
          <w:tblCellMar>
            <w:left w:w="85" w:type="dxa"/>
            <w:right w:w="85" w:type="dxa"/>
          </w:tblCellMar>
          <w:tblLook w:val="01E0"/>
        </w:tblPrEx>
        <w:trPr>
          <w:trHeight w:val="261"/>
          <w:jc w:val="center"/>
        </w:trPr>
        <w:tc>
          <w:tcPr>
            <w:tcW w:w="2719" w:type="dxa"/>
            <w:noWrap/>
          </w:tcPr>
          <w:p w:rsidR="008D43BD" w:rsidRPr="00A30921" w:rsidP="008D43BD">
            <w:pPr>
              <w:pStyle w:val="Default"/>
              <w:keepNext/>
              <w:keepLines/>
              <w:rPr>
                <w:color w:val="auto"/>
                <w:sz w:val="22"/>
                <w:szCs w:val="22"/>
              </w:rPr>
            </w:pPr>
            <w:r w:rsidRPr="00A30921" w:rsidR="00A4080A">
              <w:rPr>
                <w:color w:val="auto"/>
                <w:sz w:val="22"/>
                <w:szCs w:val="22"/>
              </w:rPr>
              <w:t>Respiratory, thoracic and mediastinal disorders</w:t>
            </w:r>
          </w:p>
        </w:tc>
        <w:tc>
          <w:tcPr>
            <w:tcW w:w="2098" w:type="dxa"/>
            <w:noWrap/>
          </w:tcPr>
          <w:p w:rsidR="008D43BD" w:rsidRPr="00A30921" w:rsidP="008D43BD">
            <w:pPr>
              <w:pStyle w:val="Default"/>
              <w:keepNext/>
              <w:keepLines/>
              <w:rPr>
                <w:color w:val="auto"/>
                <w:sz w:val="22"/>
                <w:szCs w:val="22"/>
              </w:rPr>
            </w:pPr>
            <w:r w:rsidRPr="00A30921" w:rsidR="00A4080A">
              <w:rPr>
                <w:color w:val="auto"/>
                <w:sz w:val="22"/>
                <w:szCs w:val="22"/>
              </w:rPr>
              <w:t>Epistaxis, Cough, Dyspnoea</w:t>
            </w:r>
          </w:p>
        </w:tc>
        <w:tc>
          <w:tcPr>
            <w:tcW w:w="2098" w:type="dxa"/>
            <w:noWrap/>
          </w:tcPr>
          <w:p w:rsidR="008D43BD" w:rsidRPr="00A30921" w:rsidP="009D68DB">
            <w:pPr>
              <w:keepNext/>
              <w:keepLines/>
              <w:ind w:left="10" w:hanging="10"/>
              <w:rPr>
                <w:szCs w:val="22"/>
              </w:rPr>
            </w:pPr>
          </w:p>
        </w:tc>
        <w:tc>
          <w:tcPr>
            <w:tcW w:w="1912" w:type="dxa"/>
            <w:noWrap/>
          </w:tcPr>
          <w:p w:rsidR="008D43BD" w:rsidP="008D43BD">
            <w:pPr>
              <w:keepNext/>
              <w:keepLines/>
              <w:ind w:left="10" w:hanging="10"/>
              <w:rPr>
                <w:szCs w:val="22"/>
              </w:rPr>
            </w:pPr>
            <w:r w:rsidRPr="00A30921" w:rsidR="00A4080A">
              <w:rPr>
                <w:szCs w:val="22"/>
              </w:rPr>
              <w:t>Pneumonitis (ILD)</w:t>
            </w:r>
          </w:p>
          <w:p w:rsidR="008D43BD" w:rsidRPr="00A30921" w:rsidP="009D68DB">
            <w:pPr>
              <w:keepNext/>
              <w:keepLines/>
              <w:ind w:left="10" w:hanging="10"/>
              <w:rPr>
                <w:szCs w:val="22"/>
              </w:rPr>
            </w:pPr>
          </w:p>
        </w:tc>
      </w:tr>
      <w:tr w:rsidTr="008D43BD">
        <w:tblPrEx>
          <w:tblW w:w="0" w:type="auto"/>
          <w:jc w:val="center"/>
          <w:tblLayout w:type="fixed"/>
          <w:tblCellMar>
            <w:left w:w="85" w:type="dxa"/>
            <w:right w:w="85" w:type="dxa"/>
          </w:tblCellMar>
          <w:tblLook w:val="01E0"/>
        </w:tblPrEx>
        <w:trPr>
          <w:trHeight w:val="261"/>
          <w:jc w:val="center"/>
        </w:trPr>
        <w:tc>
          <w:tcPr>
            <w:tcW w:w="2719" w:type="dxa"/>
            <w:noWrap/>
          </w:tcPr>
          <w:p w:rsidR="008D43BD" w:rsidRPr="00A30921" w:rsidP="008D43BD">
            <w:pPr>
              <w:pStyle w:val="Default"/>
              <w:keepNext/>
              <w:keepLines/>
              <w:rPr>
                <w:color w:val="auto"/>
                <w:sz w:val="22"/>
                <w:szCs w:val="22"/>
              </w:rPr>
            </w:pPr>
            <w:r w:rsidRPr="00A30921" w:rsidR="00A4080A">
              <w:rPr>
                <w:color w:val="auto"/>
                <w:sz w:val="22"/>
                <w:szCs w:val="22"/>
              </w:rPr>
              <w:t>Gastrointestinal disorders</w:t>
            </w:r>
          </w:p>
        </w:tc>
        <w:tc>
          <w:tcPr>
            <w:tcW w:w="2098" w:type="dxa"/>
            <w:noWrap/>
          </w:tcPr>
          <w:p w:rsidR="008D43BD" w:rsidRPr="00A30921" w:rsidP="008D43BD">
            <w:pPr>
              <w:pStyle w:val="Default"/>
              <w:keepNext/>
              <w:keepLines/>
              <w:rPr>
                <w:color w:val="auto"/>
                <w:sz w:val="22"/>
                <w:szCs w:val="22"/>
              </w:rPr>
            </w:pPr>
            <w:r w:rsidRPr="00A30921" w:rsidR="00A4080A">
              <w:rPr>
                <w:color w:val="auto"/>
                <w:sz w:val="22"/>
                <w:szCs w:val="22"/>
              </w:rPr>
              <w:t>Stomatitis, Diarrhoea, Vomiting, Nausea, Constipation, Dry mouth, Abdominal pain</w:t>
            </w:r>
          </w:p>
        </w:tc>
        <w:tc>
          <w:tcPr>
            <w:tcW w:w="2098" w:type="dxa"/>
            <w:noWrap/>
          </w:tcPr>
          <w:p w:rsidR="008D43BD" w:rsidRPr="00A30921" w:rsidP="008D43BD">
            <w:pPr>
              <w:pStyle w:val="Default"/>
              <w:keepNext/>
              <w:keepLines/>
              <w:rPr>
                <w:color w:val="auto"/>
                <w:sz w:val="22"/>
                <w:szCs w:val="22"/>
              </w:rPr>
            </w:pPr>
            <w:r w:rsidRPr="00A30921" w:rsidR="00A4080A">
              <w:rPr>
                <w:color w:val="auto"/>
                <w:sz w:val="22"/>
                <w:szCs w:val="22"/>
              </w:rPr>
              <w:t>Dyspepsia, Gingival bleeding</w:t>
            </w:r>
          </w:p>
        </w:tc>
        <w:tc>
          <w:tcPr>
            <w:tcW w:w="1912" w:type="dxa"/>
            <w:noWrap/>
          </w:tcPr>
          <w:p w:rsidR="008D43BD" w:rsidRPr="00A30921" w:rsidP="008D43BD">
            <w:pPr>
              <w:keepNext/>
              <w:keepLines/>
              <w:ind w:left="10" w:hanging="10"/>
              <w:rPr>
                <w:szCs w:val="22"/>
              </w:rPr>
            </w:pPr>
          </w:p>
        </w:tc>
      </w:tr>
      <w:tr w:rsidTr="008D43BD">
        <w:tblPrEx>
          <w:tblW w:w="0" w:type="auto"/>
          <w:jc w:val="center"/>
          <w:tblLayout w:type="fixed"/>
          <w:tblCellMar>
            <w:left w:w="85" w:type="dxa"/>
            <w:right w:w="85" w:type="dxa"/>
          </w:tblCellMar>
          <w:tblLook w:val="01E0"/>
        </w:tblPrEx>
        <w:trPr>
          <w:trHeight w:val="261"/>
          <w:jc w:val="center"/>
        </w:trPr>
        <w:tc>
          <w:tcPr>
            <w:tcW w:w="2719" w:type="dxa"/>
            <w:noWrap/>
          </w:tcPr>
          <w:p w:rsidR="002067DA" w:rsidRPr="00A30921" w:rsidP="002067DA">
            <w:pPr>
              <w:pStyle w:val="Default"/>
              <w:keepNext/>
              <w:keepLines/>
              <w:rPr>
                <w:color w:val="auto"/>
                <w:sz w:val="22"/>
                <w:szCs w:val="22"/>
              </w:rPr>
            </w:pPr>
            <w:r w:rsidRPr="00A30921">
              <w:rPr>
                <w:color w:val="auto"/>
                <w:sz w:val="22"/>
                <w:szCs w:val="22"/>
              </w:rPr>
              <w:t>Hepatobiliary disorders</w:t>
            </w:r>
          </w:p>
        </w:tc>
        <w:tc>
          <w:tcPr>
            <w:tcW w:w="2098" w:type="dxa"/>
            <w:noWrap/>
          </w:tcPr>
          <w:p w:rsidR="002067DA" w:rsidRPr="00A30921" w:rsidP="002067DA">
            <w:pPr>
              <w:pStyle w:val="Default"/>
              <w:keepNext/>
              <w:keepLines/>
              <w:rPr>
                <w:color w:val="auto"/>
                <w:sz w:val="22"/>
                <w:szCs w:val="22"/>
              </w:rPr>
            </w:pPr>
            <w:r w:rsidRPr="00A30921">
              <w:rPr>
                <w:color w:val="auto"/>
                <w:sz w:val="22"/>
                <w:szCs w:val="22"/>
              </w:rPr>
              <w:t>Transaminases increased</w:t>
            </w:r>
          </w:p>
        </w:tc>
        <w:tc>
          <w:tcPr>
            <w:tcW w:w="2098" w:type="dxa"/>
            <w:noWrap/>
          </w:tcPr>
          <w:p w:rsidR="002067DA" w:rsidRPr="0056510B" w:rsidP="002067DA">
            <w:pPr>
              <w:pStyle w:val="Default"/>
              <w:keepNext/>
              <w:keepLines/>
              <w:rPr>
                <w:color w:val="auto"/>
                <w:sz w:val="22"/>
                <w:szCs w:val="22"/>
                <w:lang w:val="en-029"/>
              </w:rPr>
            </w:pPr>
            <w:r w:rsidRPr="00A30921">
              <w:rPr>
                <w:color w:val="auto"/>
                <w:sz w:val="22"/>
                <w:szCs w:val="22"/>
              </w:rPr>
              <w:t>Blood alkaline phosphatase increased</w:t>
            </w:r>
            <w:r>
              <w:rPr>
                <w:color w:val="auto"/>
                <w:sz w:val="22"/>
                <w:szCs w:val="22"/>
              </w:rPr>
              <w:t>, blood bilirubin increase</w:t>
            </w:r>
            <w:r w:rsidR="00184E88">
              <w:rPr>
                <w:color w:val="auto"/>
                <w:sz w:val="22"/>
                <w:szCs w:val="22"/>
              </w:rPr>
              <w:t>d</w:t>
            </w:r>
          </w:p>
        </w:tc>
        <w:tc>
          <w:tcPr>
            <w:tcW w:w="1912" w:type="dxa"/>
            <w:noWrap/>
          </w:tcPr>
          <w:p w:rsidR="002067DA" w:rsidRPr="00A30921" w:rsidP="002067DA">
            <w:pPr>
              <w:keepNext/>
              <w:keepLines/>
              <w:ind w:left="11" w:hanging="11"/>
              <w:rPr>
                <w:szCs w:val="22"/>
              </w:rPr>
            </w:pPr>
            <w:r w:rsidRPr="00A30921">
              <w:rPr>
                <w:szCs w:val="22"/>
              </w:rPr>
              <w:t>Hepatotoxicity, Hepatic failure, Nodular regenerative hyperplasia, Portal hypertension</w:t>
            </w:r>
          </w:p>
        </w:tc>
      </w:tr>
      <w:tr w:rsidTr="008D43BD">
        <w:tblPrEx>
          <w:tblW w:w="0" w:type="auto"/>
          <w:jc w:val="center"/>
          <w:tblLayout w:type="fixed"/>
          <w:tblCellMar>
            <w:left w:w="85" w:type="dxa"/>
            <w:right w:w="85" w:type="dxa"/>
          </w:tblCellMar>
          <w:tblLook w:val="01E0"/>
        </w:tblPrEx>
        <w:trPr>
          <w:trHeight w:val="364"/>
          <w:jc w:val="center"/>
        </w:trPr>
        <w:tc>
          <w:tcPr>
            <w:tcW w:w="2719" w:type="dxa"/>
            <w:noWrap/>
          </w:tcPr>
          <w:p w:rsidR="002067DA" w:rsidRPr="00A30921" w:rsidP="002067DA">
            <w:pPr>
              <w:pStyle w:val="Default"/>
              <w:keepNext/>
              <w:keepLines/>
              <w:rPr>
                <w:color w:val="auto"/>
                <w:sz w:val="22"/>
                <w:szCs w:val="22"/>
              </w:rPr>
            </w:pPr>
            <w:r w:rsidRPr="00A30921">
              <w:rPr>
                <w:color w:val="auto"/>
                <w:sz w:val="22"/>
                <w:szCs w:val="22"/>
              </w:rPr>
              <w:t>Skin and subcutaneous tissue disorders</w:t>
            </w:r>
          </w:p>
        </w:tc>
        <w:tc>
          <w:tcPr>
            <w:tcW w:w="2098" w:type="dxa"/>
            <w:noWrap/>
          </w:tcPr>
          <w:p w:rsidR="002067DA" w:rsidRPr="00A30921" w:rsidP="002067DA">
            <w:pPr>
              <w:pStyle w:val="Default"/>
              <w:keepNext/>
              <w:keepLines/>
              <w:rPr>
                <w:color w:val="auto"/>
                <w:sz w:val="22"/>
                <w:szCs w:val="22"/>
              </w:rPr>
            </w:pPr>
          </w:p>
        </w:tc>
        <w:tc>
          <w:tcPr>
            <w:tcW w:w="2098" w:type="dxa"/>
            <w:noWrap/>
          </w:tcPr>
          <w:p w:rsidR="002067DA" w:rsidRPr="00447C90" w:rsidP="002067DA">
            <w:pPr>
              <w:pStyle w:val="Default"/>
              <w:keepNext/>
              <w:keepLines/>
              <w:rPr>
                <w:color w:val="auto"/>
                <w:sz w:val="22"/>
                <w:szCs w:val="22"/>
              </w:rPr>
            </w:pPr>
            <w:r w:rsidRPr="00A30921" w:rsidR="00C216BF">
              <w:rPr>
                <w:color w:val="auto"/>
                <w:sz w:val="22"/>
                <w:szCs w:val="22"/>
              </w:rPr>
              <w:t>Rash</w:t>
            </w:r>
            <w:r w:rsidR="00C216BF">
              <w:rPr>
                <w:color w:val="auto"/>
                <w:sz w:val="22"/>
                <w:szCs w:val="22"/>
              </w:rPr>
              <w:t>,</w:t>
            </w:r>
            <w:r w:rsidRPr="00447C90" w:rsidR="00C216BF">
              <w:rPr>
                <w:color w:val="auto"/>
                <w:sz w:val="22"/>
                <w:szCs w:val="22"/>
              </w:rPr>
              <w:t xml:space="preserve"> </w:t>
            </w:r>
            <w:r w:rsidRPr="00447C90">
              <w:rPr>
                <w:color w:val="auto"/>
                <w:sz w:val="22"/>
                <w:szCs w:val="22"/>
              </w:rPr>
              <w:t>Pruritus, Alopecia, Nail disorder, Palmar-plantar erythrodysaesthesia syndrome, Urticaria</w:t>
            </w:r>
          </w:p>
        </w:tc>
        <w:tc>
          <w:tcPr>
            <w:tcW w:w="1912" w:type="dxa"/>
            <w:noWrap/>
          </w:tcPr>
          <w:p w:rsidR="002067DA" w:rsidRPr="00447C90" w:rsidP="002067DA">
            <w:pPr>
              <w:keepNext/>
              <w:keepLines/>
              <w:ind w:left="10" w:hanging="10"/>
              <w:rPr>
                <w:szCs w:val="22"/>
                <w:lang w:val="en-GB"/>
              </w:rPr>
            </w:pPr>
          </w:p>
        </w:tc>
      </w:tr>
      <w:tr w:rsidTr="008D43BD">
        <w:tblPrEx>
          <w:tblW w:w="0" w:type="auto"/>
          <w:jc w:val="center"/>
          <w:tblLayout w:type="fixed"/>
          <w:tblCellMar>
            <w:left w:w="85" w:type="dxa"/>
            <w:right w:w="85" w:type="dxa"/>
          </w:tblCellMar>
          <w:tblLook w:val="01E0"/>
        </w:tblPrEx>
        <w:trPr>
          <w:trHeight w:val="364"/>
          <w:jc w:val="center"/>
        </w:trPr>
        <w:tc>
          <w:tcPr>
            <w:tcW w:w="2719" w:type="dxa"/>
            <w:noWrap/>
          </w:tcPr>
          <w:p w:rsidR="002067DA" w:rsidRPr="00A30921" w:rsidP="002067DA">
            <w:pPr>
              <w:pStyle w:val="Default"/>
              <w:keepNext/>
              <w:keepLines/>
              <w:rPr>
                <w:color w:val="auto"/>
                <w:sz w:val="22"/>
                <w:szCs w:val="22"/>
              </w:rPr>
            </w:pPr>
            <w:r w:rsidRPr="00A30921">
              <w:rPr>
                <w:color w:val="auto"/>
                <w:sz w:val="22"/>
                <w:szCs w:val="22"/>
              </w:rPr>
              <w:t>Musculoskeletal and connective tissue disorders</w:t>
            </w:r>
          </w:p>
        </w:tc>
        <w:tc>
          <w:tcPr>
            <w:tcW w:w="2098" w:type="dxa"/>
            <w:noWrap/>
          </w:tcPr>
          <w:p w:rsidR="002067DA" w:rsidRPr="00A30921" w:rsidP="002067DA">
            <w:pPr>
              <w:pStyle w:val="Default"/>
              <w:keepNext/>
              <w:keepLines/>
              <w:rPr>
                <w:color w:val="auto"/>
                <w:sz w:val="22"/>
                <w:szCs w:val="22"/>
              </w:rPr>
            </w:pPr>
            <w:r w:rsidRPr="00A30921">
              <w:rPr>
                <w:color w:val="auto"/>
                <w:sz w:val="22"/>
                <w:szCs w:val="22"/>
              </w:rPr>
              <w:t>Musculoskeletal pain, Arthralgia, Myalgia</w:t>
            </w:r>
          </w:p>
        </w:tc>
        <w:tc>
          <w:tcPr>
            <w:tcW w:w="2098" w:type="dxa"/>
            <w:noWrap/>
          </w:tcPr>
          <w:p w:rsidR="002067DA" w:rsidRPr="00A30921" w:rsidP="002067DA">
            <w:pPr>
              <w:pStyle w:val="Default"/>
              <w:keepNext/>
              <w:keepLines/>
              <w:rPr>
                <w:color w:val="auto"/>
                <w:sz w:val="22"/>
                <w:szCs w:val="22"/>
              </w:rPr>
            </w:pPr>
          </w:p>
        </w:tc>
        <w:tc>
          <w:tcPr>
            <w:tcW w:w="1912" w:type="dxa"/>
            <w:noWrap/>
          </w:tcPr>
          <w:p w:rsidR="002067DA" w:rsidRPr="00A30921" w:rsidP="002067DA">
            <w:pPr>
              <w:keepNext/>
              <w:keepLines/>
              <w:ind w:left="10" w:hanging="10"/>
              <w:rPr>
                <w:szCs w:val="22"/>
              </w:rPr>
            </w:pPr>
          </w:p>
        </w:tc>
      </w:tr>
      <w:tr w:rsidTr="008D43BD">
        <w:tblPrEx>
          <w:tblW w:w="0" w:type="auto"/>
          <w:jc w:val="center"/>
          <w:tblLayout w:type="fixed"/>
          <w:tblCellMar>
            <w:left w:w="85" w:type="dxa"/>
            <w:right w:w="85" w:type="dxa"/>
          </w:tblCellMar>
          <w:tblLook w:val="01E0"/>
        </w:tblPrEx>
        <w:trPr>
          <w:trHeight w:val="566"/>
          <w:jc w:val="center"/>
        </w:trPr>
        <w:tc>
          <w:tcPr>
            <w:tcW w:w="2719" w:type="dxa"/>
            <w:noWrap/>
          </w:tcPr>
          <w:p w:rsidR="002067DA" w:rsidRPr="003168AE" w:rsidP="002067DA">
            <w:pPr>
              <w:pStyle w:val="Default"/>
              <w:keepNext/>
              <w:keepLines/>
              <w:rPr>
                <w:color w:val="auto"/>
                <w:sz w:val="22"/>
                <w:szCs w:val="22"/>
              </w:rPr>
            </w:pPr>
            <w:r w:rsidRPr="003168AE">
              <w:rPr>
                <w:color w:val="auto"/>
                <w:sz w:val="22"/>
                <w:szCs w:val="22"/>
              </w:rPr>
              <w:t xml:space="preserve">General disorders and administration site conditions </w:t>
            </w:r>
          </w:p>
        </w:tc>
        <w:tc>
          <w:tcPr>
            <w:tcW w:w="2098" w:type="dxa"/>
            <w:noWrap/>
          </w:tcPr>
          <w:p w:rsidR="002067DA" w:rsidRPr="003168AE" w:rsidP="002067DA">
            <w:pPr>
              <w:pStyle w:val="Default"/>
              <w:keepNext/>
              <w:keepLines/>
              <w:rPr>
                <w:color w:val="auto"/>
                <w:sz w:val="22"/>
                <w:szCs w:val="22"/>
              </w:rPr>
            </w:pPr>
            <w:r w:rsidRPr="003168AE">
              <w:rPr>
                <w:color w:val="auto"/>
                <w:sz w:val="22"/>
                <w:szCs w:val="22"/>
              </w:rPr>
              <w:t>Fatigue, Pyrexia, Asthenia</w:t>
            </w:r>
          </w:p>
        </w:tc>
        <w:tc>
          <w:tcPr>
            <w:tcW w:w="2098" w:type="dxa"/>
            <w:noWrap/>
          </w:tcPr>
          <w:p w:rsidR="002067DA" w:rsidRPr="003168AE" w:rsidP="002067DA">
            <w:pPr>
              <w:pStyle w:val="Default"/>
              <w:keepNext/>
              <w:keepLines/>
              <w:rPr>
                <w:color w:val="auto"/>
                <w:sz w:val="22"/>
                <w:szCs w:val="22"/>
              </w:rPr>
            </w:pPr>
            <w:r w:rsidRPr="003168AE">
              <w:rPr>
                <w:color w:val="auto"/>
                <w:sz w:val="22"/>
                <w:szCs w:val="22"/>
              </w:rPr>
              <w:t>Peripheral oedema</w:t>
            </w:r>
            <w:r w:rsidRPr="003168AE" w:rsidR="00957BF8">
              <w:rPr>
                <w:color w:val="auto"/>
                <w:sz w:val="22"/>
                <w:szCs w:val="22"/>
              </w:rPr>
              <w:t>, Chills</w:t>
            </w:r>
          </w:p>
        </w:tc>
        <w:tc>
          <w:tcPr>
            <w:tcW w:w="1912" w:type="dxa"/>
            <w:noWrap/>
          </w:tcPr>
          <w:p w:rsidR="002067DA" w:rsidRPr="00A30921" w:rsidP="002067DA">
            <w:pPr>
              <w:keepNext/>
              <w:keepLines/>
              <w:ind w:left="10" w:hanging="10"/>
              <w:rPr>
                <w:szCs w:val="22"/>
              </w:rPr>
            </w:pPr>
            <w:r w:rsidRPr="003168AE">
              <w:rPr>
                <w:szCs w:val="22"/>
              </w:rPr>
              <w:t>Injection site extravasation</w:t>
            </w:r>
          </w:p>
        </w:tc>
      </w:tr>
      <w:tr w:rsidTr="008D43BD">
        <w:tblPrEx>
          <w:tblW w:w="0" w:type="auto"/>
          <w:jc w:val="center"/>
          <w:tblLayout w:type="fixed"/>
          <w:tblCellMar>
            <w:left w:w="85" w:type="dxa"/>
            <w:right w:w="85" w:type="dxa"/>
          </w:tblCellMar>
          <w:tblLook w:val="01E0"/>
        </w:tblPrEx>
        <w:trPr>
          <w:trHeight w:val="70"/>
          <w:jc w:val="center"/>
        </w:trPr>
        <w:tc>
          <w:tcPr>
            <w:tcW w:w="2719" w:type="dxa"/>
            <w:noWrap/>
          </w:tcPr>
          <w:p w:rsidR="002067DA" w:rsidRPr="00A30921" w:rsidP="002067DA">
            <w:pPr>
              <w:pStyle w:val="Default"/>
              <w:keepNext/>
              <w:keepLines/>
              <w:rPr>
                <w:color w:val="auto"/>
                <w:sz w:val="22"/>
                <w:szCs w:val="22"/>
              </w:rPr>
            </w:pPr>
            <w:r w:rsidRPr="00A30921">
              <w:rPr>
                <w:color w:val="auto"/>
                <w:sz w:val="22"/>
                <w:szCs w:val="22"/>
              </w:rPr>
              <w:t>Injury, poisoning and procedural complications</w:t>
            </w:r>
          </w:p>
        </w:tc>
        <w:tc>
          <w:tcPr>
            <w:tcW w:w="2098" w:type="dxa"/>
            <w:noWrap/>
          </w:tcPr>
          <w:p w:rsidR="002067DA" w:rsidRPr="00A30921" w:rsidP="002067DA">
            <w:pPr>
              <w:pStyle w:val="Default"/>
              <w:keepNext/>
              <w:keepLines/>
              <w:rPr>
                <w:color w:val="auto"/>
                <w:sz w:val="22"/>
                <w:szCs w:val="22"/>
              </w:rPr>
            </w:pPr>
          </w:p>
        </w:tc>
        <w:tc>
          <w:tcPr>
            <w:tcW w:w="2098" w:type="dxa"/>
            <w:noWrap/>
          </w:tcPr>
          <w:p w:rsidR="002067DA" w:rsidRPr="00A30921" w:rsidP="002067DA">
            <w:pPr>
              <w:pStyle w:val="Default"/>
              <w:keepNext/>
              <w:keepLines/>
              <w:rPr>
                <w:color w:val="auto"/>
                <w:sz w:val="22"/>
                <w:szCs w:val="22"/>
              </w:rPr>
            </w:pPr>
            <w:r w:rsidRPr="00A30921">
              <w:rPr>
                <w:color w:val="auto"/>
                <w:sz w:val="22"/>
                <w:szCs w:val="22"/>
              </w:rPr>
              <w:t>Infusion</w:t>
            </w:r>
            <w:r w:rsidRPr="00A30921">
              <w:rPr>
                <w:color w:val="auto"/>
                <w:sz w:val="22"/>
                <w:szCs w:val="22"/>
              </w:rPr>
              <w:noBreakHyphen/>
              <w:t>related reactions</w:t>
            </w:r>
            <w:r w:rsidR="00980C61">
              <w:rPr>
                <w:color w:val="auto"/>
                <w:sz w:val="22"/>
                <w:szCs w:val="22"/>
              </w:rPr>
              <w:t xml:space="preserve"> </w:t>
            </w:r>
          </w:p>
        </w:tc>
        <w:tc>
          <w:tcPr>
            <w:tcW w:w="1912" w:type="dxa"/>
            <w:noWrap/>
          </w:tcPr>
          <w:p w:rsidR="002067DA" w:rsidRPr="00A30921" w:rsidP="002067DA">
            <w:pPr>
              <w:keepNext/>
              <w:keepLines/>
              <w:ind w:left="10" w:hanging="10"/>
              <w:rPr>
                <w:szCs w:val="22"/>
              </w:rPr>
            </w:pPr>
            <w:r w:rsidR="00C216BF">
              <w:rPr>
                <w:szCs w:val="22"/>
              </w:rPr>
              <w:t>Radiation pneumonitis</w:t>
            </w:r>
          </w:p>
        </w:tc>
      </w:tr>
    </w:tbl>
    <w:p w:rsidR="00971F41" w:rsidP="00C216BF">
      <w:pPr>
        <w:rPr>
          <w:szCs w:val="22"/>
          <w:u w:val="single"/>
          <w:lang w:val="en-GB"/>
        </w:rPr>
      </w:pPr>
    </w:p>
    <w:p w:rsidR="00F5735C" w:rsidP="00C12092">
      <w:pPr>
        <w:keepNext/>
        <w:rPr>
          <w:szCs w:val="22"/>
          <w:lang w:val="en-GB"/>
        </w:rPr>
      </w:pPr>
      <w:r w:rsidRPr="00F5735C">
        <w:rPr>
          <w:szCs w:val="22"/>
          <w:lang w:val="en-GB"/>
        </w:rPr>
        <w:t xml:space="preserve">Table 3 shows pooled data from the overall treatment period in the MBC studies (N= 1871; median number of cycles of trastuzumab emtansine was 10) and in KATHERINE (N=740; median number of cycles was 14). </w:t>
      </w:r>
    </w:p>
    <w:p w:rsidR="00156E61" w:rsidP="00C12092">
      <w:pPr>
        <w:keepNext/>
        <w:keepLines/>
        <w:rPr>
          <w:szCs w:val="22"/>
          <w:lang w:val="en-GB"/>
        </w:rPr>
      </w:pPr>
    </w:p>
    <w:p w:rsidR="008D43BD" w:rsidRPr="00A30921" w:rsidP="008D43BD">
      <w:pPr>
        <w:keepNext/>
        <w:keepLines/>
        <w:rPr>
          <w:szCs w:val="22"/>
          <w:u w:val="single"/>
        </w:rPr>
      </w:pPr>
      <w:r w:rsidRPr="00A30921" w:rsidR="00A4080A">
        <w:rPr>
          <w:szCs w:val="22"/>
          <w:u w:val="single"/>
        </w:rPr>
        <w:t>Description of selected adverse reactions</w:t>
      </w:r>
    </w:p>
    <w:p w:rsidR="00585600" w:rsidP="005642D3">
      <w:pPr>
        <w:keepNext/>
        <w:rPr>
          <w:i/>
          <w:szCs w:val="22"/>
        </w:rPr>
      </w:pPr>
    </w:p>
    <w:p w:rsidR="005642D3" w:rsidRPr="00F574CC" w:rsidP="005642D3">
      <w:pPr>
        <w:keepNext/>
        <w:rPr>
          <w:i/>
          <w:szCs w:val="22"/>
        </w:rPr>
      </w:pPr>
      <w:r w:rsidRPr="00F574CC">
        <w:rPr>
          <w:i/>
          <w:szCs w:val="22"/>
        </w:rPr>
        <w:t>Thrombocytopenia</w:t>
      </w:r>
    </w:p>
    <w:p w:rsidR="005642D3" w:rsidP="005642D3">
      <w:pPr>
        <w:keepNext/>
        <w:suppressLineNumbers/>
        <w:rPr>
          <w:szCs w:val="22"/>
        </w:rPr>
      </w:pPr>
      <w:r w:rsidRPr="00CA6DA7">
        <w:rPr>
          <w:szCs w:val="22"/>
        </w:rPr>
        <w:t xml:space="preserve">Thrombocytopenia or decreased platelet counts were reported in 24.9% of patients in MBC clinical studies with trastuzumab emtansine and was the most common </w:t>
      </w:r>
      <w:r w:rsidRPr="001B4A07">
        <w:rPr>
          <w:szCs w:val="22"/>
        </w:rPr>
        <w:t xml:space="preserve">adverse reaction leading to treatment discontinuation (2.6%). </w:t>
      </w:r>
      <w:r w:rsidRPr="003168AE" w:rsidR="004A5A53">
        <w:rPr>
          <w:szCs w:val="22"/>
        </w:rPr>
        <w:t>T</w:t>
      </w:r>
      <w:r w:rsidRPr="003168AE">
        <w:rPr>
          <w:szCs w:val="22"/>
        </w:rPr>
        <w:t xml:space="preserve">hrombocytopenia was reported in 28.5% of patients </w:t>
      </w:r>
      <w:r w:rsidRPr="003168AE" w:rsidR="00AE1482">
        <w:rPr>
          <w:szCs w:val="22"/>
        </w:rPr>
        <w:t xml:space="preserve">in EBC clinical studies with trastuzumab emtansine </w:t>
      </w:r>
      <w:r w:rsidRPr="003168AE">
        <w:rPr>
          <w:szCs w:val="22"/>
        </w:rPr>
        <w:t>and was the most common reported adverse reaction for all grades and g</w:t>
      </w:r>
      <w:r w:rsidRPr="003168AE">
        <w:rPr>
          <w:szCs w:val="22"/>
        </w:rPr>
        <w:t>rades ≥ 3</w:t>
      </w:r>
      <w:r w:rsidRPr="003168AE" w:rsidR="00C74372">
        <w:rPr>
          <w:szCs w:val="22"/>
        </w:rPr>
        <w:t xml:space="preserve">, as well as </w:t>
      </w:r>
      <w:r w:rsidRPr="003168AE">
        <w:rPr>
          <w:szCs w:val="22"/>
        </w:rPr>
        <w:t>the most common adverse reaction leading to treatment discontinuation</w:t>
      </w:r>
      <w:r w:rsidRPr="003168AE" w:rsidR="004550B0">
        <w:rPr>
          <w:szCs w:val="22"/>
        </w:rPr>
        <w:t xml:space="preserve"> (</w:t>
      </w:r>
      <w:r w:rsidRPr="003168AE" w:rsidR="00AE1482">
        <w:rPr>
          <w:szCs w:val="22"/>
        </w:rPr>
        <w:t>4.2%</w:t>
      </w:r>
      <w:r w:rsidRPr="003168AE" w:rsidR="004550B0">
        <w:rPr>
          <w:szCs w:val="22"/>
        </w:rPr>
        <w:t>)</w:t>
      </w:r>
      <w:r w:rsidRPr="003168AE">
        <w:rPr>
          <w:szCs w:val="22"/>
        </w:rPr>
        <w:t>, dose interruptions, and dose reductions.</w:t>
      </w:r>
      <w:r w:rsidRPr="00CA6DA7">
        <w:rPr>
          <w:szCs w:val="22"/>
        </w:rPr>
        <w:t xml:space="preserve"> </w:t>
      </w:r>
      <w:r w:rsidRPr="001B4A07">
        <w:rPr>
          <w:szCs w:val="22"/>
        </w:rPr>
        <w:t>The majority of the patients had Grade 1 or 2 events (≥ 50,000/mm</w:t>
      </w:r>
      <w:r w:rsidRPr="001B4A07">
        <w:rPr>
          <w:szCs w:val="22"/>
          <w:vertAlign w:val="superscript"/>
        </w:rPr>
        <w:t>3</w:t>
      </w:r>
      <w:r w:rsidRPr="001B4A07">
        <w:rPr>
          <w:szCs w:val="22"/>
        </w:rPr>
        <w:t>), with the nadir occurring by day 8 and generally improving to Grade 0 or 1 (≥ 75,000/mm</w:t>
      </w:r>
      <w:r w:rsidRPr="001B4A07">
        <w:rPr>
          <w:szCs w:val="22"/>
          <w:vertAlign w:val="superscript"/>
        </w:rPr>
        <w:t>3</w:t>
      </w:r>
      <w:r w:rsidRPr="001B4A07">
        <w:rPr>
          <w:szCs w:val="22"/>
        </w:rPr>
        <w:t>) by the next scheduled dose. In clinical studies, the incidence and severity of thrombocytopenia were higher in Asian patients. Independent of race, the incidence of Grade 3 or 4 events (&lt;</w:t>
      </w:r>
      <w:r w:rsidRPr="00B34766">
        <w:rPr>
          <w:rFonts w:eastAsia="PMingLiU"/>
          <w:szCs w:val="22"/>
          <w:lang w:eastAsia="zh-TW"/>
        </w:rPr>
        <w:t> </w:t>
      </w:r>
      <w:r w:rsidRPr="00B34766">
        <w:rPr>
          <w:szCs w:val="22"/>
        </w:rPr>
        <w:t>50,000/mm</w:t>
      </w:r>
      <w:r w:rsidRPr="00C35677">
        <w:rPr>
          <w:szCs w:val="22"/>
          <w:vertAlign w:val="superscript"/>
        </w:rPr>
        <w:t>3</w:t>
      </w:r>
      <w:r w:rsidRPr="00C35677">
        <w:rPr>
          <w:szCs w:val="22"/>
        </w:rPr>
        <w:t>) was 8.7% in p</w:t>
      </w:r>
      <w:r w:rsidRPr="00C35677">
        <w:rPr>
          <w:szCs w:val="22"/>
        </w:rPr>
        <w:t xml:space="preserve">atients with MBC treated with trastuzumab emtansine and </w:t>
      </w:r>
      <w:r w:rsidRPr="00CA6DA7" w:rsidR="00281000">
        <w:rPr>
          <w:color w:val="000000"/>
          <w:szCs w:val="22"/>
        </w:rPr>
        <w:t>5.7</w:t>
      </w:r>
      <w:r w:rsidRPr="00CA6DA7">
        <w:rPr>
          <w:szCs w:val="22"/>
        </w:rPr>
        <w:t xml:space="preserve">% in patients with EBC. For dose modifications for thrombocytopenia, see sections 4.2 and 4.4.  </w:t>
      </w:r>
    </w:p>
    <w:p w:rsidR="00C74372" w:rsidRPr="00CA6DA7" w:rsidP="00B57834">
      <w:pPr>
        <w:rPr>
          <w:i/>
          <w:szCs w:val="22"/>
        </w:rPr>
      </w:pPr>
    </w:p>
    <w:p w:rsidR="00B57834" w:rsidRPr="00CA6DA7" w:rsidP="00B57834">
      <w:pPr>
        <w:rPr>
          <w:i/>
          <w:szCs w:val="22"/>
        </w:rPr>
      </w:pPr>
      <w:r w:rsidRPr="00CA6DA7">
        <w:rPr>
          <w:i/>
          <w:szCs w:val="22"/>
        </w:rPr>
        <w:t>Haemorrhage</w:t>
      </w:r>
    </w:p>
    <w:p w:rsidR="007C68CF" w:rsidP="00E36E57">
      <w:pPr>
        <w:rPr>
          <w:szCs w:val="22"/>
        </w:rPr>
      </w:pPr>
      <w:r w:rsidRPr="00CA6DA7" w:rsidR="00D21D37">
        <w:rPr>
          <w:szCs w:val="22"/>
        </w:rPr>
        <w:t>Haemorrhagic events were reported in 3</w:t>
      </w:r>
      <w:r w:rsidRPr="00CA6DA7" w:rsidR="008C0315">
        <w:rPr>
          <w:szCs w:val="22"/>
        </w:rPr>
        <w:t>4.8</w:t>
      </w:r>
      <w:r w:rsidRPr="00CA6DA7" w:rsidR="00D21D37">
        <w:rPr>
          <w:szCs w:val="22"/>
        </w:rPr>
        <w:t xml:space="preserve">% of patients in MBC clinical trials with trastuzumab emtansine and </w:t>
      </w:r>
      <w:r w:rsidRPr="00CA6DA7" w:rsidR="00D21D37">
        <w:rPr>
          <w:color w:val="000000"/>
          <w:szCs w:val="22"/>
        </w:rPr>
        <w:t>t</w:t>
      </w:r>
      <w:r w:rsidRPr="00CA6DA7" w:rsidR="00B57834">
        <w:rPr>
          <w:szCs w:val="22"/>
        </w:rPr>
        <w:t>he incidence of severe haemorrhagic events (Grade ≥3) occurred in 2.2%</w:t>
      </w:r>
      <w:r w:rsidRPr="00CA6DA7" w:rsidR="007E5FB9">
        <w:rPr>
          <w:szCs w:val="22"/>
        </w:rPr>
        <w:t>.</w:t>
      </w:r>
      <w:r w:rsidRPr="00CA6DA7" w:rsidR="00B57834">
        <w:rPr>
          <w:szCs w:val="22"/>
        </w:rPr>
        <w:t xml:space="preserve"> </w:t>
      </w:r>
      <w:r w:rsidRPr="00CA6DA7" w:rsidR="00112274">
        <w:rPr>
          <w:szCs w:val="22"/>
        </w:rPr>
        <w:t xml:space="preserve">Haemorrhagic events were reported in 29% of patients with EBC and the incidence of severe haemorrhagic events (Grade ≥3) was </w:t>
      </w:r>
      <w:r w:rsidRPr="00CA6DA7" w:rsidR="00B57834">
        <w:rPr>
          <w:szCs w:val="22"/>
        </w:rPr>
        <w:t xml:space="preserve">0.4%, including one Grade 5 event. In some of the observed </w:t>
      </w:r>
      <w:r w:rsidRPr="00CA6DA7" w:rsidR="00B57834">
        <w:rPr>
          <w:szCs w:val="22"/>
        </w:rPr>
        <w:t xml:space="preserve">cases the patients had thrombocytopenia, or were also receiving anti-coagulant therapy or antiplatelet therapy; in others there were no known additional risk factors. </w:t>
      </w:r>
      <w:r w:rsidRPr="001B4A07" w:rsidR="00B57834">
        <w:rPr>
          <w:szCs w:val="22"/>
        </w:rPr>
        <w:t xml:space="preserve">Cases of bleeding events with a fatal outcome have been observed </w:t>
      </w:r>
      <w:r w:rsidRPr="00CA6DA7" w:rsidR="00B57834">
        <w:rPr>
          <w:szCs w:val="22"/>
        </w:rPr>
        <w:t>in both MBC and EBC.</w:t>
      </w:r>
    </w:p>
    <w:p w:rsidR="007C68CF" w:rsidP="00E36E57">
      <w:pPr>
        <w:rPr>
          <w:szCs w:val="22"/>
        </w:rPr>
      </w:pPr>
    </w:p>
    <w:p w:rsidR="008D43BD" w:rsidRPr="00A30921" w:rsidP="00E36E57">
      <w:pPr>
        <w:rPr>
          <w:i/>
          <w:szCs w:val="22"/>
        </w:rPr>
      </w:pPr>
      <w:r w:rsidRPr="00A30921" w:rsidR="00A4080A">
        <w:rPr>
          <w:i/>
          <w:szCs w:val="22"/>
        </w:rPr>
        <w:t>Transaminases increased (AST/ALT)</w:t>
      </w:r>
    </w:p>
    <w:p w:rsidR="008D43BD" w:rsidP="00E36E57">
      <w:pPr>
        <w:rPr>
          <w:szCs w:val="22"/>
        </w:rPr>
      </w:pPr>
      <w:r w:rsidRPr="00A30921" w:rsidR="00A4080A">
        <w:rPr>
          <w:szCs w:val="22"/>
        </w:rPr>
        <w:t>Increase in serum transaminases (Grade 1</w:t>
      </w:r>
      <w:r w:rsidRPr="00A30921" w:rsidR="00A4080A">
        <w:rPr>
          <w:szCs w:val="22"/>
        </w:rPr>
        <w:noBreakHyphen/>
        <w:t xml:space="preserve">4) has been observed during treatment with trastuzumab </w:t>
      </w:r>
      <w:r w:rsidRPr="00CA6DA7" w:rsidR="00A4080A">
        <w:rPr>
          <w:szCs w:val="22"/>
        </w:rPr>
        <w:t xml:space="preserve">emtansine in clinical studies (see section 4.4). Transaminase elevations were generally transient. A cumulative effect of trastuzumab emtansine on transaminases has been observed, and generally recovered when treatment was discontinued. Increased transaminases were reported in 24.2% of patients in </w:t>
      </w:r>
      <w:r w:rsidRPr="00CA6DA7" w:rsidR="00321091">
        <w:rPr>
          <w:szCs w:val="22"/>
        </w:rPr>
        <w:t xml:space="preserve">MBC </w:t>
      </w:r>
      <w:r w:rsidRPr="00CA6DA7" w:rsidR="00A4080A">
        <w:rPr>
          <w:szCs w:val="22"/>
        </w:rPr>
        <w:t>clinical studies. Grade 3 or 4 increased AST and ALT were reported in 4.2% and 2.7%</w:t>
      </w:r>
      <w:r w:rsidRPr="001B4A07" w:rsidR="00A4080A">
        <w:rPr>
          <w:szCs w:val="22"/>
        </w:rPr>
        <w:t xml:space="preserve"> of patients</w:t>
      </w:r>
      <w:r w:rsidRPr="001B4A07" w:rsidR="00321091">
        <w:rPr>
          <w:szCs w:val="22"/>
        </w:rPr>
        <w:t xml:space="preserve"> with MBC</w:t>
      </w:r>
      <w:r w:rsidRPr="001B4A07" w:rsidR="00A4080A">
        <w:rPr>
          <w:szCs w:val="22"/>
        </w:rPr>
        <w:t xml:space="preserve"> respectively and usually occurred in the early treatment cycles (1</w:t>
      </w:r>
      <w:r w:rsidRPr="001B4A07" w:rsidR="00A4080A">
        <w:rPr>
          <w:szCs w:val="22"/>
        </w:rPr>
        <w:noBreakHyphen/>
        <w:t xml:space="preserve">6). </w:t>
      </w:r>
      <w:r w:rsidRPr="001B4A07" w:rsidR="003162CE">
        <w:rPr>
          <w:szCs w:val="22"/>
        </w:rPr>
        <w:t>I</w:t>
      </w:r>
      <w:r w:rsidRPr="001B4A07" w:rsidR="000A6994">
        <w:rPr>
          <w:szCs w:val="22"/>
        </w:rPr>
        <w:t>ncreased</w:t>
      </w:r>
      <w:r w:rsidRPr="00CA6DA7" w:rsidR="000A6994">
        <w:rPr>
          <w:szCs w:val="22"/>
        </w:rPr>
        <w:t xml:space="preserve"> transaminases were reported in 32.4% of patients with EBC</w:t>
      </w:r>
      <w:r w:rsidRPr="00CA6DA7" w:rsidR="00D651AF">
        <w:rPr>
          <w:szCs w:val="22"/>
        </w:rPr>
        <w:t>. Grade 3 and 4 increased transaminases were reported in 1.5% of patients with EBC.</w:t>
      </w:r>
      <w:r w:rsidRPr="00CA6DA7" w:rsidR="000A6994">
        <w:rPr>
          <w:szCs w:val="22"/>
        </w:rPr>
        <w:t xml:space="preserve"> </w:t>
      </w:r>
      <w:r w:rsidRPr="00CA6DA7" w:rsidR="00A4080A">
        <w:rPr>
          <w:szCs w:val="22"/>
        </w:rPr>
        <w:t>In general</w:t>
      </w:r>
      <w:r w:rsidRPr="00CA6DA7" w:rsidR="00A4080A">
        <w:rPr>
          <w:szCs w:val="22"/>
        </w:rPr>
        <w:t>, the Grade ≥ 3 hepatic events were not associated with poor clinical outcome; subsequent follow</w:t>
      </w:r>
      <w:r w:rsidRPr="00CA6DA7" w:rsidR="00A4080A">
        <w:rPr>
          <w:szCs w:val="22"/>
        </w:rPr>
        <w:noBreakHyphen/>
        <w:t xml:space="preserve">up values tended to show improvement to ranges allowing the patient to remain on study and continue to receive study treatment at the same or reduced dose. No </w:t>
      </w:r>
      <w:r w:rsidRPr="00CA6DA7" w:rsidR="00A4080A">
        <w:rPr>
          <w:szCs w:val="22"/>
        </w:rPr>
        <w:t>relationship was observed between trastuzumab emtansine exposure (AUC), trastuzumab emtansine maximum serum concentration (C</w:t>
      </w:r>
      <w:r w:rsidRPr="00CA6DA7" w:rsidR="00A4080A">
        <w:rPr>
          <w:szCs w:val="22"/>
          <w:vertAlign w:val="subscript"/>
        </w:rPr>
        <w:t>max</w:t>
      </w:r>
      <w:r w:rsidRPr="00CA6DA7" w:rsidR="00A4080A">
        <w:rPr>
          <w:szCs w:val="22"/>
        </w:rPr>
        <w:t>), total trastuzumab exposure (AUC), or C</w:t>
      </w:r>
      <w:r w:rsidRPr="001B4A07" w:rsidR="00A4080A">
        <w:rPr>
          <w:szCs w:val="22"/>
          <w:vertAlign w:val="subscript"/>
        </w:rPr>
        <w:t>max</w:t>
      </w:r>
      <w:r w:rsidRPr="001B4A07" w:rsidR="00A4080A">
        <w:rPr>
          <w:szCs w:val="22"/>
        </w:rPr>
        <w:t xml:space="preserve"> of DM1 and increases in transaminase. For dose modifications in the event of increased transaminases, see sections 4.2 and 4.4.</w:t>
      </w:r>
      <w:r w:rsidRPr="00A30921" w:rsidR="00A4080A">
        <w:rPr>
          <w:szCs w:val="22"/>
        </w:rPr>
        <w:t xml:space="preserve"> </w:t>
      </w:r>
    </w:p>
    <w:p w:rsidR="008D43BD" w:rsidRPr="00A30921" w:rsidP="00E36E57">
      <w:pPr>
        <w:suppressLineNumbers/>
        <w:rPr>
          <w:i/>
          <w:szCs w:val="22"/>
        </w:rPr>
      </w:pPr>
    </w:p>
    <w:p w:rsidR="008D43BD" w:rsidRPr="00A30921" w:rsidP="00E36E57">
      <w:pPr>
        <w:suppressLineNumbers/>
        <w:rPr>
          <w:i/>
          <w:szCs w:val="22"/>
        </w:rPr>
      </w:pPr>
      <w:r w:rsidRPr="00A30921" w:rsidR="00A4080A">
        <w:rPr>
          <w:i/>
          <w:szCs w:val="22"/>
        </w:rPr>
        <w:t>Left ventricular dysfunction</w:t>
      </w:r>
    </w:p>
    <w:p w:rsidR="008D43BD" w:rsidP="00E36E57">
      <w:pPr>
        <w:suppressLineNumbers/>
        <w:rPr>
          <w:szCs w:val="22"/>
        </w:rPr>
      </w:pPr>
      <w:r w:rsidRPr="00CA6DA7" w:rsidR="00A4080A">
        <w:rPr>
          <w:szCs w:val="22"/>
        </w:rPr>
        <w:t xml:space="preserve">Left ventricular dysfunction was reported in 2.2% of patients in </w:t>
      </w:r>
      <w:r w:rsidRPr="00CA6DA7" w:rsidR="00321091">
        <w:rPr>
          <w:szCs w:val="22"/>
        </w:rPr>
        <w:t xml:space="preserve">MBC </w:t>
      </w:r>
      <w:r w:rsidRPr="00CA6DA7" w:rsidR="00A4080A">
        <w:rPr>
          <w:szCs w:val="22"/>
        </w:rPr>
        <w:t>clinical studies with trastuzumab emtansine. The majority of events were asym</w:t>
      </w:r>
      <w:r w:rsidRPr="001B4A07" w:rsidR="00A4080A">
        <w:rPr>
          <w:szCs w:val="22"/>
        </w:rPr>
        <w:t>ptomatic Grade 1 or 2 decrease in L</w:t>
      </w:r>
      <w:r w:rsidRPr="001B4A07" w:rsidR="00A4080A">
        <w:rPr>
          <w:szCs w:val="22"/>
        </w:rPr>
        <w:t>VEF. Grade 3 or 4 events were reported in 0.4% of patients</w:t>
      </w:r>
      <w:r w:rsidRPr="003D51C6" w:rsidR="00321091">
        <w:rPr>
          <w:szCs w:val="22"/>
        </w:rPr>
        <w:t xml:space="preserve"> with MBC</w:t>
      </w:r>
      <w:r w:rsidRPr="003D51C6" w:rsidR="00A4080A">
        <w:rPr>
          <w:szCs w:val="22"/>
        </w:rPr>
        <w:t xml:space="preserve">. </w:t>
      </w:r>
      <w:r w:rsidRPr="003D51C6" w:rsidR="003162CE">
        <w:rPr>
          <w:szCs w:val="22"/>
        </w:rPr>
        <w:t>L</w:t>
      </w:r>
      <w:r w:rsidRPr="00CA6DA7" w:rsidR="00195830">
        <w:rPr>
          <w:szCs w:val="22"/>
        </w:rPr>
        <w:t xml:space="preserve">eft ventricular dysfunction occurred in 3.0% of patients with EBC, with Grade 3 or 4 in 0.5% of patients. </w:t>
      </w:r>
      <w:r w:rsidRPr="00CA6DA7" w:rsidR="00A4080A">
        <w:rPr>
          <w:szCs w:val="22"/>
        </w:rPr>
        <w:t xml:space="preserve">Additional LVEF monitoring is </w:t>
      </w:r>
      <w:r w:rsidRPr="001B4A07" w:rsidR="00A4080A">
        <w:rPr>
          <w:szCs w:val="22"/>
        </w:rPr>
        <w:t>recommended for patients with LVEF ≤ 45% (See Tabl</w:t>
      </w:r>
      <w:r w:rsidRPr="001B4A07" w:rsidR="00A4080A">
        <w:rPr>
          <w:szCs w:val="22"/>
        </w:rPr>
        <w:t>e 5 in section 4.2 for</w:t>
      </w:r>
      <w:r w:rsidRPr="00F574CC" w:rsidR="00A4080A">
        <w:rPr>
          <w:szCs w:val="22"/>
        </w:rPr>
        <w:t xml:space="preserve"> specific dose modifications). </w:t>
      </w:r>
    </w:p>
    <w:p w:rsidR="003F2B6C" w:rsidP="00E36E57">
      <w:pPr>
        <w:suppressLineNumbers/>
        <w:rPr>
          <w:szCs w:val="22"/>
        </w:rPr>
      </w:pPr>
    </w:p>
    <w:p w:rsidR="003F2B6C" w:rsidRPr="00CA6DA7" w:rsidP="00F96BA4">
      <w:pPr>
        <w:keepNext/>
        <w:suppressLineNumbers/>
        <w:rPr>
          <w:i/>
          <w:szCs w:val="22"/>
        </w:rPr>
      </w:pPr>
      <w:r w:rsidRPr="00CA6DA7">
        <w:rPr>
          <w:i/>
          <w:szCs w:val="22"/>
        </w:rPr>
        <w:t>Peripheral neuropathy</w:t>
      </w:r>
    </w:p>
    <w:p w:rsidR="001E1E24" w:rsidP="00F96BA4">
      <w:pPr>
        <w:keepNext/>
        <w:keepLines/>
        <w:rPr>
          <w:szCs w:val="22"/>
        </w:rPr>
      </w:pPr>
      <w:r w:rsidRPr="001E07C9" w:rsidR="00095DED">
        <w:rPr>
          <w:szCs w:val="22"/>
        </w:rPr>
        <w:t xml:space="preserve">Peripheral neuropathy, mainly as Grade 1 and predominantly sensory, was reported in clinical trials of </w:t>
      </w:r>
      <w:r w:rsidRPr="001E07C9" w:rsidR="00334B44">
        <w:rPr>
          <w:szCs w:val="22"/>
        </w:rPr>
        <w:t>trastuzumab emtansine</w:t>
      </w:r>
      <w:r w:rsidRPr="001E07C9" w:rsidR="008C0B6B">
        <w:rPr>
          <w:szCs w:val="22"/>
        </w:rPr>
        <w:t xml:space="preserve">. </w:t>
      </w:r>
      <w:r w:rsidRPr="001E07C9" w:rsidR="00095DED">
        <w:rPr>
          <w:szCs w:val="22"/>
        </w:rPr>
        <w:t xml:space="preserve">In </w:t>
      </w:r>
      <w:r w:rsidRPr="001E07C9" w:rsidR="00FA202F">
        <w:rPr>
          <w:szCs w:val="22"/>
        </w:rPr>
        <w:t>patients with MBC</w:t>
      </w:r>
      <w:r w:rsidRPr="001E07C9" w:rsidR="00095DED">
        <w:rPr>
          <w:szCs w:val="22"/>
        </w:rPr>
        <w:t xml:space="preserve">, the overall incidence of peripheral neuropathy was </w:t>
      </w:r>
      <w:r w:rsidRPr="001E07C9" w:rsidR="009F6CCF">
        <w:rPr>
          <w:szCs w:val="22"/>
        </w:rPr>
        <w:t>29.0</w:t>
      </w:r>
      <w:r w:rsidRPr="001E07C9" w:rsidR="00095DED">
        <w:rPr>
          <w:szCs w:val="22"/>
        </w:rPr>
        <w:t>%</w:t>
      </w:r>
      <w:r w:rsidRPr="001E07C9" w:rsidR="00334B44">
        <w:rPr>
          <w:szCs w:val="22"/>
        </w:rPr>
        <w:t xml:space="preserve"> and </w:t>
      </w:r>
      <w:r w:rsidRPr="001E07C9" w:rsidR="00114489">
        <w:rPr>
          <w:szCs w:val="22"/>
        </w:rPr>
        <w:t>8.6</w:t>
      </w:r>
      <w:r w:rsidRPr="001E07C9" w:rsidR="00334B44">
        <w:rPr>
          <w:szCs w:val="22"/>
        </w:rPr>
        <w:t>% for</w:t>
      </w:r>
      <w:r w:rsidRPr="001E07C9" w:rsidR="00FA202F">
        <w:rPr>
          <w:szCs w:val="22"/>
        </w:rPr>
        <w:t xml:space="preserve"> </w:t>
      </w:r>
      <w:r w:rsidRPr="001E07C9" w:rsidR="00095DED">
        <w:rPr>
          <w:szCs w:val="22"/>
        </w:rPr>
        <w:t xml:space="preserve">Grade ≥ </w:t>
      </w:r>
      <w:r w:rsidRPr="001E07C9" w:rsidR="00114489">
        <w:rPr>
          <w:szCs w:val="22"/>
        </w:rPr>
        <w:t>2</w:t>
      </w:r>
      <w:r w:rsidRPr="001E07C9" w:rsidR="00334B44">
        <w:rPr>
          <w:szCs w:val="22"/>
        </w:rPr>
        <w:t>. In patients with EBC,</w:t>
      </w:r>
      <w:r w:rsidRPr="001E07C9" w:rsidR="00095DED">
        <w:rPr>
          <w:szCs w:val="22"/>
        </w:rPr>
        <w:t xml:space="preserve"> </w:t>
      </w:r>
      <w:r w:rsidRPr="001E07C9" w:rsidR="00334B44">
        <w:rPr>
          <w:szCs w:val="22"/>
        </w:rPr>
        <w:t>t</w:t>
      </w:r>
      <w:r w:rsidRPr="001E07C9" w:rsidR="00095DED">
        <w:rPr>
          <w:szCs w:val="22"/>
        </w:rPr>
        <w:t xml:space="preserve">he overall incidence was </w:t>
      </w:r>
      <w:r w:rsidRPr="001E07C9" w:rsidR="004E38C1">
        <w:rPr>
          <w:szCs w:val="22"/>
        </w:rPr>
        <w:t>32.3</w:t>
      </w:r>
      <w:r w:rsidRPr="001E07C9" w:rsidR="00095DED">
        <w:rPr>
          <w:szCs w:val="22"/>
        </w:rPr>
        <w:t>%</w:t>
      </w:r>
      <w:r w:rsidRPr="001E07C9" w:rsidR="00556CF5">
        <w:rPr>
          <w:szCs w:val="22"/>
        </w:rPr>
        <w:t xml:space="preserve"> and </w:t>
      </w:r>
      <w:r w:rsidRPr="001E07C9" w:rsidR="00E16796">
        <w:rPr>
          <w:szCs w:val="22"/>
        </w:rPr>
        <w:t>10.3</w:t>
      </w:r>
      <w:r w:rsidRPr="001E07C9" w:rsidR="00556CF5">
        <w:rPr>
          <w:szCs w:val="22"/>
        </w:rPr>
        <w:t xml:space="preserve">% for Grade ≥ </w:t>
      </w:r>
      <w:r w:rsidRPr="001E07C9" w:rsidR="00E16796">
        <w:rPr>
          <w:szCs w:val="22"/>
        </w:rPr>
        <w:t>2</w:t>
      </w:r>
      <w:r w:rsidRPr="001E07C9" w:rsidR="00095DED">
        <w:rPr>
          <w:szCs w:val="22"/>
        </w:rPr>
        <w:t>.</w:t>
      </w:r>
      <w:r w:rsidRPr="00CA6DA7" w:rsidR="00095DED">
        <w:rPr>
          <w:szCs w:val="22"/>
        </w:rPr>
        <w:t xml:space="preserve"> </w:t>
      </w:r>
    </w:p>
    <w:p w:rsidR="003168AE" w:rsidP="003168AE">
      <w:pPr>
        <w:keepNext/>
        <w:keepLines/>
        <w:rPr>
          <w:szCs w:val="22"/>
        </w:rPr>
      </w:pPr>
    </w:p>
    <w:p w:rsidR="008D43BD" w:rsidRPr="00CA6DA7" w:rsidP="008D43BD">
      <w:pPr>
        <w:keepNext/>
        <w:keepLines/>
        <w:rPr>
          <w:i/>
          <w:szCs w:val="22"/>
        </w:rPr>
      </w:pPr>
      <w:r w:rsidRPr="00CA6DA7" w:rsidR="00A4080A">
        <w:rPr>
          <w:i/>
          <w:szCs w:val="22"/>
        </w:rPr>
        <w:t>Infusion</w:t>
      </w:r>
      <w:r w:rsidRPr="00CA6DA7" w:rsidR="00A4080A">
        <w:rPr>
          <w:i/>
          <w:szCs w:val="22"/>
        </w:rPr>
        <w:noBreakHyphen/>
        <w:t>related reactions</w:t>
      </w:r>
    </w:p>
    <w:p w:rsidR="008D43BD" w:rsidRPr="00B34766" w:rsidP="008D43BD">
      <w:pPr>
        <w:keepNext/>
        <w:suppressLineNumbers/>
        <w:rPr>
          <w:szCs w:val="22"/>
        </w:rPr>
      </w:pPr>
      <w:r w:rsidRPr="00CA6DA7" w:rsidR="00A4080A">
        <w:rPr>
          <w:szCs w:val="22"/>
        </w:rPr>
        <w:t>Infusion</w:t>
      </w:r>
      <w:r w:rsidRPr="00CA6DA7" w:rsidR="00A4080A">
        <w:rPr>
          <w:szCs w:val="22"/>
        </w:rPr>
        <w:noBreakHyphen/>
        <w:t xml:space="preserve">related reactions are characterised by one or more of the following symptoms: flushing, chills, pyrexia, dyspnoea, hypotension, </w:t>
      </w:r>
      <w:r w:rsidRPr="00CA6DA7" w:rsidR="00A4080A">
        <w:rPr>
          <w:szCs w:val="22"/>
        </w:rPr>
        <w:t>wheezing, bronchospasm and tachycardia. Infusion</w:t>
      </w:r>
      <w:r w:rsidRPr="00CA6DA7" w:rsidR="00A4080A">
        <w:rPr>
          <w:szCs w:val="22"/>
        </w:rPr>
        <w:noBreakHyphen/>
        <w:t xml:space="preserve">related reactions were reported in 4.0% of patients in </w:t>
      </w:r>
      <w:r w:rsidRPr="001B4A07" w:rsidR="00321091">
        <w:rPr>
          <w:szCs w:val="22"/>
        </w:rPr>
        <w:t xml:space="preserve">MBC </w:t>
      </w:r>
      <w:r w:rsidRPr="001B4A07" w:rsidR="00A4080A">
        <w:rPr>
          <w:szCs w:val="22"/>
        </w:rPr>
        <w:t>clinical studies with trastuzumab emtansine, with six Grade 3 and no Grade 4 events reported</w:t>
      </w:r>
      <w:r w:rsidRPr="003D51C6" w:rsidR="00A4080A">
        <w:rPr>
          <w:szCs w:val="22"/>
        </w:rPr>
        <w:t xml:space="preserve">. </w:t>
      </w:r>
      <w:r w:rsidRPr="003D51C6" w:rsidR="003162CE">
        <w:rPr>
          <w:szCs w:val="22"/>
        </w:rPr>
        <w:t>I</w:t>
      </w:r>
      <w:r w:rsidRPr="003D51C6" w:rsidR="00420B95">
        <w:rPr>
          <w:szCs w:val="22"/>
        </w:rPr>
        <w:t xml:space="preserve">nfusion-related reactions were reported in 1.6% of patients with EBC, with no Grade 3 or 4 events reported. </w:t>
      </w:r>
      <w:r w:rsidRPr="00B34766" w:rsidR="00A4080A">
        <w:rPr>
          <w:szCs w:val="22"/>
        </w:rPr>
        <w:t>Infusion</w:t>
      </w:r>
      <w:r w:rsidRPr="00B34766" w:rsidR="00A4080A">
        <w:rPr>
          <w:szCs w:val="22"/>
        </w:rPr>
        <w:noBreakHyphen/>
        <w:t>related reactions resolved over the course of several hours to a day after the infusion was terminated. No dose relationship was observed in clinical studies. For dose modifications in the event of infusion</w:t>
      </w:r>
      <w:r w:rsidRPr="00B34766" w:rsidR="00A4080A">
        <w:rPr>
          <w:szCs w:val="22"/>
        </w:rPr>
        <w:noBreakHyphen/>
        <w:t xml:space="preserve">related reactions, see sections 4.2 and 4.4. </w:t>
      </w:r>
    </w:p>
    <w:p w:rsidR="008D43BD" w:rsidRPr="00C35677" w:rsidP="008D43BD">
      <w:pPr>
        <w:keepNext/>
        <w:suppressLineNumbers/>
        <w:rPr>
          <w:i/>
          <w:szCs w:val="22"/>
        </w:rPr>
      </w:pPr>
    </w:p>
    <w:p w:rsidR="008D43BD" w:rsidRPr="00621665" w:rsidP="008D43BD">
      <w:pPr>
        <w:keepNext/>
        <w:suppressLineNumbers/>
        <w:rPr>
          <w:szCs w:val="22"/>
        </w:rPr>
      </w:pPr>
      <w:r w:rsidRPr="00621665" w:rsidR="00A4080A">
        <w:rPr>
          <w:i/>
          <w:szCs w:val="22"/>
        </w:rPr>
        <w:t>Hypersensitivity reactions</w:t>
      </w:r>
    </w:p>
    <w:p w:rsidR="008D43BD" w:rsidRPr="00B34766" w:rsidP="008D43BD">
      <w:pPr>
        <w:rPr>
          <w:b/>
          <w:szCs w:val="22"/>
          <w:u w:val="single"/>
        </w:rPr>
      </w:pPr>
      <w:r w:rsidRPr="00621665" w:rsidR="00A4080A">
        <w:rPr>
          <w:szCs w:val="22"/>
        </w:rPr>
        <w:t xml:space="preserve">Hypersensitivity was reported in 2.6% of patients in </w:t>
      </w:r>
      <w:r w:rsidRPr="00913B0D" w:rsidR="00DA3AE5">
        <w:rPr>
          <w:szCs w:val="22"/>
        </w:rPr>
        <w:t xml:space="preserve">MBC </w:t>
      </w:r>
      <w:r w:rsidRPr="00913B0D" w:rsidR="00A4080A">
        <w:rPr>
          <w:szCs w:val="22"/>
        </w:rPr>
        <w:t xml:space="preserve">clinical studies with trastuzumab emtansine, with one Grade 3 and one Grade 4 events reported. </w:t>
      </w:r>
      <w:r w:rsidRPr="003D51C6" w:rsidR="003162CE">
        <w:rPr>
          <w:szCs w:val="22"/>
        </w:rPr>
        <w:t>H</w:t>
      </w:r>
      <w:r w:rsidRPr="003D51C6" w:rsidR="00DA3AE5">
        <w:rPr>
          <w:szCs w:val="22"/>
        </w:rPr>
        <w:t xml:space="preserve">ypersensitivity was reported in </w:t>
      </w:r>
      <w:r w:rsidRPr="00B34766" w:rsidR="005423CE">
        <w:rPr>
          <w:szCs w:val="22"/>
        </w:rPr>
        <w:t>2.7</w:t>
      </w:r>
      <w:r w:rsidRPr="00B34766" w:rsidR="006B3623">
        <w:rPr>
          <w:szCs w:val="22"/>
        </w:rPr>
        <w:t xml:space="preserve">% of patients with EBC, with Grade 3 or 4 </w:t>
      </w:r>
      <w:r w:rsidRPr="00B34766" w:rsidR="007A0E0C">
        <w:rPr>
          <w:szCs w:val="22"/>
        </w:rPr>
        <w:t xml:space="preserve">in </w:t>
      </w:r>
      <w:r w:rsidRPr="00C35677" w:rsidR="007A0E0C">
        <w:rPr>
          <w:szCs w:val="22"/>
        </w:rPr>
        <w:t>0.4% of patients</w:t>
      </w:r>
      <w:r w:rsidRPr="00C35677" w:rsidR="006B3623">
        <w:rPr>
          <w:szCs w:val="22"/>
        </w:rPr>
        <w:t xml:space="preserve">. </w:t>
      </w:r>
      <w:r w:rsidRPr="00621665" w:rsidR="00A4080A">
        <w:rPr>
          <w:szCs w:val="22"/>
        </w:rPr>
        <w:t>Overall</w:t>
      </w:r>
      <w:r w:rsidRPr="00CA6DA7" w:rsidR="00A4080A">
        <w:rPr>
          <w:szCs w:val="22"/>
        </w:rPr>
        <w:t>, the majority of hypersensitivity reactions were mild or moderate in severity and</w:t>
      </w:r>
      <w:r w:rsidRPr="001B4A07" w:rsidR="00A4080A">
        <w:rPr>
          <w:szCs w:val="22"/>
        </w:rPr>
        <w:t xml:space="preserve"> resolved upon treatment. For dose modifications </w:t>
      </w:r>
      <w:r w:rsidRPr="003D51C6" w:rsidR="00A4080A">
        <w:rPr>
          <w:szCs w:val="22"/>
        </w:rPr>
        <w:t xml:space="preserve">in the event of hypersensitivity reactions, see sections 4.2 and 4.4. </w:t>
      </w:r>
    </w:p>
    <w:p w:rsidR="008D43BD" w:rsidRPr="00F574CC" w:rsidP="008D43BD">
      <w:pPr>
        <w:rPr>
          <w:szCs w:val="22"/>
        </w:rPr>
      </w:pPr>
    </w:p>
    <w:p w:rsidR="008D43BD" w:rsidRPr="00F574CC" w:rsidP="008D43BD">
      <w:pPr>
        <w:keepNext/>
        <w:rPr>
          <w:i/>
          <w:szCs w:val="22"/>
        </w:rPr>
      </w:pPr>
      <w:r w:rsidRPr="00F574CC" w:rsidR="00A4080A">
        <w:rPr>
          <w:i/>
          <w:szCs w:val="22"/>
        </w:rPr>
        <w:t>Immunogenicity</w:t>
      </w:r>
    </w:p>
    <w:p w:rsidR="008D43BD" w:rsidRPr="00F574CC" w:rsidP="008D43BD">
      <w:pPr>
        <w:rPr>
          <w:szCs w:val="22"/>
        </w:rPr>
      </w:pPr>
      <w:r w:rsidRPr="00FB5D35" w:rsidR="00A4080A">
        <w:rPr>
          <w:szCs w:val="22"/>
        </w:rPr>
        <w:t xml:space="preserve">As with all therapeutic proteins, there is the potential for an immune response to trastuzumab emtansine. A total of 1243 patients from seven clinical studies were tested at multiple time points for anti-drug antibody (ADA) responses to trastuzumab emtansine. Following </w:t>
      </w:r>
      <w:r w:rsidRPr="00F574CC" w:rsidR="00A4080A">
        <w:rPr>
          <w:szCs w:val="22"/>
        </w:rPr>
        <w:t>trastuzumab emtansine</w:t>
      </w:r>
      <w:r w:rsidRPr="006F38C9" w:rsidR="00A4080A">
        <w:rPr>
          <w:szCs w:val="22"/>
        </w:rPr>
        <w:t xml:space="preserve"> dosing, 5.</w:t>
      </w:r>
      <w:r w:rsidR="00A4080A">
        <w:rPr>
          <w:szCs w:val="22"/>
        </w:rPr>
        <w:t>1</w:t>
      </w:r>
      <w:r w:rsidRPr="006F38C9" w:rsidR="00A4080A">
        <w:rPr>
          <w:szCs w:val="22"/>
        </w:rPr>
        <w:t>% (</w:t>
      </w:r>
      <w:r w:rsidR="00A4080A">
        <w:rPr>
          <w:szCs w:val="22"/>
        </w:rPr>
        <w:t>63</w:t>
      </w:r>
      <w:r w:rsidRPr="006F38C9" w:rsidR="00A4080A">
        <w:rPr>
          <w:szCs w:val="22"/>
        </w:rPr>
        <w:t>/</w:t>
      </w:r>
      <w:r w:rsidR="00A4080A">
        <w:rPr>
          <w:szCs w:val="22"/>
        </w:rPr>
        <w:t>1243</w:t>
      </w:r>
      <w:r w:rsidRPr="006F38C9" w:rsidR="00A4080A">
        <w:rPr>
          <w:szCs w:val="22"/>
        </w:rPr>
        <w:t>) of patients tested positive for anti-</w:t>
      </w:r>
      <w:r w:rsidRPr="00F574CC" w:rsidR="00A4080A">
        <w:rPr>
          <w:szCs w:val="22"/>
        </w:rPr>
        <w:t>trastuzumab emtansine</w:t>
      </w:r>
      <w:r w:rsidRPr="006F38C9" w:rsidR="00A4080A">
        <w:rPr>
          <w:szCs w:val="22"/>
        </w:rPr>
        <w:t xml:space="preserve"> antibodies at one or more post-dose time points. </w:t>
      </w:r>
      <w:r w:rsidRPr="00113711" w:rsidR="00A4080A">
        <w:rPr>
          <w:szCs w:val="22"/>
        </w:rPr>
        <w:t>In the Phase I and Phase II studies, 6.4% (24/376) of patients tested positive for anti-</w:t>
      </w:r>
      <w:r w:rsidRPr="001456AB" w:rsidR="001456AB">
        <w:rPr>
          <w:szCs w:val="22"/>
        </w:rPr>
        <w:t xml:space="preserve"> </w:t>
      </w:r>
      <w:r w:rsidRPr="00F574CC" w:rsidR="001456AB">
        <w:rPr>
          <w:szCs w:val="22"/>
        </w:rPr>
        <w:t>trastuzumab emtansine</w:t>
      </w:r>
      <w:r w:rsidRPr="00113711" w:rsidR="00A4080A">
        <w:rPr>
          <w:szCs w:val="22"/>
        </w:rPr>
        <w:t xml:space="preserve"> antibodies.</w:t>
      </w:r>
      <w:r w:rsidR="00A4080A">
        <w:rPr>
          <w:szCs w:val="22"/>
        </w:rPr>
        <w:t xml:space="preserve"> </w:t>
      </w:r>
      <w:r w:rsidRPr="00FB5D35" w:rsidR="00A4080A">
        <w:rPr>
          <w:szCs w:val="22"/>
        </w:rPr>
        <w:t>In the EMILIA study (TDM4370g/BO21977), 5.2% (24/466) of patients tested positive for anti-</w:t>
      </w:r>
      <w:r w:rsidR="00F55C5F">
        <w:rPr>
          <w:szCs w:val="22"/>
        </w:rPr>
        <w:t>trastuzumab emtansine</w:t>
      </w:r>
      <w:r w:rsidRPr="00FB5D35" w:rsidR="00A4080A">
        <w:rPr>
          <w:szCs w:val="22"/>
        </w:rPr>
        <w:t xml:space="preserve"> antibodies, of which 13 were also positive for neutralizing antibodies. In the KATHERINE (BO27938) study, 3.7% (15/401) of patients tested positive for anti-</w:t>
      </w:r>
      <w:r w:rsidRPr="00F574CC" w:rsidR="00A4080A">
        <w:rPr>
          <w:szCs w:val="22"/>
        </w:rPr>
        <w:t>trastuzumab emtansine</w:t>
      </w:r>
      <w:r w:rsidRPr="00FB5D35" w:rsidR="00A4080A">
        <w:rPr>
          <w:szCs w:val="22"/>
        </w:rPr>
        <w:t xml:space="preserve"> antibodies, of which 5 were also positive for neutralizing antibodies. Due to the low incidence of ADA, conclusions cannot be made on the impact of anti-</w:t>
      </w:r>
      <w:r w:rsidRPr="001456AB" w:rsidR="001456AB">
        <w:rPr>
          <w:szCs w:val="22"/>
        </w:rPr>
        <w:t xml:space="preserve"> </w:t>
      </w:r>
      <w:r w:rsidRPr="00F574CC" w:rsidR="001456AB">
        <w:rPr>
          <w:szCs w:val="22"/>
        </w:rPr>
        <w:t>trastuzumab emtansine</w:t>
      </w:r>
      <w:r w:rsidRPr="006F38C9" w:rsidR="001456AB">
        <w:rPr>
          <w:szCs w:val="22"/>
        </w:rPr>
        <w:t xml:space="preserve"> </w:t>
      </w:r>
      <w:r w:rsidRPr="00FB5D35" w:rsidR="00A4080A">
        <w:rPr>
          <w:szCs w:val="22"/>
        </w:rPr>
        <w:t xml:space="preserve">antibodies on the pharmacokinetics, safety, and efficacy of </w:t>
      </w:r>
      <w:r w:rsidRPr="00F574CC" w:rsidR="001456AB">
        <w:rPr>
          <w:szCs w:val="22"/>
        </w:rPr>
        <w:t>trastuzumab emtansine</w:t>
      </w:r>
      <w:r w:rsidRPr="00F574CC" w:rsidR="00A4080A">
        <w:rPr>
          <w:szCs w:val="22"/>
        </w:rPr>
        <w:t xml:space="preserve">. </w:t>
      </w:r>
    </w:p>
    <w:p w:rsidR="008D43BD" w:rsidP="008D43BD">
      <w:pPr>
        <w:rPr>
          <w:szCs w:val="22"/>
        </w:rPr>
      </w:pPr>
    </w:p>
    <w:p w:rsidR="008D43BD" w:rsidRPr="00F574CC" w:rsidP="008D43BD">
      <w:pPr>
        <w:keepNext/>
        <w:rPr>
          <w:i/>
        </w:rPr>
      </w:pPr>
      <w:r w:rsidRPr="00F574CC" w:rsidR="00A4080A">
        <w:rPr>
          <w:i/>
        </w:rPr>
        <w:t>Extravasation</w:t>
      </w:r>
    </w:p>
    <w:p w:rsidR="008D43BD" w:rsidRPr="00A30921" w:rsidP="008D43BD">
      <w:r w:rsidRPr="00F574CC" w:rsidR="00A4080A">
        <w:t>Reactions secondary to extravasation have been observed in clinical studies with trastuzumab emtansine. These reactions were usually mild or moderate and comprised erythema, tenderness, skin irritation, pain, or swelling at the infusion site. These reactions</w:t>
      </w:r>
      <w:r w:rsidRPr="00A30921" w:rsidR="00A4080A">
        <w:t xml:space="preserve"> have been observed more frequently within 24 hours of infusion. Specific treatment for trastuzumab emtansine extravasation is unknown at this time. </w:t>
      </w:r>
    </w:p>
    <w:p w:rsidR="008D43BD" w:rsidRPr="00A30921" w:rsidP="008D43BD">
      <w:pPr>
        <w:rPr>
          <w:szCs w:val="22"/>
          <w:u w:val="single"/>
        </w:rPr>
      </w:pPr>
    </w:p>
    <w:p w:rsidR="008D43BD" w:rsidRPr="00A30921" w:rsidP="008D43BD">
      <w:pPr>
        <w:rPr>
          <w:szCs w:val="22"/>
          <w:u w:val="single"/>
        </w:rPr>
      </w:pPr>
      <w:r w:rsidRPr="00A30921" w:rsidR="00A4080A">
        <w:rPr>
          <w:szCs w:val="22"/>
          <w:u w:val="single"/>
        </w:rPr>
        <w:t>Laboratory abnormalities</w:t>
      </w:r>
    </w:p>
    <w:p w:rsidR="008D43BD" w:rsidRPr="00A30921" w:rsidP="008D43BD">
      <w:pPr>
        <w:rPr>
          <w:szCs w:val="22"/>
        </w:rPr>
      </w:pPr>
    </w:p>
    <w:p w:rsidR="008D43BD" w:rsidP="008D43BD">
      <w:pPr>
        <w:rPr>
          <w:szCs w:val="22"/>
        </w:rPr>
      </w:pPr>
      <w:r w:rsidRPr="00CA6DA7" w:rsidR="00A4080A">
        <w:rPr>
          <w:szCs w:val="22"/>
        </w:rPr>
        <w:t>Table</w:t>
      </w:r>
      <w:r w:rsidRPr="00CA6DA7" w:rsidR="00F93065">
        <w:rPr>
          <w:szCs w:val="22"/>
        </w:rPr>
        <w:t>s</w:t>
      </w:r>
      <w:r w:rsidRPr="00CA6DA7" w:rsidR="00A4080A">
        <w:rPr>
          <w:szCs w:val="22"/>
        </w:rPr>
        <w:t> </w:t>
      </w:r>
      <w:r w:rsidRPr="00CA6DA7" w:rsidR="001E7191">
        <w:rPr>
          <w:szCs w:val="22"/>
        </w:rPr>
        <w:t xml:space="preserve">4 </w:t>
      </w:r>
      <w:r w:rsidRPr="00CA6DA7" w:rsidR="00F93065">
        <w:rPr>
          <w:szCs w:val="22"/>
        </w:rPr>
        <w:t xml:space="preserve">and 5 </w:t>
      </w:r>
      <w:r w:rsidRPr="00CA6DA7" w:rsidR="00A4080A">
        <w:rPr>
          <w:szCs w:val="22"/>
        </w:rPr>
        <w:t>displays laboratory abnormalities observed in patients treated with trastuzumab emtansine in clinical study TDM4370g/BO21977</w:t>
      </w:r>
      <w:r w:rsidRPr="00CA6DA7" w:rsidR="005A54E4">
        <w:rPr>
          <w:szCs w:val="22"/>
        </w:rPr>
        <w:t>/EMIL</w:t>
      </w:r>
      <w:r w:rsidRPr="00CA6DA7" w:rsidR="00406AD2">
        <w:rPr>
          <w:szCs w:val="22"/>
        </w:rPr>
        <w:t>I</w:t>
      </w:r>
      <w:r w:rsidRPr="00CA6DA7" w:rsidR="005A54E4">
        <w:rPr>
          <w:szCs w:val="22"/>
        </w:rPr>
        <w:t>A</w:t>
      </w:r>
      <w:r w:rsidRPr="00CA6DA7" w:rsidR="002C203B">
        <w:rPr>
          <w:szCs w:val="22"/>
        </w:rPr>
        <w:t xml:space="preserve"> and study BO27938</w:t>
      </w:r>
      <w:r w:rsidRPr="00CA6DA7" w:rsidR="005A54E4">
        <w:rPr>
          <w:szCs w:val="22"/>
        </w:rPr>
        <w:t>/KATHERINE</w:t>
      </w:r>
      <w:r w:rsidRPr="00CA6DA7" w:rsidR="00A4080A">
        <w:rPr>
          <w:szCs w:val="22"/>
        </w:rPr>
        <w:t>.</w:t>
      </w:r>
    </w:p>
    <w:p w:rsidR="00585600" w:rsidP="008D43BD">
      <w:pPr>
        <w:rPr>
          <w:szCs w:val="22"/>
        </w:rPr>
      </w:pPr>
    </w:p>
    <w:p w:rsidR="008D43BD" w:rsidRPr="00A30921" w:rsidP="008D43BD">
      <w:pPr>
        <w:keepNext/>
        <w:keepLines/>
        <w:ind w:left="993" w:hanging="993"/>
        <w:rPr>
          <w:b/>
          <w:szCs w:val="22"/>
        </w:rPr>
      </w:pPr>
      <w:r w:rsidRPr="00A30921" w:rsidR="00A4080A">
        <w:rPr>
          <w:b/>
          <w:szCs w:val="22"/>
        </w:rPr>
        <w:t>Table </w:t>
      </w:r>
      <w:r w:rsidR="00A4080A">
        <w:rPr>
          <w:b/>
          <w:szCs w:val="22"/>
        </w:rPr>
        <w:t>4</w:t>
      </w:r>
      <w:r w:rsidRPr="00A30921" w:rsidR="00A4080A">
        <w:rPr>
          <w:b/>
          <w:szCs w:val="22"/>
        </w:rPr>
        <w:tab/>
        <w:t xml:space="preserve">Laboratory abnormalities observed in patients treated with trastuzumab emtansine in </w:t>
      </w:r>
      <w:r w:rsidRPr="00CA6DA7" w:rsidR="00A4080A">
        <w:rPr>
          <w:b/>
          <w:szCs w:val="22"/>
        </w:rPr>
        <w:t>study TDM4370g/BO21977</w:t>
      </w:r>
      <w:r w:rsidRPr="00CA6DA7" w:rsidR="00CE069C">
        <w:rPr>
          <w:b/>
          <w:szCs w:val="22"/>
        </w:rPr>
        <w:t>/EMILIA</w:t>
      </w:r>
    </w:p>
    <w:p w:rsidR="008D43BD" w:rsidRPr="00A30921" w:rsidP="008D43BD">
      <w:pPr>
        <w:keepNext/>
        <w:keepLines/>
        <w:ind w:left="993" w:hanging="993"/>
        <w:rPr>
          <w:b/>
          <w:szCs w:val="22"/>
        </w:rPr>
      </w:pPr>
    </w:p>
    <w:tbl>
      <w:tblPr>
        <w:tblStyle w:val="TableNormal"/>
        <w:tblW w:w="8655" w:type="dxa"/>
        <w:tblInd w:w="93" w:type="dxa"/>
        <w:tblLook w:val="04A0"/>
      </w:tblPr>
      <w:tblGrid>
        <w:gridCol w:w="3885"/>
        <w:gridCol w:w="1530"/>
        <w:gridCol w:w="1710"/>
        <w:gridCol w:w="1530"/>
      </w:tblGrid>
      <w:tr w:rsidTr="008D43BD">
        <w:tblPrEx>
          <w:tblW w:w="8655" w:type="dxa"/>
          <w:tblInd w:w="93" w:type="dxa"/>
          <w:tblLook w:val="04A0"/>
        </w:tblPrEx>
        <w:trPr>
          <w:trHeight w:val="300"/>
        </w:trPr>
        <w:tc>
          <w:tcPr>
            <w:tcW w:w="3885"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8D43BD" w:rsidRPr="00A30921" w:rsidP="008D43BD">
            <w:pPr>
              <w:pStyle w:val="Default"/>
              <w:keepNext/>
              <w:ind w:left="-1" w:firstLine="1"/>
              <w:jc w:val="center"/>
              <w:rPr>
                <w:rFonts w:eastAsia="Times New Roman"/>
                <w:b/>
                <w:color w:val="auto"/>
                <w:sz w:val="22"/>
                <w:szCs w:val="22"/>
                <w:lang w:eastAsia="ja-JP"/>
              </w:rPr>
            </w:pPr>
            <w:r w:rsidRPr="00A30921" w:rsidR="00A4080A">
              <w:rPr>
                <w:rFonts w:eastAsia="Times New Roman"/>
                <w:b/>
                <w:color w:val="auto"/>
                <w:sz w:val="22"/>
                <w:szCs w:val="22"/>
                <w:lang w:eastAsia="ja-JP"/>
              </w:rPr>
              <w:t>Parameter</w:t>
            </w:r>
          </w:p>
        </w:tc>
        <w:tc>
          <w:tcPr>
            <w:tcW w:w="4770" w:type="dxa"/>
            <w:gridSpan w:val="3"/>
            <w:tcBorders>
              <w:top w:val="single" w:sz="4" w:space="0" w:color="auto"/>
              <w:left w:val="nil"/>
              <w:bottom w:val="single" w:sz="4" w:space="0" w:color="auto"/>
              <w:right w:val="single" w:sz="4" w:space="0" w:color="auto"/>
            </w:tcBorders>
            <w:shd w:val="clear" w:color="auto" w:fill="auto"/>
            <w:noWrap/>
            <w:vAlign w:val="bottom"/>
          </w:tcPr>
          <w:p w:rsidR="008D43BD" w:rsidRPr="00A30921" w:rsidP="008D43BD">
            <w:pPr>
              <w:pStyle w:val="Default"/>
              <w:keepNext/>
              <w:ind w:left="-1" w:firstLine="1"/>
              <w:jc w:val="center"/>
              <w:rPr>
                <w:rFonts w:eastAsia="Times New Roman"/>
                <w:b/>
                <w:color w:val="auto"/>
                <w:sz w:val="22"/>
                <w:szCs w:val="22"/>
                <w:lang w:eastAsia="ja-JP"/>
              </w:rPr>
            </w:pPr>
            <w:r w:rsidRPr="00A30921" w:rsidR="00A4080A">
              <w:rPr>
                <w:rFonts w:eastAsia="Times New Roman"/>
                <w:b/>
                <w:color w:val="auto"/>
                <w:sz w:val="22"/>
                <w:szCs w:val="22"/>
                <w:lang w:eastAsia="ja-JP"/>
              </w:rPr>
              <w:t xml:space="preserve">Trastuzumab </w:t>
            </w:r>
            <w:r w:rsidRPr="003168AE" w:rsidR="00A4080A">
              <w:rPr>
                <w:rFonts w:eastAsia="Times New Roman"/>
                <w:b/>
                <w:color w:val="auto"/>
                <w:sz w:val="22"/>
                <w:szCs w:val="22"/>
                <w:lang w:eastAsia="ja-JP"/>
              </w:rPr>
              <w:t>emtansine</w:t>
            </w:r>
            <w:r w:rsidRPr="003168AE" w:rsidR="00E16796">
              <w:rPr>
                <w:rFonts w:eastAsia="Times New Roman"/>
                <w:b/>
                <w:color w:val="auto"/>
                <w:sz w:val="22"/>
                <w:szCs w:val="22"/>
                <w:lang w:eastAsia="ja-JP"/>
              </w:rPr>
              <w:t xml:space="preserve"> (N=490)</w:t>
            </w:r>
          </w:p>
        </w:tc>
      </w:tr>
      <w:tr w:rsidTr="008D43BD">
        <w:tblPrEx>
          <w:tblW w:w="8655" w:type="dxa"/>
          <w:tblInd w:w="93" w:type="dxa"/>
          <w:tblLook w:val="04A0"/>
        </w:tblPrEx>
        <w:trPr>
          <w:trHeight w:val="300"/>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8D43BD" w:rsidRPr="00A30921" w:rsidP="008D43BD">
            <w:pPr>
              <w:pStyle w:val="Default"/>
              <w:keepNext/>
              <w:ind w:left="-1" w:firstLine="1"/>
              <w:jc w:val="center"/>
              <w:rPr>
                <w:rFonts w:eastAsia="Times New Roman"/>
                <w:b/>
                <w:color w:val="auto"/>
                <w:sz w:val="22"/>
                <w:szCs w:val="22"/>
                <w:lang w:eastAsia="ja-JP"/>
              </w:rPr>
            </w:pPr>
          </w:p>
        </w:tc>
        <w:tc>
          <w:tcPr>
            <w:tcW w:w="1530" w:type="dxa"/>
            <w:tcBorders>
              <w:top w:val="nil"/>
              <w:left w:val="nil"/>
              <w:bottom w:val="single" w:sz="4" w:space="0" w:color="auto"/>
              <w:right w:val="single" w:sz="4" w:space="0" w:color="auto"/>
            </w:tcBorders>
            <w:shd w:val="clear" w:color="auto" w:fill="auto"/>
            <w:noWrap/>
            <w:vAlign w:val="bottom"/>
          </w:tcPr>
          <w:p w:rsidR="008D43BD" w:rsidRPr="00A30921" w:rsidP="008D43BD">
            <w:pPr>
              <w:pStyle w:val="Default"/>
              <w:keepNext/>
              <w:ind w:left="-1" w:firstLine="1"/>
              <w:jc w:val="center"/>
              <w:rPr>
                <w:rFonts w:eastAsia="Times New Roman"/>
                <w:b/>
                <w:color w:val="auto"/>
                <w:sz w:val="22"/>
                <w:szCs w:val="22"/>
                <w:lang w:eastAsia="ja-JP"/>
              </w:rPr>
            </w:pPr>
            <w:r w:rsidRPr="00A30921" w:rsidR="00A4080A">
              <w:rPr>
                <w:rFonts w:eastAsia="Times New Roman"/>
                <w:b/>
                <w:color w:val="auto"/>
                <w:sz w:val="22"/>
                <w:szCs w:val="22"/>
                <w:lang w:eastAsia="ja-JP"/>
              </w:rPr>
              <w:t>All Grades (%)</w:t>
            </w:r>
          </w:p>
        </w:tc>
        <w:tc>
          <w:tcPr>
            <w:tcW w:w="1710" w:type="dxa"/>
            <w:tcBorders>
              <w:top w:val="nil"/>
              <w:left w:val="nil"/>
              <w:bottom w:val="single" w:sz="4" w:space="0" w:color="auto"/>
              <w:right w:val="single" w:sz="4" w:space="0" w:color="auto"/>
            </w:tcBorders>
            <w:shd w:val="clear" w:color="auto" w:fill="auto"/>
            <w:noWrap/>
            <w:vAlign w:val="bottom"/>
          </w:tcPr>
          <w:p w:rsidR="008D43BD" w:rsidRPr="00A30921" w:rsidP="008D43BD">
            <w:pPr>
              <w:pStyle w:val="Default"/>
              <w:keepNext/>
              <w:ind w:left="-1" w:firstLine="1"/>
              <w:jc w:val="center"/>
              <w:rPr>
                <w:rFonts w:eastAsia="Times New Roman"/>
                <w:b/>
                <w:color w:val="auto"/>
                <w:sz w:val="22"/>
                <w:szCs w:val="22"/>
                <w:lang w:eastAsia="ja-JP"/>
              </w:rPr>
            </w:pPr>
            <w:r w:rsidRPr="00A30921" w:rsidR="00A4080A">
              <w:rPr>
                <w:rFonts w:eastAsia="Times New Roman"/>
                <w:b/>
                <w:color w:val="auto"/>
                <w:sz w:val="22"/>
                <w:szCs w:val="22"/>
                <w:lang w:eastAsia="ja-JP"/>
              </w:rPr>
              <w:t>Grade 3 (%)</w:t>
            </w:r>
          </w:p>
        </w:tc>
        <w:tc>
          <w:tcPr>
            <w:tcW w:w="1530" w:type="dxa"/>
            <w:tcBorders>
              <w:top w:val="nil"/>
              <w:left w:val="nil"/>
              <w:bottom w:val="single" w:sz="4" w:space="0" w:color="auto"/>
              <w:right w:val="single" w:sz="4" w:space="0" w:color="auto"/>
            </w:tcBorders>
            <w:shd w:val="clear" w:color="auto" w:fill="auto"/>
            <w:noWrap/>
            <w:vAlign w:val="bottom"/>
          </w:tcPr>
          <w:p w:rsidR="008D43BD" w:rsidRPr="00A30921" w:rsidP="008D43BD">
            <w:pPr>
              <w:pStyle w:val="Default"/>
              <w:keepNext/>
              <w:ind w:left="-1" w:firstLine="1"/>
              <w:jc w:val="center"/>
              <w:rPr>
                <w:rFonts w:eastAsia="Times New Roman"/>
                <w:b/>
                <w:color w:val="auto"/>
                <w:sz w:val="22"/>
                <w:szCs w:val="22"/>
                <w:lang w:eastAsia="ja-JP"/>
              </w:rPr>
            </w:pPr>
            <w:r w:rsidRPr="00A30921" w:rsidR="00A4080A">
              <w:rPr>
                <w:rFonts w:eastAsia="Times New Roman"/>
                <w:b/>
                <w:color w:val="auto"/>
                <w:sz w:val="22"/>
                <w:szCs w:val="22"/>
                <w:lang w:eastAsia="ja-JP"/>
              </w:rPr>
              <w:t>Grade 4 (%)</w:t>
            </w:r>
          </w:p>
        </w:tc>
      </w:tr>
      <w:tr w:rsidTr="008D43BD">
        <w:tblPrEx>
          <w:tblW w:w="8655" w:type="dxa"/>
          <w:tblInd w:w="93" w:type="dxa"/>
          <w:tblLook w:val="04A0"/>
        </w:tblPrEx>
        <w:trPr>
          <w:trHeight w:val="300"/>
        </w:trPr>
        <w:tc>
          <w:tcPr>
            <w:tcW w:w="8655"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8D43BD" w:rsidRPr="00A30921" w:rsidP="008D43BD">
            <w:pPr>
              <w:keepNext/>
              <w:keepLines/>
              <w:rPr>
                <w:b/>
                <w:szCs w:val="22"/>
              </w:rPr>
            </w:pPr>
            <w:r w:rsidRPr="00A30921" w:rsidR="00A4080A">
              <w:rPr>
                <w:b/>
                <w:szCs w:val="22"/>
              </w:rPr>
              <w:t>Hepatic</w:t>
            </w:r>
          </w:p>
        </w:tc>
      </w:tr>
      <w:tr w:rsidTr="008D43BD">
        <w:tblPrEx>
          <w:tblW w:w="8655" w:type="dxa"/>
          <w:tblInd w:w="93" w:type="dxa"/>
          <w:tblLook w:val="04A0"/>
        </w:tblPrEx>
        <w:trPr>
          <w:trHeight w:val="300"/>
        </w:trPr>
        <w:tc>
          <w:tcPr>
            <w:tcW w:w="3885" w:type="dxa"/>
            <w:tcBorders>
              <w:top w:val="nil"/>
              <w:left w:val="single" w:sz="4" w:space="0" w:color="auto"/>
              <w:bottom w:val="single" w:sz="4" w:space="0" w:color="auto"/>
              <w:right w:val="single" w:sz="4" w:space="0" w:color="auto"/>
            </w:tcBorders>
            <w:shd w:val="clear" w:color="auto" w:fill="auto"/>
            <w:noWrap/>
            <w:vAlign w:val="bottom"/>
          </w:tcPr>
          <w:p w:rsidR="008D43BD" w:rsidRPr="00A30921" w:rsidP="008D43BD">
            <w:pPr>
              <w:keepNext/>
              <w:rPr>
                <w:szCs w:val="22"/>
              </w:rPr>
            </w:pPr>
            <w:r w:rsidRPr="00A30921" w:rsidR="00A4080A">
              <w:rPr>
                <w:szCs w:val="22"/>
              </w:rPr>
              <w:t>Increased bilirubin</w:t>
            </w:r>
          </w:p>
        </w:tc>
        <w:tc>
          <w:tcPr>
            <w:tcW w:w="1530" w:type="dxa"/>
            <w:tcBorders>
              <w:top w:val="nil"/>
              <w:left w:val="nil"/>
              <w:bottom w:val="single" w:sz="4" w:space="0" w:color="auto"/>
              <w:right w:val="single" w:sz="4" w:space="0" w:color="auto"/>
            </w:tcBorders>
            <w:shd w:val="clear" w:color="auto" w:fill="auto"/>
            <w:noWrap/>
            <w:vAlign w:val="bottom"/>
          </w:tcPr>
          <w:p w:rsidR="008D43BD" w:rsidRPr="00A30921" w:rsidP="008D43BD">
            <w:pPr>
              <w:keepNext/>
              <w:jc w:val="center"/>
              <w:rPr>
                <w:szCs w:val="22"/>
              </w:rPr>
            </w:pPr>
            <w:r w:rsidR="00A4080A">
              <w:rPr>
                <w:szCs w:val="22"/>
              </w:rPr>
              <w:t>21</w:t>
            </w:r>
          </w:p>
        </w:tc>
        <w:tc>
          <w:tcPr>
            <w:tcW w:w="1710" w:type="dxa"/>
            <w:tcBorders>
              <w:top w:val="nil"/>
              <w:left w:val="nil"/>
              <w:bottom w:val="single" w:sz="4" w:space="0" w:color="auto"/>
              <w:right w:val="single" w:sz="4" w:space="0" w:color="auto"/>
            </w:tcBorders>
            <w:shd w:val="clear" w:color="auto" w:fill="auto"/>
            <w:noWrap/>
            <w:vAlign w:val="bottom"/>
          </w:tcPr>
          <w:p w:rsidR="008D43BD" w:rsidRPr="00A30921" w:rsidP="008D43BD">
            <w:pPr>
              <w:keepNext/>
              <w:jc w:val="center"/>
              <w:rPr>
                <w:szCs w:val="22"/>
              </w:rPr>
            </w:pPr>
            <w:r w:rsidRPr="00A30921" w:rsidR="00A4080A">
              <w:rPr>
                <w:szCs w:val="22"/>
              </w:rPr>
              <w:t>&lt; 1</w:t>
            </w:r>
          </w:p>
        </w:tc>
        <w:tc>
          <w:tcPr>
            <w:tcW w:w="1530" w:type="dxa"/>
            <w:tcBorders>
              <w:top w:val="nil"/>
              <w:left w:val="nil"/>
              <w:bottom w:val="single" w:sz="4" w:space="0" w:color="auto"/>
              <w:right w:val="single" w:sz="4" w:space="0" w:color="auto"/>
            </w:tcBorders>
            <w:shd w:val="clear" w:color="auto" w:fill="auto"/>
            <w:noWrap/>
            <w:vAlign w:val="bottom"/>
          </w:tcPr>
          <w:p w:rsidR="008D43BD" w:rsidRPr="00A30921" w:rsidP="008D43BD">
            <w:pPr>
              <w:keepNext/>
              <w:jc w:val="center"/>
              <w:rPr>
                <w:szCs w:val="22"/>
              </w:rPr>
            </w:pPr>
            <w:r w:rsidRPr="00A30921" w:rsidR="00A4080A">
              <w:rPr>
                <w:szCs w:val="22"/>
              </w:rPr>
              <w:t>0</w:t>
            </w:r>
          </w:p>
        </w:tc>
      </w:tr>
      <w:tr w:rsidTr="008D43BD">
        <w:tblPrEx>
          <w:tblW w:w="8655" w:type="dxa"/>
          <w:tblInd w:w="93" w:type="dxa"/>
          <w:tblLook w:val="04A0"/>
        </w:tblPrEx>
        <w:trPr>
          <w:trHeight w:val="300"/>
        </w:trPr>
        <w:tc>
          <w:tcPr>
            <w:tcW w:w="3885" w:type="dxa"/>
            <w:tcBorders>
              <w:top w:val="nil"/>
              <w:left w:val="single" w:sz="4" w:space="0" w:color="auto"/>
              <w:bottom w:val="single" w:sz="4" w:space="0" w:color="auto"/>
              <w:right w:val="single" w:sz="4" w:space="0" w:color="auto"/>
            </w:tcBorders>
            <w:shd w:val="clear" w:color="auto" w:fill="auto"/>
            <w:noWrap/>
            <w:vAlign w:val="bottom"/>
          </w:tcPr>
          <w:p w:rsidR="008D43BD" w:rsidRPr="00A30921" w:rsidP="008D43BD">
            <w:pPr>
              <w:keepNext/>
              <w:rPr>
                <w:szCs w:val="22"/>
              </w:rPr>
            </w:pPr>
            <w:r w:rsidRPr="00A30921" w:rsidR="00A4080A">
              <w:rPr>
                <w:szCs w:val="22"/>
              </w:rPr>
              <w:t>Increased AST</w:t>
            </w:r>
          </w:p>
        </w:tc>
        <w:tc>
          <w:tcPr>
            <w:tcW w:w="1530" w:type="dxa"/>
            <w:tcBorders>
              <w:top w:val="nil"/>
              <w:left w:val="nil"/>
              <w:bottom w:val="single" w:sz="4" w:space="0" w:color="auto"/>
              <w:right w:val="single" w:sz="4" w:space="0" w:color="auto"/>
            </w:tcBorders>
            <w:shd w:val="clear" w:color="auto" w:fill="auto"/>
            <w:noWrap/>
            <w:vAlign w:val="bottom"/>
          </w:tcPr>
          <w:p w:rsidR="008D43BD" w:rsidRPr="00A30921" w:rsidP="008D43BD">
            <w:pPr>
              <w:keepNext/>
              <w:jc w:val="center"/>
              <w:rPr>
                <w:szCs w:val="22"/>
              </w:rPr>
            </w:pPr>
            <w:r w:rsidRPr="00A30921" w:rsidR="00A4080A">
              <w:rPr>
                <w:szCs w:val="22"/>
              </w:rPr>
              <w:t>98</w:t>
            </w:r>
          </w:p>
        </w:tc>
        <w:tc>
          <w:tcPr>
            <w:tcW w:w="1710" w:type="dxa"/>
            <w:tcBorders>
              <w:top w:val="nil"/>
              <w:left w:val="nil"/>
              <w:bottom w:val="single" w:sz="4" w:space="0" w:color="auto"/>
              <w:right w:val="single" w:sz="4" w:space="0" w:color="auto"/>
            </w:tcBorders>
            <w:shd w:val="clear" w:color="auto" w:fill="auto"/>
            <w:noWrap/>
            <w:vAlign w:val="bottom"/>
          </w:tcPr>
          <w:p w:rsidR="008D43BD" w:rsidRPr="00A30921" w:rsidP="008D43BD">
            <w:pPr>
              <w:keepNext/>
              <w:jc w:val="center"/>
              <w:rPr>
                <w:szCs w:val="22"/>
              </w:rPr>
            </w:pPr>
            <w:r w:rsidR="00A4080A">
              <w:rPr>
                <w:szCs w:val="22"/>
              </w:rPr>
              <w:t>8</w:t>
            </w:r>
          </w:p>
        </w:tc>
        <w:tc>
          <w:tcPr>
            <w:tcW w:w="1530" w:type="dxa"/>
            <w:tcBorders>
              <w:top w:val="nil"/>
              <w:left w:val="nil"/>
              <w:bottom w:val="single" w:sz="4" w:space="0" w:color="auto"/>
              <w:right w:val="single" w:sz="4" w:space="0" w:color="auto"/>
            </w:tcBorders>
            <w:shd w:val="clear" w:color="auto" w:fill="auto"/>
            <w:noWrap/>
            <w:vAlign w:val="bottom"/>
          </w:tcPr>
          <w:p w:rsidR="008D43BD" w:rsidRPr="00A30921" w:rsidP="008D43BD">
            <w:pPr>
              <w:keepNext/>
              <w:jc w:val="center"/>
              <w:rPr>
                <w:szCs w:val="22"/>
              </w:rPr>
            </w:pPr>
            <w:r w:rsidRPr="00A30921" w:rsidR="00A4080A">
              <w:rPr>
                <w:szCs w:val="22"/>
              </w:rPr>
              <w:t>&lt; 1</w:t>
            </w:r>
          </w:p>
        </w:tc>
      </w:tr>
      <w:tr w:rsidTr="008D43BD">
        <w:tblPrEx>
          <w:tblW w:w="8655" w:type="dxa"/>
          <w:tblInd w:w="93" w:type="dxa"/>
          <w:tblLook w:val="04A0"/>
        </w:tblPrEx>
        <w:trPr>
          <w:trHeight w:val="300"/>
        </w:trPr>
        <w:tc>
          <w:tcPr>
            <w:tcW w:w="3885" w:type="dxa"/>
            <w:tcBorders>
              <w:top w:val="nil"/>
              <w:left w:val="single" w:sz="4" w:space="0" w:color="auto"/>
              <w:bottom w:val="single" w:sz="4" w:space="0" w:color="auto"/>
              <w:right w:val="single" w:sz="4" w:space="0" w:color="auto"/>
            </w:tcBorders>
            <w:shd w:val="clear" w:color="auto" w:fill="auto"/>
            <w:noWrap/>
            <w:vAlign w:val="bottom"/>
          </w:tcPr>
          <w:p w:rsidR="008D43BD" w:rsidRPr="00A30921" w:rsidP="008D43BD">
            <w:pPr>
              <w:keepNext/>
              <w:rPr>
                <w:szCs w:val="22"/>
              </w:rPr>
            </w:pPr>
            <w:r w:rsidRPr="00A30921" w:rsidR="00A4080A">
              <w:rPr>
                <w:szCs w:val="22"/>
              </w:rPr>
              <w:t>Increased ALT</w:t>
            </w:r>
          </w:p>
        </w:tc>
        <w:tc>
          <w:tcPr>
            <w:tcW w:w="1530" w:type="dxa"/>
            <w:tcBorders>
              <w:top w:val="nil"/>
              <w:left w:val="nil"/>
              <w:bottom w:val="single" w:sz="4" w:space="0" w:color="auto"/>
              <w:right w:val="single" w:sz="4" w:space="0" w:color="auto"/>
            </w:tcBorders>
            <w:shd w:val="clear" w:color="auto" w:fill="auto"/>
            <w:noWrap/>
            <w:vAlign w:val="bottom"/>
          </w:tcPr>
          <w:p w:rsidR="008D43BD" w:rsidRPr="00A30921" w:rsidP="008D43BD">
            <w:pPr>
              <w:keepNext/>
              <w:jc w:val="center"/>
              <w:rPr>
                <w:szCs w:val="22"/>
              </w:rPr>
            </w:pPr>
            <w:r w:rsidRPr="00A30921" w:rsidR="00A4080A">
              <w:rPr>
                <w:szCs w:val="22"/>
              </w:rPr>
              <w:t>82</w:t>
            </w:r>
          </w:p>
        </w:tc>
        <w:tc>
          <w:tcPr>
            <w:tcW w:w="1710" w:type="dxa"/>
            <w:tcBorders>
              <w:top w:val="nil"/>
              <w:left w:val="nil"/>
              <w:bottom w:val="single" w:sz="4" w:space="0" w:color="auto"/>
              <w:right w:val="single" w:sz="4" w:space="0" w:color="auto"/>
            </w:tcBorders>
            <w:shd w:val="clear" w:color="auto" w:fill="auto"/>
            <w:noWrap/>
            <w:vAlign w:val="bottom"/>
          </w:tcPr>
          <w:p w:rsidR="008D43BD" w:rsidRPr="00A30921" w:rsidP="008D43BD">
            <w:pPr>
              <w:keepNext/>
              <w:jc w:val="center"/>
              <w:rPr>
                <w:szCs w:val="22"/>
              </w:rPr>
            </w:pPr>
            <w:r w:rsidRPr="00A30921" w:rsidR="00A4080A">
              <w:rPr>
                <w:szCs w:val="22"/>
              </w:rPr>
              <w:t>5</w:t>
            </w:r>
          </w:p>
        </w:tc>
        <w:tc>
          <w:tcPr>
            <w:tcW w:w="1530" w:type="dxa"/>
            <w:tcBorders>
              <w:top w:val="nil"/>
              <w:left w:val="nil"/>
              <w:bottom w:val="single" w:sz="4" w:space="0" w:color="auto"/>
              <w:right w:val="single" w:sz="4" w:space="0" w:color="auto"/>
            </w:tcBorders>
            <w:shd w:val="clear" w:color="auto" w:fill="auto"/>
            <w:noWrap/>
            <w:vAlign w:val="bottom"/>
          </w:tcPr>
          <w:p w:rsidR="008D43BD" w:rsidRPr="00A30921" w:rsidP="008D43BD">
            <w:pPr>
              <w:keepNext/>
              <w:jc w:val="center"/>
              <w:rPr>
                <w:szCs w:val="22"/>
              </w:rPr>
            </w:pPr>
            <w:r w:rsidRPr="00A30921" w:rsidR="00A4080A">
              <w:rPr>
                <w:szCs w:val="22"/>
              </w:rPr>
              <w:t>&lt; 1</w:t>
            </w:r>
          </w:p>
        </w:tc>
      </w:tr>
      <w:tr w:rsidTr="008D43BD">
        <w:tblPrEx>
          <w:tblW w:w="8655" w:type="dxa"/>
          <w:tblInd w:w="93" w:type="dxa"/>
          <w:tblLook w:val="04A0"/>
        </w:tblPrEx>
        <w:trPr>
          <w:trHeight w:val="300"/>
        </w:trPr>
        <w:tc>
          <w:tcPr>
            <w:tcW w:w="8655"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8D43BD" w:rsidRPr="00A30921" w:rsidP="008D43BD">
            <w:pPr>
              <w:keepNext/>
              <w:rPr>
                <w:b/>
                <w:szCs w:val="22"/>
              </w:rPr>
            </w:pPr>
            <w:r w:rsidRPr="00A30921" w:rsidR="00A4080A">
              <w:rPr>
                <w:b/>
                <w:szCs w:val="22"/>
              </w:rPr>
              <w:t>Haematologic</w:t>
            </w:r>
          </w:p>
        </w:tc>
      </w:tr>
      <w:tr w:rsidTr="008D43BD">
        <w:tblPrEx>
          <w:tblW w:w="8655" w:type="dxa"/>
          <w:tblInd w:w="93" w:type="dxa"/>
          <w:tblLook w:val="04A0"/>
        </w:tblPrEx>
        <w:trPr>
          <w:trHeight w:val="300"/>
        </w:trPr>
        <w:tc>
          <w:tcPr>
            <w:tcW w:w="38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43BD" w:rsidRPr="00CA6DA7" w:rsidP="008D43BD">
            <w:pPr>
              <w:keepNext/>
              <w:rPr>
                <w:szCs w:val="22"/>
              </w:rPr>
            </w:pPr>
            <w:r w:rsidRPr="00CA6DA7" w:rsidR="00A4080A">
              <w:rPr>
                <w:szCs w:val="22"/>
              </w:rPr>
              <w:t>Decreased platelet</w:t>
            </w:r>
            <w:r w:rsidRPr="00CA6DA7" w:rsidR="00091B59">
              <w:rPr>
                <w:szCs w:val="22"/>
              </w:rPr>
              <w:t xml:space="preserve"> count</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8D43BD" w:rsidRPr="001B4A07" w:rsidP="008D43BD">
            <w:pPr>
              <w:keepNext/>
              <w:jc w:val="center"/>
              <w:rPr>
                <w:szCs w:val="22"/>
              </w:rPr>
            </w:pPr>
            <w:r w:rsidRPr="001B4A07" w:rsidR="00A4080A">
              <w:rPr>
                <w:szCs w:val="22"/>
              </w:rPr>
              <w:t>85</w:t>
            </w:r>
          </w:p>
        </w:tc>
        <w:tc>
          <w:tcPr>
            <w:tcW w:w="1710" w:type="dxa"/>
            <w:tcBorders>
              <w:top w:val="single" w:sz="4" w:space="0" w:color="auto"/>
              <w:left w:val="nil"/>
              <w:bottom w:val="single" w:sz="4" w:space="0" w:color="auto"/>
              <w:right w:val="single" w:sz="4" w:space="0" w:color="auto"/>
            </w:tcBorders>
            <w:shd w:val="clear" w:color="auto" w:fill="auto"/>
            <w:noWrap/>
            <w:vAlign w:val="bottom"/>
          </w:tcPr>
          <w:p w:rsidR="008D43BD" w:rsidRPr="00B34766" w:rsidP="008D43BD">
            <w:pPr>
              <w:keepNext/>
              <w:jc w:val="center"/>
              <w:rPr>
                <w:szCs w:val="22"/>
              </w:rPr>
            </w:pPr>
            <w:r w:rsidRPr="00B34766" w:rsidR="00A4080A">
              <w:rPr>
                <w:szCs w:val="22"/>
              </w:rPr>
              <w:t>14</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8D43BD" w:rsidRPr="00A30921" w:rsidP="008D43BD">
            <w:pPr>
              <w:keepNext/>
              <w:jc w:val="center"/>
              <w:rPr>
                <w:szCs w:val="22"/>
              </w:rPr>
            </w:pPr>
            <w:r w:rsidRPr="00B34766" w:rsidR="00A4080A">
              <w:rPr>
                <w:szCs w:val="22"/>
              </w:rPr>
              <w:t>3</w:t>
            </w:r>
          </w:p>
        </w:tc>
      </w:tr>
      <w:tr w:rsidTr="008D43BD">
        <w:tblPrEx>
          <w:tblW w:w="8655" w:type="dxa"/>
          <w:tblInd w:w="93" w:type="dxa"/>
          <w:tblLook w:val="04A0"/>
        </w:tblPrEx>
        <w:trPr>
          <w:trHeight w:val="300"/>
        </w:trPr>
        <w:tc>
          <w:tcPr>
            <w:tcW w:w="3885" w:type="dxa"/>
            <w:tcBorders>
              <w:top w:val="nil"/>
              <w:left w:val="single" w:sz="4" w:space="0" w:color="auto"/>
              <w:bottom w:val="single" w:sz="4" w:space="0" w:color="auto"/>
              <w:right w:val="single" w:sz="4" w:space="0" w:color="auto"/>
            </w:tcBorders>
            <w:shd w:val="clear" w:color="auto" w:fill="auto"/>
            <w:noWrap/>
            <w:vAlign w:val="bottom"/>
          </w:tcPr>
          <w:p w:rsidR="008D43BD" w:rsidRPr="00A30921" w:rsidP="008D43BD">
            <w:pPr>
              <w:keepNext/>
              <w:rPr>
                <w:szCs w:val="22"/>
              </w:rPr>
            </w:pPr>
            <w:r w:rsidRPr="00A30921" w:rsidR="00A4080A">
              <w:rPr>
                <w:szCs w:val="22"/>
              </w:rPr>
              <w:t>Decreased haemoglobin</w:t>
            </w:r>
          </w:p>
        </w:tc>
        <w:tc>
          <w:tcPr>
            <w:tcW w:w="1530" w:type="dxa"/>
            <w:tcBorders>
              <w:top w:val="nil"/>
              <w:left w:val="nil"/>
              <w:bottom w:val="single" w:sz="4" w:space="0" w:color="auto"/>
              <w:right w:val="single" w:sz="4" w:space="0" w:color="auto"/>
            </w:tcBorders>
            <w:shd w:val="clear" w:color="auto" w:fill="auto"/>
            <w:noWrap/>
            <w:vAlign w:val="bottom"/>
          </w:tcPr>
          <w:p w:rsidR="008D43BD" w:rsidRPr="00A30921" w:rsidP="008D43BD">
            <w:pPr>
              <w:keepNext/>
              <w:jc w:val="center"/>
              <w:rPr>
                <w:szCs w:val="22"/>
              </w:rPr>
            </w:pPr>
            <w:r w:rsidR="00A4080A">
              <w:rPr>
                <w:szCs w:val="22"/>
              </w:rPr>
              <w:t>63</w:t>
            </w:r>
          </w:p>
        </w:tc>
        <w:tc>
          <w:tcPr>
            <w:tcW w:w="1710" w:type="dxa"/>
            <w:tcBorders>
              <w:top w:val="nil"/>
              <w:left w:val="nil"/>
              <w:bottom w:val="single" w:sz="4" w:space="0" w:color="auto"/>
              <w:right w:val="single" w:sz="4" w:space="0" w:color="auto"/>
            </w:tcBorders>
            <w:shd w:val="clear" w:color="auto" w:fill="auto"/>
            <w:noWrap/>
            <w:vAlign w:val="bottom"/>
          </w:tcPr>
          <w:p w:rsidR="008D43BD" w:rsidRPr="00A30921" w:rsidP="008D43BD">
            <w:pPr>
              <w:keepNext/>
              <w:jc w:val="center"/>
              <w:rPr>
                <w:szCs w:val="22"/>
              </w:rPr>
            </w:pPr>
            <w:r w:rsidR="00A4080A">
              <w:rPr>
                <w:szCs w:val="22"/>
              </w:rPr>
              <w:t>5</w:t>
            </w:r>
          </w:p>
        </w:tc>
        <w:tc>
          <w:tcPr>
            <w:tcW w:w="1530" w:type="dxa"/>
            <w:tcBorders>
              <w:top w:val="nil"/>
              <w:left w:val="nil"/>
              <w:bottom w:val="single" w:sz="4" w:space="0" w:color="auto"/>
              <w:right w:val="single" w:sz="4" w:space="0" w:color="auto"/>
            </w:tcBorders>
            <w:shd w:val="clear" w:color="auto" w:fill="auto"/>
            <w:noWrap/>
            <w:vAlign w:val="bottom"/>
          </w:tcPr>
          <w:p w:rsidR="008D43BD" w:rsidRPr="00A30921" w:rsidP="008D43BD">
            <w:pPr>
              <w:keepNext/>
              <w:jc w:val="center"/>
              <w:rPr>
                <w:szCs w:val="22"/>
              </w:rPr>
            </w:pPr>
            <w:r w:rsidRPr="00A30921" w:rsidR="00A4080A">
              <w:rPr>
                <w:szCs w:val="22"/>
              </w:rPr>
              <w:t>1</w:t>
            </w:r>
          </w:p>
        </w:tc>
      </w:tr>
      <w:tr w:rsidTr="008D43BD">
        <w:tblPrEx>
          <w:tblW w:w="8655" w:type="dxa"/>
          <w:tblInd w:w="93" w:type="dxa"/>
          <w:tblLook w:val="04A0"/>
        </w:tblPrEx>
        <w:trPr>
          <w:trHeight w:val="300"/>
        </w:trPr>
        <w:tc>
          <w:tcPr>
            <w:tcW w:w="3885" w:type="dxa"/>
            <w:tcBorders>
              <w:top w:val="nil"/>
              <w:left w:val="single" w:sz="4" w:space="0" w:color="auto"/>
              <w:bottom w:val="single" w:sz="4" w:space="0" w:color="auto"/>
              <w:right w:val="single" w:sz="4" w:space="0" w:color="auto"/>
            </w:tcBorders>
            <w:shd w:val="clear" w:color="auto" w:fill="auto"/>
            <w:noWrap/>
            <w:vAlign w:val="bottom"/>
          </w:tcPr>
          <w:p w:rsidR="008D43BD" w:rsidRPr="00A30921" w:rsidP="008D43BD">
            <w:pPr>
              <w:keepNext/>
              <w:rPr>
                <w:szCs w:val="22"/>
              </w:rPr>
            </w:pPr>
            <w:r w:rsidRPr="00A30921" w:rsidR="00A4080A">
              <w:rPr>
                <w:szCs w:val="22"/>
              </w:rPr>
              <w:t>Decreased neutrophils</w:t>
            </w:r>
          </w:p>
        </w:tc>
        <w:tc>
          <w:tcPr>
            <w:tcW w:w="1530" w:type="dxa"/>
            <w:tcBorders>
              <w:top w:val="nil"/>
              <w:left w:val="nil"/>
              <w:bottom w:val="single" w:sz="4" w:space="0" w:color="auto"/>
              <w:right w:val="single" w:sz="4" w:space="0" w:color="auto"/>
            </w:tcBorders>
            <w:shd w:val="clear" w:color="auto" w:fill="auto"/>
            <w:noWrap/>
            <w:vAlign w:val="bottom"/>
          </w:tcPr>
          <w:p w:rsidR="008D43BD" w:rsidRPr="00A30921" w:rsidP="008D43BD">
            <w:pPr>
              <w:keepNext/>
              <w:jc w:val="center"/>
              <w:rPr>
                <w:szCs w:val="22"/>
              </w:rPr>
            </w:pPr>
            <w:r w:rsidR="00A4080A">
              <w:rPr>
                <w:szCs w:val="22"/>
              </w:rPr>
              <w:t>41</w:t>
            </w:r>
          </w:p>
        </w:tc>
        <w:tc>
          <w:tcPr>
            <w:tcW w:w="1710" w:type="dxa"/>
            <w:tcBorders>
              <w:top w:val="nil"/>
              <w:left w:val="nil"/>
              <w:bottom w:val="single" w:sz="4" w:space="0" w:color="auto"/>
              <w:right w:val="single" w:sz="4" w:space="0" w:color="auto"/>
            </w:tcBorders>
            <w:shd w:val="clear" w:color="auto" w:fill="auto"/>
            <w:noWrap/>
            <w:vAlign w:val="bottom"/>
          </w:tcPr>
          <w:p w:rsidR="008D43BD" w:rsidRPr="00A30921" w:rsidP="008D43BD">
            <w:pPr>
              <w:keepNext/>
              <w:jc w:val="center"/>
              <w:rPr>
                <w:szCs w:val="22"/>
              </w:rPr>
            </w:pPr>
            <w:r w:rsidRPr="00A30921" w:rsidR="00A4080A">
              <w:rPr>
                <w:szCs w:val="22"/>
              </w:rPr>
              <w:t>4</w:t>
            </w:r>
          </w:p>
        </w:tc>
        <w:tc>
          <w:tcPr>
            <w:tcW w:w="1530" w:type="dxa"/>
            <w:tcBorders>
              <w:top w:val="nil"/>
              <w:left w:val="nil"/>
              <w:bottom w:val="single" w:sz="4" w:space="0" w:color="auto"/>
              <w:right w:val="single" w:sz="4" w:space="0" w:color="auto"/>
            </w:tcBorders>
            <w:shd w:val="clear" w:color="auto" w:fill="auto"/>
            <w:noWrap/>
            <w:vAlign w:val="bottom"/>
          </w:tcPr>
          <w:p w:rsidR="008D43BD" w:rsidRPr="00A30921" w:rsidP="008D43BD">
            <w:pPr>
              <w:keepNext/>
              <w:jc w:val="center"/>
              <w:rPr>
                <w:szCs w:val="22"/>
              </w:rPr>
            </w:pPr>
            <w:r w:rsidRPr="00A30921" w:rsidR="00A4080A">
              <w:rPr>
                <w:szCs w:val="22"/>
              </w:rPr>
              <w:t>&lt; 1</w:t>
            </w:r>
          </w:p>
        </w:tc>
      </w:tr>
      <w:tr w:rsidTr="008D43BD">
        <w:tblPrEx>
          <w:tblW w:w="8655" w:type="dxa"/>
          <w:tblInd w:w="93" w:type="dxa"/>
          <w:tblLook w:val="04A0"/>
        </w:tblPrEx>
        <w:trPr>
          <w:trHeight w:val="300"/>
        </w:trPr>
        <w:tc>
          <w:tcPr>
            <w:tcW w:w="8655"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8D43BD" w:rsidRPr="00A30921" w:rsidP="008D43BD">
            <w:pPr>
              <w:keepNext/>
              <w:rPr>
                <w:b/>
                <w:szCs w:val="22"/>
              </w:rPr>
            </w:pPr>
            <w:r w:rsidRPr="00A30921" w:rsidR="00A4080A">
              <w:rPr>
                <w:b/>
                <w:szCs w:val="22"/>
              </w:rPr>
              <w:t>Potassium</w:t>
            </w:r>
          </w:p>
        </w:tc>
      </w:tr>
      <w:tr w:rsidTr="008D43BD">
        <w:tblPrEx>
          <w:tblW w:w="8655" w:type="dxa"/>
          <w:tblInd w:w="93" w:type="dxa"/>
          <w:tblLook w:val="04A0"/>
        </w:tblPrEx>
        <w:trPr>
          <w:trHeight w:val="58"/>
        </w:trPr>
        <w:tc>
          <w:tcPr>
            <w:tcW w:w="38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43BD" w:rsidRPr="00A30921" w:rsidP="008D43BD">
            <w:pPr>
              <w:keepNext/>
              <w:rPr>
                <w:szCs w:val="22"/>
              </w:rPr>
            </w:pPr>
            <w:r w:rsidRPr="00A30921" w:rsidR="00A4080A">
              <w:rPr>
                <w:szCs w:val="22"/>
              </w:rPr>
              <w:t>Decreased potassium</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8D43BD" w:rsidRPr="00A30921" w:rsidP="008D43BD">
            <w:pPr>
              <w:keepNext/>
              <w:jc w:val="center"/>
              <w:rPr>
                <w:szCs w:val="22"/>
              </w:rPr>
            </w:pPr>
            <w:r w:rsidR="00A4080A">
              <w:rPr>
                <w:szCs w:val="22"/>
              </w:rPr>
              <w:t>35</w:t>
            </w:r>
          </w:p>
        </w:tc>
        <w:tc>
          <w:tcPr>
            <w:tcW w:w="1710" w:type="dxa"/>
            <w:tcBorders>
              <w:top w:val="single" w:sz="4" w:space="0" w:color="auto"/>
              <w:left w:val="nil"/>
              <w:bottom w:val="single" w:sz="4" w:space="0" w:color="auto"/>
              <w:right w:val="single" w:sz="4" w:space="0" w:color="auto"/>
            </w:tcBorders>
            <w:shd w:val="clear" w:color="auto" w:fill="auto"/>
            <w:noWrap/>
            <w:vAlign w:val="bottom"/>
          </w:tcPr>
          <w:p w:rsidR="008D43BD" w:rsidRPr="00A30921" w:rsidP="008D43BD">
            <w:pPr>
              <w:keepNext/>
              <w:jc w:val="center"/>
              <w:rPr>
                <w:szCs w:val="22"/>
              </w:rPr>
            </w:pPr>
            <w:r w:rsidRPr="00A30921" w:rsidR="00A4080A">
              <w:rPr>
                <w:szCs w:val="22"/>
              </w:rPr>
              <w:t>3</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8D43BD" w:rsidRPr="00A30921" w:rsidP="008D43BD">
            <w:pPr>
              <w:keepNext/>
              <w:jc w:val="center"/>
              <w:rPr>
                <w:szCs w:val="22"/>
              </w:rPr>
            </w:pPr>
            <w:r w:rsidRPr="00A30921" w:rsidR="00A4080A">
              <w:rPr>
                <w:szCs w:val="22"/>
              </w:rPr>
              <w:t>&lt;</w:t>
            </w:r>
            <w:r w:rsidR="00A4080A">
              <w:rPr>
                <w:szCs w:val="22"/>
              </w:rPr>
              <w:t xml:space="preserve"> </w:t>
            </w:r>
            <w:r w:rsidRPr="00A30921" w:rsidR="00A4080A">
              <w:rPr>
                <w:szCs w:val="22"/>
              </w:rPr>
              <w:t>1</w:t>
            </w:r>
          </w:p>
        </w:tc>
      </w:tr>
    </w:tbl>
    <w:p w:rsidR="00091B59" w:rsidP="008D43BD">
      <w:pPr>
        <w:rPr>
          <w:szCs w:val="22"/>
        </w:rPr>
      </w:pPr>
    </w:p>
    <w:p w:rsidR="002D09F0" w:rsidRPr="00CA6DA7" w:rsidP="008D43BD">
      <w:pPr>
        <w:rPr>
          <w:b/>
          <w:szCs w:val="22"/>
        </w:rPr>
      </w:pPr>
      <w:r w:rsidRPr="00CA6DA7">
        <w:rPr>
          <w:b/>
          <w:szCs w:val="22"/>
        </w:rPr>
        <w:t>Table </w:t>
      </w:r>
      <w:r w:rsidRPr="00CA6DA7" w:rsidR="008A2E93">
        <w:rPr>
          <w:b/>
          <w:szCs w:val="22"/>
        </w:rPr>
        <w:t>5</w:t>
      </w:r>
      <w:r w:rsidRPr="00CA6DA7">
        <w:rPr>
          <w:b/>
          <w:szCs w:val="22"/>
        </w:rPr>
        <w:tab/>
        <w:t xml:space="preserve">Laboratory abnormalities observed in patients treated with trastuzumab emtansine in study </w:t>
      </w:r>
      <w:r w:rsidRPr="00CA6DA7" w:rsidR="009C63D1">
        <w:rPr>
          <w:b/>
          <w:szCs w:val="22"/>
        </w:rPr>
        <w:t>BO27938</w:t>
      </w:r>
      <w:r w:rsidRPr="00CA6DA7" w:rsidR="00CE069C">
        <w:rPr>
          <w:b/>
          <w:szCs w:val="22"/>
        </w:rPr>
        <w:t>/KATHERINE</w:t>
      </w:r>
    </w:p>
    <w:p w:rsidR="009E62AA" w:rsidRPr="00CA6DA7" w:rsidP="008D43BD">
      <w:pPr>
        <w:rPr>
          <w:szCs w:val="22"/>
        </w:rPr>
      </w:pPr>
    </w:p>
    <w:tbl>
      <w:tblPr>
        <w:tblStyle w:val="TableNormal"/>
        <w:tblW w:w="8655" w:type="dxa"/>
        <w:tblInd w:w="93" w:type="dxa"/>
        <w:tblLook w:val="04A0"/>
      </w:tblPr>
      <w:tblGrid>
        <w:gridCol w:w="3885"/>
        <w:gridCol w:w="1530"/>
        <w:gridCol w:w="1710"/>
        <w:gridCol w:w="1530"/>
      </w:tblGrid>
      <w:tr w:rsidTr="009E62AA">
        <w:tblPrEx>
          <w:tblW w:w="8655" w:type="dxa"/>
          <w:tblInd w:w="93" w:type="dxa"/>
          <w:tblLook w:val="04A0"/>
        </w:tblPrEx>
        <w:trPr>
          <w:trHeight w:val="300"/>
        </w:trPr>
        <w:tc>
          <w:tcPr>
            <w:tcW w:w="3885"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9E62AA" w:rsidRPr="00CA6DA7" w:rsidP="009E62AA">
            <w:pPr>
              <w:pStyle w:val="Default"/>
              <w:keepNext/>
              <w:ind w:left="-1" w:firstLine="1"/>
              <w:jc w:val="center"/>
              <w:rPr>
                <w:rFonts w:eastAsia="Times New Roman"/>
                <w:b/>
                <w:color w:val="auto"/>
                <w:sz w:val="22"/>
                <w:szCs w:val="22"/>
                <w:lang w:eastAsia="ja-JP"/>
              </w:rPr>
            </w:pPr>
            <w:r w:rsidRPr="00CA6DA7">
              <w:rPr>
                <w:rFonts w:eastAsia="Times New Roman"/>
                <w:b/>
                <w:color w:val="auto"/>
                <w:sz w:val="22"/>
                <w:szCs w:val="22"/>
                <w:lang w:eastAsia="ja-JP"/>
              </w:rPr>
              <w:t>Parameter</w:t>
            </w:r>
          </w:p>
        </w:tc>
        <w:tc>
          <w:tcPr>
            <w:tcW w:w="4770" w:type="dxa"/>
            <w:gridSpan w:val="3"/>
            <w:tcBorders>
              <w:top w:val="single" w:sz="4" w:space="0" w:color="auto"/>
              <w:left w:val="nil"/>
              <w:bottom w:val="single" w:sz="4" w:space="0" w:color="auto"/>
              <w:right w:val="single" w:sz="4" w:space="0" w:color="auto"/>
            </w:tcBorders>
            <w:shd w:val="clear" w:color="auto" w:fill="auto"/>
            <w:noWrap/>
            <w:vAlign w:val="center"/>
          </w:tcPr>
          <w:p w:rsidR="009E62AA" w:rsidRPr="00CA6DA7" w:rsidP="009E62AA">
            <w:pPr>
              <w:pStyle w:val="Default"/>
              <w:keepNext/>
              <w:ind w:left="-1" w:firstLine="1"/>
              <w:jc w:val="center"/>
              <w:rPr>
                <w:rFonts w:eastAsia="Times New Roman"/>
                <w:b/>
                <w:color w:val="auto"/>
                <w:sz w:val="22"/>
                <w:szCs w:val="22"/>
                <w:lang w:val="de-DE" w:eastAsia="ja-JP"/>
              </w:rPr>
            </w:pPr>
            <w:r w:rsidRPr="00CA6DA7">
              <w:rPr>
                <w:rFonts w:eastAsia="Times New Roman"/>
                <w:b/>
                <w:color w:val="auto"/>
                <w:sz w:val="22"/>
                <w:szCs w:val="22"/>
                <w:lang w:val="de-DE" w:eastAsia="ja-JP"/>
              </w:rPr>
              <w:t xml:space="preserve">Trastuzumab </w:t>
            </w:r>
            <w:r w:rsidRPr="003168AE">
              <w:rPr>
                <w:rFonts w:eastAsia="Times New Roman"/>
                <w:b/>
                <w:color w:val="auto"/>
                <w:sz w:val="22"/>
                <w:szCs w:val="22"/>
                <w:lang w:val="de-DE" w:eastAsia="ja-JP"/>
              </w:rPr>
              <w:t xml:space="preserve">emtansine </w:t>
            </w:r>
            <w:r w:rsidRPr="003168AE" w:rsidR="00E16796">
              <w:rPr>
                <w:rFonts w:eastAsia="Times New Roman"/>
                <w:b/>
                <w:color w:val="auto"/>
                <w:sz w:val="22"/>
                <w:szCs w:val="22"/>
                <w:lang w:val="de-DE" w:eastAsia="ja-JP"/>
              </w:rPr>
              <w:t>(N=740)</w:t>
            </w:r>
          </w:p>
        </w:tc>
      </w:tr>
      <w:tr w:rsidTr="009E62AA">
        <w:tblPrEx>
          <w:tblW w:w="8655" w:type="dxa"/>
          <w:tblInd w:w="93" w:type="dxa"/>
          <w:tblLook w:val="04A0"/>
        </w:tblPrEx>
        <w:trPr>
          <w:trHeight w:val="300"/>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9E62AA" w:rsidRPr="00C12092" w:rsidP="009E62AA">
            <w:pPr>
              <w:pStyle w:val="Default"/>
              <w:keepNext/>
              <w:ind w:left="-1" w:firstLine="1"/>
              <w:jc w:val="center"/>
              <w:rPr>
                <w:rFonts w:eastAsia="Times New Roman"/>
                <w:b/>
                <w:color w:val="auto"/>
                <w:sz w:val="22"/>
                <w:szCs w:val="22"/>
                <w:lang w:val="de-DE" w:eastAsia="ja-JP"/>
              </w:rPr>
            </w:pPr>
          </w:p>
        </w:tc>
        <w:tc>
          <w:tcPr>
            <w:tcW w:w="1530" w:type="dxa"/>
            <w:tcBorders>
              <w:top w:val="nil"/>
              <w:left w:val="nil"/>
              <w:bottom w:val="single" w:sz="4" w:space="0" w:color="auto"/>
              <w:right w:val="single" w:sz="4" w:space="0" w:color="auto"/>
            </w:tcBorders>
            <w:shd w:val="clear" w:color="auto" w:fill="auto"/>
            <w:noWrap/>
            <w:vAlign w:val="center"/>
          </w:tcPr>
          <w:p w:rsidR="009E62AA" w:rsidRPr="00CA6DA7" w:rsidP="009E62AA">
            <w:pPr>
              <w:pStyle w:val="Default"/>
              <w:keepNext/>
              <w:ind w:left="-1" w:firstLine="1"/>
              <w:jc w:val="center"/>
              <w:rPr>
                <w:rFonts w:eastAsia="Times New Roman"/>
                <w:b/>
                <w:color w:val="auto"/>
                <w:sz w:val="22"/>
                <w:szCs w:val="22"/>
                <w:lang w:eastAsia="ja-JP"/>
              </w:rPr>
            </w:pPr>
            <w:r w:rsidRPr="00CA6DA7">
              <w:rPr>
                <w:rFonts w:eastAsia="Times New Roman"/>
                <w:b/>
                <w:color w:val="auto"/>
                <w:sz w:val="22"/>
                <w:szCs w:val="22"/>
                <w:lang w:eastAsia="ja-JP"/>
              </w:rPr>
              <w:t>All Grade %</w:t>
            </w:r>
          </w:p>
        </w:tc>
        <w:tc>
          <w:tcPr>
            <w:tcW w:w="1710" w:type="dxa"/>
            <w:tcBorders>
              <w:top w:val="nil"/>
              <w:left w:val="nil"/>
              <w:bottom w:val="single" w:sz="4" w:space="0" w:color="auto"/>
              <w:right w:val="single" w:sz="4" w:space="0" w:color="auto"/>
            </w:tcBorders>
            <w:shd w:val="clear" w:color="auto" w:fill="auto"/>
            <w:noWrap/>
            <w:vAlign w:val="bottom"/>
          </w:tcPr>
          <w:p w:rsidR="009E62AA" w:rsidRPr="00CA6DA7" w:rsidP="009E62AA">
            <w:pPr>
              <w:pStyle w:val="Default"/>
              <w:keepNext/>
              <w:ind w:left="-1" w:firstLine="1"/>
              <w:jc w:val="center"/>
              <w:rPr>
                <w:rFonts w:eastAsia="Times New Roman"/>
                <w:b/>
                <w:color w:val="auto"/>
                <w:sz w:val="22"/>
                <w:szCs w:val="22"/>
                <w:lang w:eastAsia="ja-JP"/>
              </w:rPr>
            </w:pPr>
            <w:r w:rsidRPr="00CA6DA7">
              <w:rPr>
                <w:rFonts w:eastAsia="Times New Roman"/>
                <w:b/>
                <w:color w:val="auto"/>
                <w:sz w:val="22"/>
                <w:szCs w:val="22"/>
                <w:lang w:eastAsia="ja-JP"/>
              </w:rPr>
              <w:t>Grade 3 (%)</w:t>
            </w:r>
          </w:p>
        </w:tc>
        <w:tc>
          <w:tcPr>
            <w:tcW w:w="1530" w:type="dxa"/>
            <w:tcBorders>
              <w:top w:val="nil"/>
              <w:left w:val="nil"/>
              <w:bottom w:val="single" w:sz="4" w:space="0" w:color="auto"/>
              <w:right w:val="single" w:sz="4" w:space="0" w:color="auto"/>
            </w:tcBorders>
            <w:shd w:val="clear" w:color="auto" w:fill="auto"/>
            <w:noWrap/>
            <w:vAlign w:val="bottom"/>
          </w:tcPr>
          <w:p w:rsidR="009E62AA" w:rsidRPr="00CA6DA7" w:rsidP="009E62AA">
            <w:pPr>
              <w:pStyle w:val="Default"/>
              <w:keepNext/>
              <w:ind w:left="-1" w:firstLine="1"/>
              <w:jc w:val="center"/>
              <w:rPr>
                <w:rFonts w:eastAsia="Times New Roman"/>
                <w:b/>
                <w:color w:val="auto"/>
                <w:sz w:val="22"/>
                <w:szCs w:val="22"/>
                <w:lang w:eastAsia="ja-JP"/>
              </w:rPr>
            </w:pPr>
            <w:r w:rsidRPr="00CA6DA7">
              <w:rPr>
                <w:rFonts w:eastAsia="Times New Roman"/>
                <w:b/>
                <w:color w:val="auto"/>
                <w:sz w:val="22"/>
                <w:szCs w:val="22"/>
                <w:lang w:eastAsia="ja-JP"/>
              </w:rPr>
              <w:t>Grade 4 (%)</w:t>
            </w:r>
          </w:p>
        </w:tc>
      </w:tr>
      <w:tr w:rsidTr="00D937A4">
        <w:tblPrEx>
          <w:tblW w:w="8655" w:type="dxa"/>
          <w:tblInd w:w="93" w:type="dxa"/>
          <w:tblLook w:val="04A0"/>
        </w:tblPrEx>
        <w:trPr>
          <w:trHeight w:val="300"/>
        </w:trPr>
        <w:tc>
          <w:tcPr>
            <w:tcW w:w="8655"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9E62AA" w:rsidRPr="00A30921" w:rsidP="009E62AA">
            <w:pPr>
              <w:keepNext/>
              <w:keepLines/>
              <w:rPr>
                <w:b/>
                <w:szCs w:val="22"/>
              </w:rPr>
            </w:pPr>
            <w:r w:rsidRPr="00C12092">
              <w:rPr>
                <w:b/>
                <w:szCs w:val="22"/>
              </w:rPr>
              <w:t>Hepatic</w:t>
            </w:r>
          </w:p>
        </w:tc>
      </w:tr>
      <w:tr w:rsidTr="009E62AA">
        <w:tblPrEx>
          <w:tblW w:w="8655" w:type="dxa"/>
          <w:tblInd w:w="93" w:type="dxa"/>
          <w:tblLook w:val="04A0"/>
        </w:tblPrEx>
        <w:trPr>
          <w:trHeight w:val="300"/>
        </w:trPr>
        <w:tc>
          <w:tcPr>
            <w:tcW w:w="3885" w:type="dxa"/>
            <w:tcBorders>
              <w:top w:val="nil"/>
              <w:left w:val="single" w:sz="4" w:space="0" w:color="auto"/>
              <w:bottom w:val="single" w:sz="4" w:space="0" w:color="auto"/>
              <w:right w:val="single" w:sz="4" w:space="0" w:color="auto"/>
            </w:tcBorders>
            <w:shd w:val="clear" w:color="auto" w:fill="auto"/>
            <w:noWrap/>
            <w:vAlign w:val="center"/>
          </w:tcPr>
          <w:p w:rsidR="009E62AA" w:rsidRPr="00A30921" w:rsidP="009E62AA">
            <w:pPr>
              <w:keepNext/>
              <w:rPr>
                <w:szCs w:val="22"/>
              </w:rPr>
            </w:pPr>
            <w:r w:rsidRPr="00FA1D6F">
              <w:rPr>
                <w:szCs w:val="22"/>
              </w:rPr>
              <w:t>Increased bilirubin</w:t>
            </w:r>
          </w:p>
        </w:tc>
        <w:tc>
          <w:tcPr>
            <w:tcW w:w="1530" w:type="dxa"/>
            <w:tcBorders>
              <w:top w:val="nil"/>
              <w:left w:val="nil"/>
              <w:bottom w:val="single" w:sz="4" w:space="0" w:color="auto"/>
              <w:right w:val="single" w:sz="4" w:space="0" w:color="auto"/>
            </w:tcBorders>
            <w:shd w:val="clear" w:color="auto" w:fill="auto"/>
            <w:noWrap/>
            <w:vAlign w:val="center"/>
          </w:tcPr>
          <w:p w:rsidR="009E62AA" w:rsidRPr="00A30921" w:rsidP="009E62AA">
            <w:pPr>
              <w:keepNext/>
              <w:jc w:val="center"/>
              <w:rPr>
                <w:szCs w:val="22"/>
              </w:rPr>
            </w:pPr>
            <w:r w:rsidRPr="00FA1D6F">
              <w:rPr>
                <w:szCs w:val="22"/>
              </w:rPr>
              <w:t>11</w:t>
            </w:r>
          </w:p>
        </w:tc>
        <w:tc>
          <w:tcPr>
            <w:tcW w:w="1710" w:type="dxa"/>
            <w:tcBorders>
              <w:top w:val="nil"/>
              <w:left w:val="nil"/>
              <w:bottom w:val="single" w:sz="4" w:space="0" w:color="auto"/>
              <w:right w:val="single" w:sz="4" w:space="0" w:color="auto"/>
            </w:tcBorders>
            <w:shd w:val="clear" w:color="auto" w:fill="auto"/>
            <w:noWrap/>
            <w:vAlign w:val="center"/>
          </w:tcPr>
          <w:p w:rsidR="009E62AA" w:rsidRPr="00A30921" w:rsidP="009E62AA">
            <w:pPr>
              <w:keepNext/>
              <w:jc w:val="center"/>
              <w:rPr>
                <w:szCs w:val="22"/>
              </w:rPr>
            </w:pPr>
            <w:r w:rsidRPr="00FA1D6F">
              <w:rPr>
                <w:szCs w:val="22"/>
              </w:rPr>
              <w:t>0</w:t>
            </w:r>
          </w:p>
        </w:tc>
        <w:tc>
          <w:tcPr>
            <w:tcW w:w="1530" w:type="dxa"/>
            <w:tcBorders>
              <w:top w:val="nil"/>
              <w:left w:val="nil"/>
              <w:bottom w:val="single" w:sz="4" w:space="0" w:color="auto"/>
              <w:right w:val="single" w:sz="4" w:space="0" w:color="auto"/>
            </w:tcBorders>
            <w:shd w:val="clear" w:color="auto" w:fill="auto"/>
            <w:noWrap/>
            <w:vAlign w:val="center"/>
          </w:tcPr>
          <w:p w:rsidR="009E62AA" w:rsidRPr="00A30921" w:rsidP="009E62AA">
            <w:pPr>
              <w:keepNext/>
              <w:jc w:val="center"/>
              <w:rPr>
                <w:szCs w:val="22"/>
              </w:rPr>
            </w:pPr>
            <w:r w:rsidRPr="00FA1D6F">
              <w:rPr>
                <w:szCs w:val="22"/>
              </w:rPr>
              <w:t>0</w:t>
            </w:r>
          </w:p>
        </w:tc>
      </w:tr>
      <w:tr w:rsidTr="009E62AA">
        <w:tblPrEx>
          <w:tblW w:w="8655" w:type="dxa"/>
          <w:tblInd w:w="93" w:type="dxa"/>
          <w:tblLook w:val="04A0"/>
        </w:tblPrEx>
        <w:trPr>
          <w:trHeight w:val="300"/>
        </w:trPr>
        <w:tc>
          <w:tcPr>
            <w:tcW w:w="3885" w:type="dxa"/>
            <w:tcBorders>
              <w:top w:val="nil"/>
              <w:left w:val="single" w:sz="4" w:space="0" w:color="auto"/>
              <w:bottom w:val="single" w:sz="4" w:space="0" w:color="auto"/>
              <w:right w:val="single" w:sz="4" w:space="0" w:color="auto"/>
            </w:tcBorders>
            <w:shd w:val="clear" w:color="auto" w:fill="auto"/>
            <w:noWrap/>
            <w:vAlign w:val="center"/>
          </w:tcPr>
          <w:p w:rsidR="009E62AA" w:rsidRPr="00A30921" w:rsidP="009E62AA">
            <w:pPr>
              <w:keepNext/>
              <w:rPr>
                <w:szCs w:val="22"/>
              </w:rPr>
            </w:pPr>
            <w:r w:rsidRPr="00FA1D6F">
              <w:rPr>
                <w:szCs w:val="22"/>
              </w:rPr>
              <w:t>Increased AST</w:t>
            </w:r>
          </w:p>
        </w:tc>
        <w:tc>
          <w:tcPr>
            <w:tcW w:w="1530" w:type="dxa"/>
            <w:tcBorders>
              <w:top w:val="nil"/>
              <w:left w:val="nil"/>
              <w:bottom w:val="single" w:sz="4" w:space="0" w:color="auto"/>
              <w:right w:val="single" w:sz="4" w:space="0" w:color="auto"/>
            </w:tcBorders>
            <w:shd w:val="clear" w:color="auto" w:fill="auto"/>
            <w:noWrap/>
            <w:vAlign w:val="center"/>
          </w:tcPr>
          <w:p w:rsidR="009E62AA" w:rsidRPr="00A30921" w:rsidP="009E62AA">
            <w:pPr>
              <w:keepNext/>
              <w:jc w:val="center"/>
              <w:rPr>
                <w:szCs w:val="22"/>
              </w:rPr>
            </w:pPr>
            <w:r w:rsidRPr="00FA1D6F">
              <w:rPr>
                <w:szCs w:val="22"/>
              </w:rPr>
              <w:t>79</w:t>
            </w:r>
          </w:p>
        </w:tc>
        <w:tc>
          <w:tcPr>
            <w:tcW w:w="1710" w:type="dxa"/>
            <w:tcBorders>
              <w:top w:val="nil"/>
              <w:left w:val="nil"/>
              <w:bottom w:val="single" w:sz="4" w:space="0" w:color="auto"/>
              <w:right w:val="single" w:sz="4" w:space="0" w:color="auto"/>
            </w:tcBorders>
            <w:shd w:val="clear" w:color="auto" w:fill="auto"/>
            <w:noWrap/>
            <w:vAlign w:val="center"/>
          </w:tcPr>
          <w:p w:rsidR="009E62AA" w:rsidRPr="00A30921" w:rsidP="009E62AA">
            <w:pPr>
              <w:keepNext/>
              <w:jc w:val="center"/>
              <w:rPr>
                <w:szCs w:val="22"/>
              </w:rPr>
            </w:pPr>
            <w:r w:rsidRPr="00FA1D6F">
              <w:rPr>
                <w:szCs w:val="22"/>
              </w:rPr>
              <w:t>&lt;1</w:t>
            </w:r>
          </w:p>
        </w:tc>
        <w:tc>
          <w:tcPr>
            <w:tcW w:w="1530" w:type="dxa"/>
            <w:tcBorders>
              <w:top w:val="nil"/>
              <w:left w:val="nil"/>
              <w:bottom w:val="single" w:sz="4" w:space="0" w:color="auto"/>
              <w:right w:val="single" w:sz="4" w:space="0" w:color="auto"/>
            </w:tcBorders>
            <w:shd w:val="clear" w:color="auto" w:fill="auto"/>
            <w:noWrap/>
            <w:vAlign w:val="center"/>
          </w:tcPr>
          <w:p w:rsidR="009E62AA" w:rsidRPr="00A30921" w:rsidP="009E62AA">
            <w:pPr>
              <w:keepNext/>
              <w:jc w:val="center"/>
              <w:rPr>
                <w:szCs w:val="22"/>
              </w:rPr>
            </w:pPr>
            <w:r w:rsidRPr="00FA1D6F">
              <w:rPr>
                <w:szCs w:val="22"/>
              </w:rPr>
              <w:t>0</w:t>
            </w:r>
          </w:p>
        </w:tc>
      </w:tr>
      <w:tr w:rsidTr="009E62AA">
        <w:tblPrEx>
          <w:tblW w:w="8655" w:type="dxa"/>
          <w:tblInd w:w="93" w:type="dxa"/>
          <w:tblLook w:val="04A0"/>
        </w:tblPrEx>
        <w:trPr>
          <w:trHeight w:val="300"/>
        </w:trPr>
        <w:tc>
          <w:tcPr>
            <w:tcW w:w="3885" w:type="dxa"/>
            <w:tcBorders>
              <w:top w:val="nil"/>
              <w:left w:val="single" w:sz="4" w:space="0" w:color="auto"/>
              <w:bottom w:val="single" w:sz="4" w:space="0" w:color="auto"/>
              <w:right w:val="single" w:sz="4" w:space="0" w:color="auto"/>
            </w:tcBorders>
            <w:shd w:val="clear" w:color="auto" w:fill="auto"/>
            <w:noWrap/>
            <w:vAlign w:val="center"/>
          </w:tcPr>
          <w:p w:rsidR="009E62AA" w:rsidRPr="00A30921" w:rsidP="009E62AA">
            <w:pPr>
              <w:keepNext/>
              <w:rPr>
                <w:szCs w:val="22"/>
              </w:rPr>
            </w:pPr>
            <w:r w:rsidRPr="00FA1D6F">
              <w:rPr>
                <w:szCs w:val="22"/>
              </w:rPr>
              <w:t>Increased ALT</w:t>
            </w:r>
          </w:p>
        </w:tc>
        <w:tc>
          <w:tcPr>
            <w:tcW w:w="1530" w:type="dxa"/>
            <w:tcBorders>
              <w:top w:val="nil"/>
              <w:left w:val="nil"/>
              <w:bottom w:val="single" w:sz="4" w:space="0" w:color="auto"/>
              <w:right w:val="single" w:sz="4" w:space="0" w:color="auto"/>
            </w:tcBorders>
            <w:shd w:val="clear" w:color="auto" w:fill="auto"/>
            <w:noWrap/>
            <w:vAlign w:val="center"/>
          </w:tcPr>
          <w:p w:rsidR="009E62AA" w:rsidRPr="00A30921" w:rsidP="009E62AA">
            <w:pPr>
              <w:keepNext/>
              <w:jc w:val="center"/>
              <w:rPr>
                <w:szCs w:val="22"/>
              </w:rPr>
            </w:pPr>
            <w:r w:rsidRPr="00FA1D6F">
              <w:rPr>
                <w:szCs w:val="22"/>
              </w:rPr>
              <w:t>55</w:t>
            </w:r>
          </w:p>
        </w:tc>
        <w:tc>
          <w:tcPr>
            <w:tcW w:w="1710" w:type="dxa"/>
            <w:tcBorders>
              <w:top w:val="nil"/>
              <w:left w:val="nil"/>
              <w:bottom w:val="single" w:sz="4" w:space="0" w:color="auto"/>
              <w:right w:val="single" w:sz="4" w:space="0" w:color="auto"/>
            </w:tcBorders>
            <w:shd w:val="clear" w:color="auto" w:fill="auto"/>
            <w:noWrap/>
            <w:vAlign w:val="center"/>
          </w:tcPr>
          <w:p w:rsidR="009E62AA" w:rsidRPr="00A30921" w:rsidP="009E62AA">
            <w:pPr>
              <w:keepNext/>
              <w:jc w:val="center"/>
              <w:rPr>
                <w:szCs w:val="22"/>
              </w:rPr>
            </w:pPr>
            <w:r w:rsidRPr="00FA1D6F">
              <w:rPr>
                <w:szCs w:val="22"/>
              </w:rPr>
              <w:t>&lt;1</w:t>
            </w:r>
          </w:p>
        </w:tc>
        <w:tc>
          <w:tcPr>
            <w:tcW w:w="1530" w:type="dxa"/>
            <w:tcBorders>
              <w:top w:val="nil"/>
              <w:left w:val="nil"/>
              <w:bottom w:val="single" w:sz="4" w:space="0" w:color="auto"/>
              <w:right w:val="single" w:sz="4" w:space="0" w:color="auto"/>
            </w:tcBorders>
            <w:shd w:val="clear" w:color="auto" w:fill="auto"/>
            <w:noWrap/>
            <w:vAlign w:val="center"/>
          </w:tcPr>
          <w:p w:rsidR="009E62AA" w:rsidRPr="00A30921" w:rsidP="009E62AA">
            <w:pPr>
              <w:keepNext/>
              <w:jc w:val="center"/>
              <w:rPr>
                <w:szCs w:val="22"/>
              </w:rPr>
            </w:pPr>
            <w:r w:rsidRPr="00FA1D6F">
              <w:rPr>
                <w:szCs w:val="22"/>
              </w:rPr>
              <w:t>0</w:t>
            </w:r>
          </w:p>
        </w:tc>
      </w:tr>
      <w:tr w:rsidTr="00D937A4">
        <w:tblPrEx>
          <w:tblW w:w="8655" w:type="dxa"/>
          <w:tblInd w:w="93" w:type="dxa"/>
          <w:tblLook w:val="04A0"/>
        </w:tblPrEx>
        <w:trPr>
          <w:trHeight w:val="300"/>
        </w:trPr>
        <w:tc>
          <w:tcPr>
            <w:tcW w:w="8655"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9E62AA" w:rsidRPr="00A30921" w:rsidP="009E62AA">
            <w:pPr>
              <w:keepNext/>
              <w:rPr>
                <w:b/>
                <w:szCs w:val="22"/>
              </w:rPr>
            </w:pPr>
            <w:r w:rsidRPr="00A30921">
              <w:rPr>
                <w:b/>
                <w:szCs w:val="22"/>
              </w:rPr>
              <w:t>Haematologic</w:t>
            </w:r>
          </w:p>
        </w:tc>
      </w:tr>
      <w:tr w:rsidTr="009E62AA">
        <w:tblPrEx>
          <w:tblW w:w="8655" w:type="dxa"/>
          <w:tblInd w:w="93" w:type="dxa"/>
          <w:tblLook w:val="04A0"/>
        </w:tblPrEx>
        <w:trPr>
          <w:trHeight w:val="300"/>
        </w:trPr>
        <w:tc>
          <w:tcPr>
            <w:tcW w:w="388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62AA" w:rsidRPr="00A30921" w:rsidP="009E62AA">
            <w:pPr>
              <w:keepNext/>
              <w:rPr>
                <w:szCs w:val="22"/>
              </w:rPr>
            </w:pPr>
            <w:r w:rsidRPr="00FA1D6F">
              <w:rPr>
                <w:szCs w:val="22"/>
              </w:rPr>
              <w:t>Decreased platelet count</w:t>
            </w:r>
          </w:p>
        </w:tc>
        <w:tc>
          <w:tcPr>
            <w:tcW w:w="1530" w:type="dxa"/>
            <w:tcBorders>
              <w:top w:val="single" w:sz="4" w:space="0" w:color="auto"/>
              <w:left w:val="nil"/>
              <w:bottom w:val="single" w:sz="4" w:space="0" w:color="auto"/>
              <w:right w:val="single" w:sz="4" w:space="0" w:color="auto"/>
            </w:tcBorders>
            <w:shd w:val="clear" w:color="auto" w:fill="auto"/>
            <w:noWrap/>
            <w:vAlign w:val="center"/>
          </w:tcPr>
          <w:p w:rsidR="009E62AA" w:rsidRPr="00A30921" w:rsidP="009E62AA">
            <w:pPr>
              <w:keepNext/>
              <w:jc w:val="center"/>
              <w:rPr>
                <w:szCs w:val="22"/>
              </w:rPr>
            </w:pPr>
            <w:r w:rsidRPr="00FA1D6F">
              <w:rPr>
                <w:szCs w:val="22"/>
              </w:rPr>
              <w:t>51</w:t>
            </w:r>
          </w:p>
        </w:tc>
        <w:tc>
          <w:tcPr>
            <w:tcW w:w="1710" w:type="dxa"/>
            <w:tcBorders>
              <w:top w:val="single" w:sz="4" w:space="0" w:color="auto"/>
              <w:left w:val="nil"/>
              <w:bottom w:val="single" w:sz="4" w:space="0" w:color="auto"/>
              <w:right w:val="single" w:sz="4" w:space="0" w:color="auto"/>
            </w:tcBorders>
            <w:shd w:val="clear" w:color="auto" w:fill="auto"/>
            <w:noWrap/>
            <w:vAlign w:val="center"/>
          </w:tcPr>
          <w:p w:rsidR="009E62AA" w:rsidRPr="00A30921" w:rsidP="009E62AA">
            <w:pPr>
              <w:keepNext/>
              <w:jc w:val="center"/>
              <w:rPr>
                <w:szCs w:val="22"/>
              </w:rPr>
            </w:pPr>
            <w:r w:rsidRPr="00FA1D6F">
              <w:rPr>
                <w:szCs w:val="22"/>
              </w:rPr>
              <w:t>4</w:t>
            </w:r>
          </w:p>
        </w:tc>
        <w:tc>
          <w:tcPr>
            <w:tcW w:w="1530" w:type="dxa"/>
            <w:tcBorders>
              <w:top w:val="single" w:sz="4" w:space="0" w:color="auto"/>
              <w:left w:val="nil"/>
              <w:bottom w:val="single" w:sz="4" w:space="0" w:color="auto"/>
              <w:right w:val="single" w:sz="4" w:space="0" w:color="auto"/>
            </w:tcBorders>
            <w:shd w:val="clear" w:color="auto" w:fill="auto"/>
            <w:noWrap/>
            <w:vAlign w:val="center"/>
          </w:tcPr>
          <w:p w:rsidR="009E62AA" w:rsidRPr="00A30921" w:rsidP="009E62AA">
            <w:pPr>
              <w:keepNext/>
              <w:jc w:val="center"/>
              <w:rPr>
                <w:szCs w:val="22"/>
              </w:rPr>
            </w:pPr>
            <w:r w:rsidRPr="00FA1D6F">
              <w:rPr>
                <w:szCs w:val="22"/>
              </w:rPr>
              <w:t>2</w:t>
            </w:r>
          </w:p>
        </w:tc>
      </w:tr>
      <w:tr w:rsidTr="009E62AA">
        <w:tblPrEx>
          <w:tblW w:w="8655" w:type="dxa"/>
          <w:tblInd w:w="93" w:type="dxa"/>
          <w:tblLook w:val="04A0"/>
        </w:tblPrEx>
        <w:trPr>
          <w:trHeight w:val="300"/>
        </w:trPr>
        <w:tc>
          <w:tcPr>
            <w:tcW w:w="3885" w:type="dxa"/>
            <w:tcBorders>
              <w:top w:val="nil"/>
              <w:left w:val="single" w:sz="4" w:space="0" w:color="auto"/>
              <w:bottom w:val="single" w:sz="4" w:space="0" w:color="auto"/>
              <w:right w:val="single" w:sz="4" w:space="0" w:color="auto"/>
            </w:tcBorders>
            <w:shd w:val="clear" w:color="auto" w:fill="auto"/>
            <w:noWrap/>
            <w:vAlign w:val="center"/>
          </w:tcPr>
          <w:p w:rsidR="009E62AA" w:rsidRPr="00A30921" w:rsidP="009E62AA">
            <w:pPr>
              <w:keepNext/>
              <w:rPr>
                <w:szCs w:val="22"/>
              </w:rPr>
            </w:pPr>
            <w:r w:rsidRPr="00FA1D6F">
              <w:rPr>
                <w:szCs w:val="22"/>
              </w:rPr>
              <w:t>Decreased h</w:t>
            </w:r>
            <w:r>
              <w:rPr>
                <w:szCs w:val="22"/>
              </w:rPr>
              <w:t>a</w:t>
            </w:r>
            <w:r w:rsidRPr="00FA1D6F">
              <w:rPr>
                <w:szCs w:val="22"/>
              </w:rPr>
              <w:t>emoglobin</w:t>
            </w:r>
          </w:p>
        </w:tc>
        <w:tc>
          <w:tcPr>
            <w:tcW w:w="1530" w:type="dxa"/>
            <w:tcBorders>
              <w:top w:val="nil"/>
              <w:left w:val="nil"/>
              <w:bottom w:val="single" w:sz="4" w:space="0" w:color="auto"/>
              <w:right w:val="single" w:sz="4" w:space="0" w:color="auto"/>
            </w:tcBorders>
            <w:shd w:val="clear" w:color="auto" w:fill="auto"/>
            <w:noWrap/>
            <w:vAlign w:val="center"/>
          </w:tcPr>
          <w:p w:rsidR="009E62AA" w:rsidRPr="00A30921" w:rsidP="009E62AA">
            <w:pPr>
              <w:keepNext/>
              <w:jc w:val="center"/>
              <w:rPr>
                <w:szCs w:val="22"/>
              </w:rPr>
            </w:pPr>
            <w:r w:rsidRPr="00FA1D6F">
              <w:rPr>
                <w:szCs w:val="22"/>
              </w:rPr>
              <w:t>31</w:t>
            </w:r>
          </w:p>
        </w:tc>
        <w:tc>
          <w:tcPr>
            <w:tcW w:w="1710" w:type="dxa"/>
            <w:tcBorders>
              <w:top w:val="nil"/>
              <w:left w:val="nil"/>
              <w:bottom w:val="single" w:sz="4" w:space="0" w:color="auto"/>
              <w:right w:val="single" w:sz="4" w:space="0" w:color="auto"/>
            </w:tcBorders>
            <w:shd w:val="clear" w:color="auto" w:fill="auto"/>
            <w:noWrap/>
            <w:vAlign w:val="center"/>
          </w:tcPr>
          <w:p w:rsidR="009E62AA" w:rsidRPr="00A30921" w:rsidP="009E62AA">
            <w:pPr>
              <w:keepNext/>
              <w:jc w:val="center"/>
              <w:rPr>
                <w:szCs w:val="22"/>
              </w:rPr>
            </w:pPr>
            <w:r w:rsidRPr="00FA1D6F">
              <w:rPr>
                <w:szCs w:val="22"/>
              </w:rPr>
              <w:t>1</w:t>
            </w:r>
          </w:p>
        </w:tc>
        <w:tc>
          <w:tcPr>
            <w:tcW w:w="1530" w:type="dxa"/>
            <w:tcBorders>
              <w:top w:val="nil"/>
              <w:left w:val="nil"/>
              <w:bottom w:val="single" w:sz="4" w:space="0" w:color="auto"/>
              <w:right w:val="single" w:sz="4" w:space="0" w:color="auto"/>
            </w:tcBorders>
            <w:shd w:val="clear" w:color="auto" w:fill="auto"/>
            <w:noWrap/>
            <w:vAlign w:val="center"/>
          </w:tcPr>
          <w:p w:rsidR="009E62AA" w:rsidRPr="00A30921" w:rsidP="009E62AA">
            <w:pPr>
              <w:keepNext/>
              <w:jc w:val="center"/>
              <w:rPr>
                <w:szCs w:val="22"/>
              </w:rPr>
            </w:pPr>
            <w:r w:rsidRPr="00FA1D6F">
              <w:rPr>
                <w:szCs w:val="22"/>
              </w:rPr>
              <w:t>0</w:t>
            </w:r>
          </w:p>
        </w:tc>
      </w:tr>
      <w:tr w:rsidTr="009E62AA">
        <w:tblPrEx>
          <w:tblW w:w="8655" w:type="dxa"/>
          <w:tblInd w:w="93" w:type="dxa"/>
          <w:tblLook w:val="04A0"/>
        </w:tblPrEx>
        <w:trPr>
          <w:trHeight w:val="300"/>
        </w:trPr>
        <w:tc>
          <w:tcPr>
            <w:tcW w:w="3885" w:type="dxa"/>
            <w:tcBorders>
              <w:top w:val="nil"/>
              <w:left w:val="single" w:sz="4" w:space="0" w:color="auto"/>
              <w:bottom w:val="single" w:sz="4" w:space="0" w:color="auto"/>
              <w:right w:val="single" w:sz="4" w:space="0" w:color="auto"/>
            </w:tcBorders>
            <w:shd w:val="clear" w:color="auto" w:fill="auto"/>
            <w:noWrap/>
            <w:vAlign w:val="center"/>
          </w:tcPr>
          <w:p w:rsidR="009E62AA" w:rsidRPr="00A30921" w:rsidP="009E62AA">
            <w:pPr>
              <w:keepNext/>
              <w:rPr>
                <w:szCs w:val="22"/>
              </w:rPr>
            </w:pPr>
            <w:r w:rsidRPr="00FA1D6F">
              <w:rPr>
                <w:szCs w:val="22"/>
              </w:rPr>
              <w:t>Decreased neutrophils</w:t>
            </w:r>
          </w:p>
        </w:tc>
        <w:tc>
          <w:tcPr>
            <w:tcW w:w="1530" w:type="dxa"/>
            <w:tcBorders>
              <w:top w:val="nil"/>
              <w:left w:val="nil"/>
              <w:bottom w:val="single" w:sz="4" w:space="0" w:color="auto"/>
              <w:right w:val="single" w:sz="4" w:space="0" w:color="auto"/>
            </w:tcBorders>
            <w:shd w:val="clear" w:color="auto" w:fill="auto"/>
            <w:noWrap/>
            <w:vAlign w:val="center"/>
          </w:tcPr>
          <w:p w:rsidR="009E62AA" w:rsidRPr="00A30921" w:rsidP="009E62AA">
            <w:pPr>
              <w:keepNext/>
              <w:jc w:val="center"/>
              <w:rPr>
                <w:szCs w:val="22"/>
              </w:rPr>
            </w:pPr>
            <w:r w:rsidRPr="00FA1D6F">
              <w:rPr>
                <w:szCs w:val="22"/>
              </w:rPr>
              <w:t>24</w:t>
            </w:r>
          </w:p>
        </w:tc>
        <w:tc>
          <w:tcPr>
            <w:tcW w:w="1710" w:type="dxa"/>
            <w:tcBorders>
              <w:top w:val="nil"/>
              <w:left w:val="nil"/>
              <w:bottom w:val="single" w:sz="4" w:space="0" w:color="auto"/>
              <w:right w:val="single" w:sz="4" w:space="0" w:color="auto"/>
            </w:tcBorders>
            <w:shd w:val="clear" w:color="auto" w:fill="auto"/>
            <w:noWrap/>
            <w:vAlign w:val="center"/>
          </w:tcPr>
          <w:p w:rsidR="009E62AA" w:rsidRPr="00A30921" w:rsidP="009E62AA">
            <w:pPr>
              <w:keepNext/>
              <w:jc w:val="center"/>
              <w:rPr>
                <w:szCs w:val="22"/>
              </w:rPr>
            </w:pPr>
            <w:r w:rsidRPr="00FA1D6F">
              <w:rPr>
                <w:szCs w:val="22"/>
              </w:rPr>
              <w:t>1</w:t>
            </w:r>
          </w:p>
        </w:tc>
        <w:tc>
          <w:tcPr>
            <w:tcW w:w="1530" w:type="dxa"/>
            <w:tcBorders>
              <w:top w:val="nil"/>
              <w:left w:val="nil"/>
              <w:bottom w:val="single" w:sz="4" w:space="0" w:color="auto"/>
              <w:right w:val="single" w:sz="4" w:space="0" w:color="auto"/>
            </w:tcBorders>
            <w:shd w:val="clear" w:color="auto" w:fill="auto"/>
            <w:noWrap/>
            <w:vAlign w:val="center"/>
          </w:tcPr>
          <w:p w:rsidR="009E62AA" w:rsidRPr="00A30921" w:rsidP="009E62AA">
            <w:pPr>
              <w:keepNext/>
              <w:jc w:val="center"/>
              <w:rPr>
                <w:szCs w:val="22"/>
              </w:rPr>
            </w:pPr>
            <w:r w:rsidRPr="00FA1D6F">
              <w:rPr>
                <w:szCs w:val="22"/>
              </w:rPr>
              <w:t>0</w:t>
            </w:r>
          </w:p>
        </w:tc>
      </w:tr>
      <w:tr w:rsidTr="00D937A4">
        <w:tblPrEx>
          <w:tblW w:w="8655" w:type="dxa"/>
          <w:tblInd w:w="93" w:type="dxa"/>
          <w:tblLook w:val="04A0"/>
        </w:tblPrEx>
        <w:trPr>
          <w:trHeight w:val="300"/>
        </w:trPr>
        <w:tc>
          <w:tcPr>
            <w:tcW w:w="8655"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9E62AA" w:rsidRPr="00A30921" w:rsidP="009E62AA">
            <w:pPr>
              <w:keepNext/>
              <w:rPr>
                <w:b/>
                <w:szCs w:val="22"/>
              </w:rPr>
            </w:pPr>
            <w:r w:rsidRPr="00A30921">
              <w:rPr>
                <w:b/>
                <w:szCs w:val="22"/>
              </w:rPr>
              <w:t>Potassium</w:t>
            </w:r>
          </w:p>
        </w:tc>
      </w:tr>
      <w:tr w:rsidTr="009E62AA">
        <w:tblPrEx>
          <w:tblW w:w="8655" w:type="dxa"/>
          <w:tblInd w:w="93" w:type="dxa"/>
          <w:tblLook w:val="04A0"/>
        </w:tblPrEx>
        <w:trPr>
          <w:trHeight w:val="58"/>
        </w:trPr>
        <w:tc>
          <w:tcPr>
            <w:tcW w:w="38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62AA" w:rsidRPr="00A30921" w:rsidP="009E62AA">
            <w:pPr>
              <w:keepNext/>
              <w:rPr>
                <w:szCs w:val="22"/>
              </w:rPr>
            </w:pPr>
            <w:r w:rsidRPr="00FA1D6F">
              <w:rPr>
                <w:szCs w:val="22"/>
              </w:rPr>
              <w:t>Decreased potassium</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9E62AA" w:rsidRPr="00A30921" w:rsidP="009E62AA">
            <w:pPr>
              <w:keepNext/>
              <w:jc w:val="center"/>
              <w:rPr>
                <w:szCs w:val="22"/>
              </w:rPr>
            </w:pPr>
            <w:r w:rsidRPr="00FA1D6F">
              <w:rPr>
                <w:szCs w:val="22"/>
              </w:rPr>
              <w:t>26</w:t>
            </w:r>
          </w:p>
        </w:tc>
        <w:tc>
          <w:tcPr>
            <w:tcW w:w="1710" w:type="dxa"/>
            <w:tcBorders>
              <w:top w:val="single" w:sz="4" w:space="0" w:color="auto"/>
              <w:left w:val="nil"/>
              <w:bottom w:val="single" w:sz="4" w:space="0" w:color="auto"/>
              <w:right w:val="single" w:sz="4" w:space="0" w:color="auto"/>
            </w:tcBorders>
            <w:shd w:val="clear" w:color="auto" w:fill="auto"/>
            <w:noWrap/>
            <w:vAlign w:val="bottom"/>
          </w:tcPr>
          <w:p w:rsidR="009E62AA" w:rsidRPr="00A30921" w:rsidP="009E62AA">
            <w:pPr>
              <w:keepNext/>
              <w:jc w:val="center"/>
              <w:rPr>
                <w:szCs w:val="22"/>
              </w:rPr>
            </w:pPr>
            <w:r w:rsidRPr="00FA1D6F">
              <w:rPr>
                <w:szCs w:val="22"/>
              </w:rPr>
              <w:t>2</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9E62AA" w:rsidRPr="00A30921" w:rsidP="009E62AA">
            <w:pPr>
              <w:keepNext/>
              <w:jc w:val="center"/>
              <w:rPr>
                <w:szCs w:val="22"/>
              </w:rPr>
            </w:pPr>
            <w:r w:rsidRPr="00FA1D6F">
              <w:rPr>
                <w:szCs w:val="22"/>
              </w:rPr>
              <w:t>&lt;1</w:t>
            </w:r>
          </w:p>
        </w:tc>
      </w:tr>
    </w:tbl>
    <w:p w:rsidR="002D09F0" w:rsidP="008D43BD">
      <w:pPr>
        <w:rPr>
          <w:szCs w:val="22"/>
        </w:rPr>
      </w:pPr>
    </w:p>
    <w:p w:rsidR="00223D84" w:rsidRPr="00A30921" w:rsidP="008D43BD">
      <w:pPr>
        <w:rPr>
          <w:szCs w:val="22"/>
        </w:rPr>
      </w:pPr>
    </w:p>
    <w:p w:rsidR="008D43BD" w:rsidRPr="00A30921" w:rsidP="008D43BD">
      <w:pPr>
        <w:rPr>
          <w:szCs w:val="22"/>
          <w:u w:val="single"/>
        </w:rPr>
      </w:pPr>
      <w:r w:rsidRPr="00A30921" w:rsidR="00A4080A">
        <w:rPr>
          <w:szCs w:val="22"/>
          <w:u w:val="single"/>
        </w:rPr>
        <w:t>Reporting of suspected adverse reactions</w:t>
      </w:r>
    </w:p>
    <w:p w:rsidR="008D43BD" w:rsidRPr="00D75082" w:rsidP="008D43BD">
      <w:pPr>
        <w:rPr>
          <w:szCs w:val="22"/>
        </w:rPr>
      </w:pPr>
      <w:r w:rsidRPr="00A30921" w:rsidR="00A4080A">
        <w:rPr>
          <w:szCs w:val="22"/>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2B1C38" w:rsidR="00A4080A">
        <w:rPr>
          <w:szCs w:val="22"/>
          <w:highlight w:val="lightGray"/>
          <w:lang w:eastAsia="en-US"/>
        </w:rPr>
        <w:t xml:space="preserve">the national reporting system listed in </w:t>
      </w:r>
      <w:r w:rsidR="00BB453D">
        <w:fldChar w:fldCharType="begin"/>
      </w:r>
      <w:r w:rsidR="00BB453D">
        <w:instrText xml:space="preserve"> HYPERLINK "https://www.ema.europa.eu/documents/template-form/appendix-v-adverse-drug-reaction-reporting-details_en.doc" </w:instrText>
      </w:r>
      <w:r w:rsidR="00BB453D">
        <w:fldChar w:fldCharType="separate"/>
      </w:r>
      <w:r w:rsidRPr="002B1C38" w:rsidR="00A4080A">
        <w:rPr>
          <w:noProof/>
          <w:color w:val="0000FF"/>
          <w:szCs w:val="22"/>
          <w:highlight w:val="lightGray"/>
          <w:u w:val="single"/>
          <w:lang w:eastAsia="en-US"/>
        </w:rPr>
        <w:t>Appendix V</w:t>
      </w:r>
      <w:r w:rsidRPr="002B1C38" w:rsidR="00BB453D">
        <w:rPr>
          <w:noProof/>
          <w:color w:val="0000FF"/>
          <w:szCs w:val="22"/>
          <w:highlight w:val="lightGray"/>
          <w:u w:val="single"/>
          <w:lang w:eastAsia="en-US"/>
        </w:rPr>
        <w:fldChar w:fldCharType="end"/>
      </w:r>
      <w:r w:rsidRPr="002B1C38" w:rsidR="00A4080A">
        <w:rPr>
          <w:szCs w:val="22"/>
          <w:highlight w:val="lightGray"/>
          <w:lang w:eastAsia="en-US"/>
        </w:rPr>
        <w:t>.</w:t>
      </w:r>
    </w:p>
    <w:p w:rsidR="008D43BD" w:rsidRPr="00123D7D" w:rsidP="008D43BD">
      <w:pPr>
        <w:rPr>
          <w:szCs w:val="22"/>
        </w:rPr>
      </w:pPr>
    </w:p>
    <w:p w:rsidR="008D43BD" w:rsidRPr="00A30921" w:rsidP="008D43BD">
      <w:pPr>
        <w:keepNext/>
        <w:rPr>
          <w:szCs w:val="22"/>
        </w:rPr>
      </w:pPr>
      <w:r w:rsidRPr="00A30921" w:rsidR="00A4080A">
        <w:rPr>
          <w:b/>
          <w:szCs w:val="22"/>
        </w:rPr>
        <w:t>4.9</w:t>
        <w:tab/>
        <w:t>Overdose</w:t>
      </w:r>
    </w:p>
    <w:p w:rsidR="008D43BD" w:rsidRPr="00A30921" w:rsidP="008D43BD">
      <w:pPr>
        <w:rPr>
          <w:szCs w:val="22"/>
        </w:rPr>
      </w:pPr>
    </w:p>
    <w:p w:rsidR="008D43BD" w:rsidRPr="00A30921" w:rsidP="008D43BD">
      <w:pPr>
        <w:rPr>
          <w:szCs w:val="22"/>
        </w:rPr>
      </w:pPr>
      <w:r w:rsidRPr="00A30921" w:rsidR="00A4080A">
        <w:rPr>
          <w:szCs w:val="22"/>
        </w:rPr>
        <w:t>There is no known antidote for trastuzumab emtansine overdose. In case of overdose, the patient should be closely monitored for signs or symptoms of adverse reactions and appropriate symptomatic treatment instituted. Cases of overdose have been reported with trastuzumab emtansine treatment, most associated with thrombocytopenia, and there was one death. In the fatal case, the patient incorrectly received trastuzumab emtansine 6 mg/kg and died approximately 3 weeks following the overdose; a causal relationship to trastuzumab emtansine was not established.</w:t>
      </w:r>
    </w:p>
    <w:p w:rsidR="008D43BD" w:rsidRPr="00A30921" w:rsidP="008D43BD">
      <w:pPr>
        <w:rPr>
          <w:szCs w:val="22"/>
        </w:rPr>
      </w:pPr>
    </w:p>
    <w:p w:rsidR="008D43BD" w:rsidRPr="00A30921" w:rsidP="008D43BD">
      <w:pPr>
        <w:rPr>
          <w:szCs w:val="22"/>
        </w:rPr>
      </w:pPr>
    </w:p>
    <w:p w:rsidR="008D43BD" w:rsidRPr="00A30921" w:rsidP="007C68CF">
      <w:pPr>
        <w:keepNext/>
        <w:rPr>
          <w:b/>
          <w:szCs w:val="22"/>
        </w:rPr>
      </w:pPr>
      <w:r w:rsidRPr="00A30921" w:rsidR="00A4080A">
        <w:rPr>
          <w:b/>
          <w:szCs w:val="22"/>
        </w:rPr>
        <w:t>5.</w:t>
        <w:tab/>
        <w:t>PHARMACOLOGICAL PROPERTIES</w:t>
      </w:r>
    </w:p>
    <w:p w:rsidR="008D43BD" w:rsidRPr="00A30921" w:rsidP="007C68CF">
      <w:pPr>
        <w:keepNext/>
        <w:rPr>
          <w:szCs w:val="22"/>
        </w:rPr>
      </w:pPr>
    </w:p>
    <w:p w:rsidR="008D43BD" w:rsidRPr="00A30921" w:rsidP="007C68CF">
      <w:pPr>
        <w:keepNext/>
        <w:ind w:left="567" w:hanging="567"/>
        <w:outlineLvl w:val="0"/>
        <w:rPr>
          <w:szCs w:val="22"/>
        </w:rPr>
      </w:pPr>
      <w:r w:rsidRPr="00A30921" w:rsidR="00A4080A">
        <w:rPr>
          <w:b/>
          <w:szCs w:val="22"/>
        </w:rPr>
        <w:t xml:space="preserve">5.1 </w:t>
        <w:tab/>
        <w:t>Pharmacodynamic properties</w:t>
      </w:r>
    </w:p>
    <w:p w:rsidR="008D43BD" w:rsidRPr="00A30921" w:rsidP="008D43BD">
      <w:pPr>
        <w:rPr>
          <w:szCs w:val="22"/>
        </w:rPr>
      </w:pPr>
    </w:p>
    <w:p w:rsidR="008D43BD" w:rsidRPr="00A30921" w:rsidP="008D43BD">
      <w:pPr>
        <w:rPr>
          <w:szCs w:val="22"/>
        </w:rPr>
      </w:pPr>
      <w:r w:rsidRPr="00A30921" w:rsidR="00A4080A">
        <w:rPr>
          <w:szCs w:val="22"/>
        </w:rPr>
        <w:t>Pharmacotherapeutic group: Antineoplastic agent</w:t>
      </w:r>
      <w:r w:rsidR="00A4080A">
        <w:rPr>
          <w:szCs w:val="22"/>
        </w:rPr>
        <w:t>s</w:t>
      </w:r>
      <w:r w:rsidRPr="00A30921" w:rsidR="00A4080A">
        <w:rPr>
          <w:szCs w:val="22"/>
        </w:rPr>
        <w:t>, other antineoplastic agents, monoclonal</w:t>
      </w:r>
    </w:p>
    <w:p w:rsidR="008D43BD" w:rsidRPr="00A30921" w:rsidP="008D43BD">
      <w:pPr>
        <w:rPr>
          <w:szCs w:val="22"/>
        </w:rPr>
      </w:pPr>
      <w:r w:rsidRPr="00A30921" w:rsidR="00A4080A">
        <w:rPr>
          <w:szCs w:val="22"/>
        </w:rPr>
        <w:t>antibodies, ATC code: L01XC14</w:t>
      </w:r>
    </w:p>
    <w:p w:rsidR="008D43BD" w:rsidRPr="00A30921" w:rsidP="008D43BD">
      <w:pPr>
        <w:rPr>
          <w:szCs w:val="22"/>
        </w:rPr>
      </w:pPr>
    </w:p>
    <w:p w:rsidR="008D43BD" w:rsidP="008D43BD">
      <w:pPr>
        <w:keepNext/>
        <w:rPr>
          <w:szCs w:val="22"/>
          <w:u w:val="single"/>
        </w:rPr>
      </w:pPr>
      <w:r w:rsidRPr="00405F86" w:rsidR="00A4080A">
        <w:rPr>
          <w:szCs w:val="22"/>
          <w:u w:val="single"/>
        </w:rPr>
        <w:t>Mechanism of action</w:t>
      </w:r>
    </w:p>
    <w:p w:rsidR="008D43BD" w:rsidRPr="00405F86" w:rsidP="008D43BD">
      <w:pPr>
        <w:keepNext/>
        <w:rPr>
          <w:szCs w:val="22"/>
          <w:u w:val="single"/>
        </w:rPr>
      </w:pPr>
    </w:p>
    <w:p w:rsidR="008D43BD" w:rsidRPr="00A30921" w:rsidP="008D43BD">
      <w:pPr>
        <w:keepNext/>
        <w:rPr>
          <w:szCs w:val="22"/>
        </w:rPr>
      </w:pPr>
      <w:r w:rsidRPr="00A30921" w:rsidR="00A4080A">
        <w:rPr>
          <w:szCs w:val="22"/>
        </w:rPr>
        <w:t>Kadcyla, trastuzumab emtansine, is a HER2</w:t>
      </w:r>
      <w:r w:rsidRPr="00A30921" w:rsidR="00A4080A">
        <w:rPr>
          <w:szCs w:val="22"/>
        </w:rPr>
        <w:noBreakHyphen/>
        <w:t>targeted antibody</w:t>
      </w:r>
      <w:r w:rsidRPr="00A30921" w:rsidR="00A4080A">
        <w:rPr>
          <w:szCs w:val="22"/>
        </w:rPr>
        <w:noBreakHyphen/>
        <w:t>drug conjugate which contains the humanised anti</w:t>
      </w:r>
      <w:r w:rsidRPr="00A30921" w:rsidR="00A4080A">
        <w:rPr>
          <w:szCs w:val="22"/>
        </w:rPr>
        <w:noBreakHyphen/>
        <w:t>HER2 IgG1, trastuzumab, covalently linked to the microtubule inhibitor DM1 (a maytansine derivative) via the stable thioether linker MCC (4</w:t>
      </w:r>
      <w:r w:rsidRPr="00A30921" w:rsidR="00A4080A">
        <w:rPr>
          <w:szCs w:val="22"/>
        </w:rPr>
        <w:noBreakHyphen/>
        <w:t>[N</w:t>
      </w:r>
      <w:r w:rsidRPr="00A30921" w:rsidR="00A4080A">
        <w:rPr>
          <w:szCs w:val="22"/>
        </w:rPr>
        <w:noBreakHyphen/>
        <w:t>maleimidomethyl] cyclohexane</w:t>
      </w:r>
      <w:r w:rsidRPr="00A30921" w:rsidR="00A4080A">
        <w:rPr>
          <w:szCs w:val="22"/>
        </w:rPr>
        <w:noBreakHyphen/>
        <w:t>1</w:t>
      </w:r>
      <w:r w:rsidRPr="00A30921" w:rsidR="00A4080A">
        <w:rPr>
          <w:szCs w:val="22"/>
        </w:rPr>
        <w:noBreakHyphen/>
        <w:t>carboxylate). Emtansine refers to the MCC</w:t>
      </w:r>
      <w:r w:rsidRPr="00A30921" w:rsidR="00A4080A">
        <w:rPr>
          <w:szCs w:val="22"/>
        </w:rPr>
        <w:noBreakHyphen/>
        <w:t xml:space="preserve">DM1 complex. An average of 3.5 DM1 molecules are conjugated to each molecule of trastuzumab. </w:t>
      </w:r>
    </w:p>
    <w:p w:rsidR="008D43BD" w:rsidRPr="00A30921" w:rsidP="008D43BD">
      <w:pPr>
        <w:rPr>
          <w:szCs w:val="22"/>
        </w:rPr>
      </w:pPr>
    </w:p>
    <w:p w:rsidR="008D43BD" w:rsidRPr="00A30921" w:rsidP="008D43BD">
      <w:pPr>
        <w:rPr>
          <w:szCs w:val="22"/>
        </w:rPr>
      </w:pPr>
      <w:r w:rsidRPr="00A30921" w:rsidR="00A4080A">
        <w:rPr>
          <w:szCs w:val="22"/>
        </w:rPr>
        <w:t>Conjugation of DM1 to trastuzumab confers selectivity of the cytotoxic agent for HER2</w:t>
      </w:r>
      <w:r w:rsidRPr="00A30921" w:rsidR="00A4080A">
        <w:rPr>
          <w:szCs w:val="22"/>
        </w:rPr>
        <w:noBreakHyphen/>
        <w:t>overexpressing tumour cells, thereby increasing intracellular delivery of DM1 directly to malignant cells. Upon binding to HER2, trastuzumab emtansine undergoes receptor</w:t>
      </w:r>
      <w:r w:rsidRPr="00A30921" w:rsidR="00A4080A">
        <w:rPr>
          <w:szCs w:val="22"/>
        </w:rPr>
        <w:noBreakHyphen/>
        <w:t>mediated internalization and subsequent lysosomal degradation, resulting in release of DM1</w:t>
      </w:r>
      <w:r w:rsidRPr="00A30921" w:rsidR="00A4080A">
        <w:rPr>
          <w:szCs w:val="22"/>
        </w:rPr>
        <w:noBreakHyphen/>
        <w:t>containing cytotoxic catabolites (primarily lysine</w:t>
      </w:r>
      <w:r w:rsidRPr="00A30921" w:rsidR="00A4080A">
        <w:rPr>
          <w:szCs w:val="22"/>
        </w:rPr>
        <w:noBreakHyphen/>
        <w:t>MCC</w:t>
      </w:r>
      <w:r w:rsidRPr="00A30921" w:rsidR="00A4080A">
        <w:rPr>
          <w:szCs w:val="22"/>
        </w:rPr>
        <w:noBreakHyphen/>
        <w:t>DM1).</w:t>
      </w:r>
    </w:p>
    <w:p w:rsidR="008D43BD" w:rsidRPr="00A30921" w:rsidP="008D43BD">
      <w:pPr>
        <w:rPr>
          <w:szCs w:val="22"/>
        </w:rPr>
      </w:pPr>
    </w:p>
    <w:p w:rsidR="008D43BD" w:rsidRPr="00A30921" w:rsidP="008D43BD">
      <w:pPr>
        <w:rPr>
          <w:szCs w:val="22"/>
        </w:rPr>
      </w:pPr>
      <w:r w:rsidRPr="00A30921" w:rsidR="00A4080A">
        <w:rPr>
          <w:szCs w:val="22"/>
        </w:rPr>
        <w:t xml:space="preserve">Trastuzumab emtansine has the mechanisms of action of both trastuzumab and DM1: </w:t>
      </w:r>
    </w:p>
    <w:p w:rsidR="008D43BD" w:rsidRPr="00A30921" w:rsidP="008D43BD">
      <w:pPr>
        <w:rPr>
          <w:szCs w:val="22"/>
        </w:rPr>
      </w:pPr>
    </w:p>
    <w:p w:rsidR="008D43BD" w:rsidRPr="00A30921" w:rsidP="008D43BD">
      <w:pPr>
        <w:ind w:left="357" w:hanging="357"/>
      </w:pPr>
      <w:r w:rsidRPr="002D59C9" w:rsidR="00A4080A">
        <w:rPr>
          <w:rFonts w:ascii="Symbol" w:hAnsi="Symbol"/>
          <w:szCs w:val="22"/>
          <w:lang w:val="es-ES"/>
        </w:rPr>
        <w:sym w:font="Symbol" w:char="F0B7"/>
      </w:r>
      <w:r w:rsidRPr="00FF5E1A" w:rsidR="00A4080A">
        <w:rPr>
          <w:szCs w:val="24"/>
        </w:rPr>
        <w:tab/>
      </w:r>
      <w:r w:rsidRPr="00A30921" w:rsidR="00A4080A">
        <w:rPr>
          <w:szCs w:val="22"/>
        </w:rPr>
        <w:t>Trastuzumab emtansine, like trastuzum</w:t>
      </w:r>
      <w:r w:rsidRPr="00A30921" w:rsidR="00A4080A">
        <w:rPr>
          <w:szCs w:val="22"/>
        </w:rPr>
        <w:t>ab, binds to domain IV of the HER2 extracellular domain (ECD), as well as to Fcγ receptors and complement C1q. In addition, trastuzumab emtansine, like trastuzumab, inhibits</w:t>
      </w:r>
      <w:r w:rsidRPr="00A30921" w:rsidR="00A4080A">
        <w:t xml:space="preserve"> shedding of the HER2 ECD, inhibits signalling through the phosphatidylinositol 3</w:t>
      </w:r>
      <w:r w:rsidRPr="00A30921" w:rsidR="00A4080A">
        <w:noBreakHyphen/>
        <w:t>k</w:t>
      </w:r>
      <w:r w:rsidRPr="00A30921" w:rsidR="00A4080A">
        <w:t>inase (PI3</w:t>
      </w:r>
      <w:r w:rsidRPr="00A30921" w:rsidR="00A4080A">
        <w:noBreakHyphen/>
        <w:t>K) pathway, and mediates antibody</w:t>
      </w:r>
      <w:r w:rsidRPr="00A30921" w:rsidR="00A4080A">
        <w:noBreakHyphen/>
        <w:t>dependent cell</w:t>
      </w:r>
      <w:r w:rsidRPr="00A30921" w:rsidR="00A4080A">
        <w:noBreakHyphen/>
        <w:t xml:space="preserve">mediated cytotoxicity (ADCC) in human breast cancer cells that overexpress HER2.  </w:t>
      </w:r>
    </w:p>
    <w:p w:rsidR="008D43BD" w:rsidRPr="00A30921" w:rsidP="008D43BD">
      <w:pPr>
        <w:ind w:left="360"/>
      </w:pPr>
    </w:p>
    <w:p w:rsidR="008D43BD" w:rsidRPr="00A30921" w:rsidP="008D43BD">
      <w:pPr>
        <w:ind w:left="357" w:hanging="357"/>
      </w:pPr>
      <w:r w:rsidRPr="002D59C9" w:rsidR="00A4080A">
        <w:rPr>
          <w:rFonts w:ascii="Symbol" w:hAnsi="Symbol"/>
          <w:szCs w:val="22"/>
          <w:lang w:val="es-ES"/>
        </w:rPr>
        <w:sym w:font="Symbol" w:char="F0B7"/>
      </w:r>
      <w:r w:rsidRPr="00FF5E1A" w:rsidR="00A4080A">
        <w:rPr>
          <w:szCs w:val="24"/>
        </w:rPr>
        <w:tab/>
      </w:r>
      <w:r w:rsidRPr="00A30921" w:rsidR="00A4080A">
        <w:rPr>
          <w:szCs w:val="22"/>
        </w:rPr>
        <w:t xml:space="preserve">DM1, the cytotoxic component of trastuzumab emtansine, binds to tubulin. By inhibiting tubulin polymerization, both DM1 and trastuzumab emtansine cause cells to arrest in the G2/M phase of the cell cycle, ultimately leading to apoptotic cell death. Results from </w:t>
      </w:r>
      <w:r w:rsidRPr="00A30921" w:rsidR="00A4080A">
        <w:rPr>
          <w:i/>
          <w:szCs w:val="22"/>
        </w:rPr>
        <w:t>in vitro</w:t>
      </w:r>
      <w:r w:rsidRPr="00A30921" w:rsidR="00A4080A">
        <w:rPr>
          <w:szCs w:val="22"/>
        </w:rPr>
        <w:t xml:space="preserve"> cytotoxicity assays show that DM1 is 20</w:t>
      </w:r>
      <w:r w:rsidRPr="00A30921" w:rsidR="00A4080A">
        <w:rPr>
          <w:szCs w:val="22"/>
        </w:rPr>
        <w:noBreakHyphen/>
        <w:t xml:space="preserve">200 times more potent than taxanes and vinca alkaloids. </w:t>
      </w:r>
    </w:p>
    <w:p w:rsidR="008D43BD" w:rsidRPr="00A30921" w:rsidP="008D43BD">
      <w:pPr>
        <w:ind w:left="360"/>
      </w:pPr>
    </w:p>
    <w:p w:rsidR="008D43BD" w:rsidRPr="00A30921" w:rsidP="008D43BD">
      <w:pPr>
        <w:ind w:left="357" w:hanging="357"/>
      </w:pPr>
      <w:r w:rsidRPr="002D59C9" w:rsidR="00A4080A">
        <w:rPr>
          <w:rFonts w:ascii="Symbol" w:hAnsi="Symbol"/>
          <w:szCs w:val="22"/>
          <w:lang w:val="es-ES"/>
        </w:rPr>
        <w:sym w:font="Symbol" w:char="F0B7"/>
      </w:r>
      <w:r w:rsidRPr="00FF5E1A" w:rsidR="00A4080A">
        <w:rPr>
          <w:szCs w:val="24"/>
        </w:rPr>
        <w:tab/>
      </w:r>
      <w:r w:rsidRPr="00A30921" w:rsidR="00A4080A">
        <w:rPr>
          <w:szCs w:val="22"/>
        </w:rPr>
        <w:t xml:space="preserve">The MCC linker is designed to limit systemic release and increase targeted delivery of DM1, as demonstrated by detection of very low levels of free DM1 in plasma. </w:t>
      </w:r>
    </w:p>
    <w:p w:rsidR="008D43BD" w:rsidRPr="00A30921" w:rsidP="008D43BD">
      <w:pPr>
        <w:ind w:left="567" w:hanging="567"/>
        <w:rPr>
          <w:szCs w:val="22"/>
        </w:rPr>
      </w:pPr>
    </w:p>
    <w:p w:rsidR="008D43BD" w:rsidP="008D43BD">
      <w:pPr>
        <w:keepNext/>
        <w:keepLines/>
        <w:rPr>
          <w:szCs w:val="22"/>
          <w:u w:val="single"/>
        </w:rPr>
      </w:pPr>
      <w:r w:rsidRPr="00405F86" w:rsidR="00A4080A">
        <w:rPr>
          <w:szCs w:val="22"/>
          <w:u w:val="single"/>
        </w:rPr>
        <w:t xml:space="preserve">Clinical efficacy </w:t>
      </w:r>
    </w:p>
    <w:p w:rsidR="008D43BD" w:rsidP="008D43BD">
      <w:pPr>
        <w:keepNext/>
        <w:keepLines/>
        <w:rPr>
          <w:b/>
          <w:szCs w:val="22"/>
          <w:u w:val="single"/>
        </w:rPr>
      </w:pPr>
    </w:p>
    <w:p w:rsidR="008D43BD" w:rsidRPr="00751836" w:rsidP="008D43BD">
      <w:pPr>
        <w:ind w:left="357" w:hanging="357"/>
        <w:rPr>
          <w:i/>
          <w:szCs w:val="22"/>
          <w:u w:val="single"/>
        </w:rPr>
      </w:pPr>
      <w:r w:rsidRPr="00751836" w:rsidR="00A4080A">
        <w:rPr>
          <w:i/>
          <w:szCs w:val="22"/>
          <w:u w:val="single"/>
        </w:rPr>
        <w:t>Early Breast Cancer</w:t>
      </w:r>
    </w:p>
    <w:p w:rsidR="008D43BD" w:rsidP="008D43BD">
      <w:pPr>
        <w:pStyle w:val="Paragraph"/>
        <w:spacing w:after="0" w:line="240" w:lineRule="auto"/>
        <w:rPr>
          <w:rFonts w:ascii="Times New Roman" w:hAnsi="Times New Roman"/>
          <w:sz w:val="22"/>
          <w:szCs w:val="22"/>
          <w:lang w:val="en-GB"/>
        </w:rPr>
      </w:pPr>
    </w:p>
    <w:p w:rsidR="007C68CF" w:rsidP="002F2C4C">
      <w:pPr>
        <w:autoSpaceDE w:val="0"/>
        <w:autoSpaceDN w:val="0"/>
        <w:adjustRightInd w:val="0"/>
        <w:rPr>
          <w:i/>
          <w:szCs w:val="22"/>
          <w:u w:val="single"/>
          <w:lang w:val="en-GB"/>
        </w:rPr>
      </w:pPr>
      <w:r w:rsidRPr="00293138" w:rsidR="00A4080A">
        <w:rPr>
          <w:i/>
          <w:szCs w:val="22"/>
          <w:u w:val="single"/>
          <w:lang w:val="en-GB"/>
        </w:rPr>
        <w:t>BO27938 (KATHERINE)</w:t>
      </w:r>
      <w:r w:rsidR="00E07D6E">
        <w:rPr>
          <w:i/>
          <w:szCs w:val="22"/>
          <w:u w:val="single"/>
          <w:lang w:val="en-GB"/>
        </w:rPr>
        <w:t xml:space="preserve"> </w:t>
      </w:r>
    </w:p>
    <w:p w:rsidR="001902C8" w:rsidP="002F2C4C">
      <w:pPr>
        <w:autoSpaceDE w:val="0"/>
        <w:autoSpaceDN w:val="0"/>
        <w:adjustRightInd w:val="0"/>
        <w:rPr>
          <w:i/>
          <w:szCs w:val="22"/>
          <w:u w:val="single"/>
          <w:lang w:val="en-GB"/>
        </w:rPr>
      </w:pPr>
    </w:p>
    <w:p w:rsidR="00090A7E" w:rsidRPr="00B72F6F" w:rsidP="002F2C4C">
      <w:pPr>
        <w:autoSpaceDE w:val="0"/>
        <w:autoSpaceDN w:val="0"/>
        <w:adjustRightInd w:val="0"/>
        <w:rPr>
          <w:szCs w:val="22"/>
        </w:rPr>
      </w:pPr>
      <w:r w:rsidRPr="007C68CF" w:rsidR="00A70638">
        <w:rPr>
          <w:szCs w:val="22"/>
        </w:rPr>
        <w:t>BO27938 (</w:t>
      </w:r>
      <w:r w:rsidRPr="007C68CF">
        <w:rPr>
          <w:szCs w:val="22"/>
        </w:rPr>
        <w:t>KATHERINE</w:t>
      </w:r>
      <w:r w:rsidRPr="007C68CF" w:rsidR="00A70638">
        <w:rPr>
          <w:szCs w:val="22"/>
        </w:rPr>
        <w:t>)</w:t>
      </w:r>
      <w:r w:rsidRPr="00A70638" w:rsidR="00A70638">
        <w:rPr>
          <w:szCs w:val="22"/>
        </w:rPr>
        <w:t> </w:t>
      </w:r>
      <w:r w:rsidRPr="00090A7E">
        <w:rPr>
          <w:szCs w:val="22"/>
        </w:rPr>
        <w:t>was a randomized, multicenter, open-label trial of 1486 patients with HER2-positive, early breast cancer with residual invasive tumor</w:t>
      </w:r>
      <w:r w:rsidRPr="00A70638" w:rsidR="00A70638">
        <w:rPr>
          <w:szCs w:val="22"/>
        </w:rPr>
        <w:t> </w:t>
      </w:r>
      <w:r w:rsidRPr="00FB5D35">
        <w:rPr>
          <w:szCs w:val="22"/>
          <w:lang w:val="en-GB"/>
        </w:rPr>
        <w:t>(</w:t>
      </w:r>
      <w:r w:rsidRPr="00A70638">
        <w:rPr>
          <w:szCs w:val="22"/>
          <w:lang w:val="en-GB"/>
        </w:rPr>
        <w:t>patients who had not achieved pathological complete response (pCR</w:t>
      </w:r>
      <w:r w:rsidRPr="00A70638" w:rsidR="00A70638">
        <w:rPr>
          <w:szCs w:val="22"/>
          <w:lang w:val="en-GB"/>
        </w:rPr>
        <w:t>))</w:t>
      </w:r>
      <w:r w:rsidRPr="00A70638" w:rsidR="00A70638">
        <w:rPr>
          <w:szCs w:val="22"/>
        </w:rPr>
        <w:t> </w:t>
      </w:r>
      <w:r w:rsidRPr="00090A7E">
        <w:rPr>
          <w:szCs w:val="22"/>
        </w:rPr>
        <w:t xml:space="preserve">in the breast and/or axillary lymph nodes </w:t>
      </w:r>
      <w:r w:rsidRPr="00B72F6F" w:rsidR="00B72F6F">
        <w:rPr>
          <w:szCs w:val="22"/>
        </w:rPr>
        <w:t xml:space="preserve">following completion of </w:t>
      </w:r>
      <w:r w:rsidRPr="00CA6DA7" w:rsidR="00B72F6F">
        <w:rPr>
          <w:szCs w:val="22"/>
        </w:rPr>
        <w:t>preoperative systemic therapy</w:t>
      </w:r>
      <w:r w:rsidRPr="00CA6DA7" w:rsidR="00A70638">
        <w:rPr>
          <w:szCs w:val="22"/>
        </w:rPr>
        <w:t xml:space="preserve"> that included chemotherapy and HER2-targeted therapy.</w:t>
      </w:r>
      <w:r w:rsidRPr="00CA6DA7" w:rsidR="00B72F6F">
        <w:rPr>
          <w:szCs w:val="22"/>
        </w:rPr>
        <w:t xml:space="preserve"> Patients may have received more than one HER2-targeted therapy.</w:t>
      </w:r>
      <w:r w:rsidRPr="00CA6DA7">
        <w:rPr>
          <w:szCs w:val="22"/>
        </w:rPr>
        <w:t xml:space="preserve"> Patients received radiotherapy and/or hormonal therap</w:t>
      </w:r>
      <w:r w:rsidRPr="001B4A07">
        <w:rPr>
          <w:szCs w:val="22"/>
        </w:rPr>
        <w:t>y concurrent with study treatment as per local guidelines. Breast tumor samples were required to show HER2 overexpression defined as 3+ IHC or ISH amplification r</w:t>
      </w:r>
      <w:r w:rsidRPr="001B4A07">
        <w:rPr>
          <w:szCs w:val="22"/>
        </w:rPr>
        <w:t>atio ≥ 2.0 determined at a central laboratory. Patients were randomized (1:1) to receive trastuzumab or</w:t>
      </w:r>
      <w:r w:rsidRPr="00B34766" w:rsidR="00E72AEC">
        <w:rPr>
          <w:szCs w:val="22"/>
        </w:rPr>
        <w:t xml:space="preserve"> </w:t>
      </w:r>
      <w:r w:rsidRPr="00B34766" w:rsidR="00F55C5F">
        <w:rPr>
          <w:szCs w:val="22"/>
        </w:rPr>
        <w:t>trastuzumab emtansine</w:t>
      </w:r>
      <w:r w:rsidRPr="00B34766">
        <w:rPr>
          <w:szCs w:val="22"/>
        </w:rPr>
        <w:t xml:space="preserve">. Randomization was stratified by </w:t>
      </w:r>
      <w:r w:rsidRPr="00C35677" w:rsidR="00902D54">
        <w:rPr>
          <w:szCs w:val="22"/>
        </w:rPr>
        <w:t xml:space="preserve">clinical stage at presentation </w:t>
      </w:r>
      <w:r w:rsidRPr="00CA6DA7" w:rsidR="00902D54">
        <w:rPr>
          <w:szCs w:val="22"/>
        </w:rPr>
        <w:t>(operable vs. inoperable)</w:t>
      </w:r>
      <w:r w:rsidRPr="00CA6DA7">
        <w:rPr>
          <w:szCs w:val="22"/>
        </w:rPr>
        <w:t>, hormone receptor status, preoperative H</w:t>
      </w:r>
      <w:r w:rsidRPr="00CA6DA7">
        <w:rPr>
          <w:szCs w:val="22"/>
        </w:rPr>
        <w:t>ER2-directed therapy (trastuzumab, trastuzumab plus additional HER2-</w:t>
      </w:r>
      <w:r w:rsidRPr="00B72F6F">
        <w:rPr>
          <w:szCs w:val="22"/>
        </w:rPr>
        <w:t>directed agent[s]), and pathological nodal status evaluated after preoperative therapy.</w:t>
      </w:r>
    </w:p>
    <w:p w:rsidR="00173038" w:rsidRPr="00090A7E" w:rsidP="002F2C4C">
      <w:pPr>
        <w:autoSpaceDE w:val="0"/>
        <w:autoSpaceDN w:val="0"/>
        <w:adjustRightInd w:val="0"/>
        <w:rPr>
          <w:szCs w:val="22"/>
          <w:lang w:eastAsia="en-US"/>
        </w:rPr>
      </w:pPr>
    </w:p>
    <w:p w:rsidR="00090A7E" w:rsidP="004550DB">
      <w:pPr>
        <w:pStyle w:val="TextTi12"/>
        <w:spacing w:after="0"/>
        <w:jc w:val="left"/>
        <w:rPr>
          <w:rFonts w:ascii="Times New Roman" w:hAnsi="Times New Roman"/>
          <w:sz w:val="22"/>
          <w:szCs w:val="22"/>
        </w:rPr>
      </w:pPr>
      <w:r w:rsidR="00F55C5F">
        <w:rPr>
          <w:rFonts w:ascii="Times New Roman" w:hAnsi="Times New Roman"/>
          <w:sz w:val="22"/>
          <w:szCs w:val="22"/>
        </w:rPr>
        <w:t>T</w:t>
      </w:r>
      <w:r w:rsidRPr="00F55C5F" w:rsidR="00F55C5F">
        <w:rPr>
          <w:rFonts w:ascii="Times New Roman" w:hAnsi="Times New Roman"/>
          <w:sz w:val="22"/>
          <w:szCs w:val="22"/>
        </w:rPr>
        <w:t>rastuzumab emtansine</w:t>
      </w:r>
      <w:r w:rsidRPr="00090A7E">
        <w:rPr>
          <w:rFonts w:ascii="Times New Roman" w:hAnsi="Times New Roman"/>
          <w:sz w:val="22"/>
          <w:szCs w:val="22"/>
        </w:rPr>
        <w:t xml:space="preserve"> was given intravenously at 3.6 mg/kg on Day 1 of a 21-day cycle.  Trastuzumab was given intravenously at 6 mg/kg on Day 1 of a 21-day cycle. Patients were treated </w:t>
      </w:r>
      <w:r w:rsidRPr="00CA6DA7">
        <w:rPr>
          <w:rFonts w:ascii="Times New Roman" w:hAnsi="Times New Roman"/>
          <w:sz w:val="22"/>
          <w:szCs w:val="22"/>
        </w:rPr>
        <w:t xml:space="preserve">with </w:t>
      </w:r>
      <w:r w:rsidRPr="00CA6DA7" w:rsidR="00F55C5F">
        <w:rPr>
          <w:rFonts w:ascii="Times New Roman" w:hAnsi="Times New Roman"/>
          <w:sz w:val="22"/>
          <w:szCs w:val="22"/>
        </w:rPr>
        <w:t>trastuzumab emtansine</w:t>
      </w:r>
      <w:r w:rsidRPr="00CA6DA7">
        <w:rPr>
          <w:rFonts w:ascii="Times New Roman" w:hAnsi="Times New Roman"/>
          <w:sz w:val="22"/>
          <w:szCs w:val="22"/>
        </w:rPr>
        <w:t xml:space="preserve"> or trastuzumab for a total of 14 cycles unless there was recurrence of disease, withdrawal of consent, or unacceptable toxicity, whichever occurred first.</w:t>
      </w:r>
      <w:r w:rsidR="004550DB">
        <w:rPr>
          <w:rFonts w:ascii="Times New Roman" w:hAnsi="Times New Roman"/>
          <w:sz w:val="22"/>
          <w:szCs w:val="22"/>
        </w:rPr>
        <w:t xml:space="preserve"> </w:t>
      </w:r>
      <w:r w:rsidRPr="00CA6DA7">
        <w:rPr>
          <w:rFonts w:ascii="Times New Roman" w:hAnsi="Times New Roman"/>
          <w:sz w:val="22"/>
          <w:szCs w:val="22"/>
        </w:rPr>
        <w:t xml:space="preserve">Patients who discontinued </w:t>
      </w:r>
      <w:r w:rsidRPr="00CA6DA7" w:rsidR="00F55C5F">
        <w:rPr>
          <w:rFonts w:ascii="Times New Roman" w:hAnsi="Times New Roman"/>
          <w:sz w:val="22"/>
          <w:szCs w:val="22"/>
        </w:rPr>
        <w:t>trastuzumab emtansine</w:t>
      </w:r>
      <w:r w:rsidRPr="00CA6DA7">
        <w:rPr>
          <w:rFonts w:ascii="Times New Roman" w:hAnsi="Times New Roman"/>
          <w:sz w:val="22"/>
          <w:szCs w:val="22"/>
        </w:rPr>
        <w:t xml:space="preserve"> could complete the duration of their intended study treatment up to 14 cycles of HER2-direc</w:t>
      </w:r>
      <w:r w:rsidRPr="001B4A07">
        <w:rPr>
          <w:rFonts w:ascii="Times New Roman" w:hAnsi="Times New Roman"/>
          <w:sz w:val="22"/>
          <w:szCs w:val="22"/>
        </w:rPr>
        <w:t>ted therapy with trastuzumab if appropriate based on toxicity considerations and investigator discretion.</w:t>
      </w:r>
    </w:p>
    <w:p w:rsidR="00CA6DA7" w:rsidP="002F2C4C">
      <w:pPr>
        <w:pStyle w:val="TextTi12"/>
        <w:spacing w:after="0"/>
        <w:rPr>
          <w:rFonts w:ascii="Times New Roman" w:hAnsi="Times New Roman"/>
          <w:sz w:val="22"/>
          <w:szCs w:val="22"/>
        </w:rPr>
      </w:pPr>
    </w:p>
    <w:p w:rsidR="00090A7E" w:rsidP="002F2C4C">
      <w:pPr>
        <w:pStyle w:val="TextTi12"/>
        <w:spacing w:after="0"/>
        <w:rPr>
          <w:rFonts w:ascii="Times New Roman" w:hAnsi="Times New Roman"/>
          <w:sz w:val="22"/>
          <w:szCs w:val="22"/>
        </w:rPr>
      </w:pPr>
      <w:r w:rsidRPr="00090A7E">
        <w:rPr>
          <w:rFonts w:ascii="Times New Roman" w:hAnsi="Times New Roman"/>
          <w:sz w:val="22"/>
          <w:szCs w:val="22"/>
        </w:rPr>
        <w:t>The primary efficacy endpoint of the study was Invasive Disease</w:t>
      </w:r>
      <w:r w:rsidR="008266B3">
        <w:rPr>
          <w:rFonts w:ascii="Times New Roman" w:hAnsi="Times New Roman"/>
          <w:sz w:val="22"/>
          <w:szCs w:val="22"/>
        </w:rPr>
        <w:t>-</w:t>
      </w:r>
      <w:r w:rsidRPr="00090A7E">
        <w:rPr>
          <w:rFonts w:ascii="Times New Roman" w:hAnsi="Times New Roman"/>
          <w:sz w:val="22"/>
          <w:szCs w:val="22"/>
        </w:rPr>
        <w:t>Free Survival (IDFS). IDFS was defined as the time from the date of randomization to first occurrence of ipsilateral invasive breast tumor recurrence, ipsilateral local or regional invasive breast cancer recurrence, distant recurrence, contralateral invasive breast cancer, or death from any cause. Additional endpoints included IDFS including second pri</w:t>
      </w:r>
      <w:r w:rsidR="00F5735C">
        <w:rPr>
          <w:rFonts w:ascii="Times New Roman" w:hAnsi="Times New Roman"/>
          <w:sz w:val="22"/>
          <w:szCs w:val="22"/>
        </w:rPr>
        <w:t>mary non-breast cancer, disease-</w:t>
      </w:r>
      <w:r w:rsidRPr="00090A7E">
        <w:rPr>
          <w:rFonts w:ascii="Times New Roman" w:hAnsi="Times New Roman"/>
          <w:sz w:val="22"/>
          <w:szCs w:val="22"/>
        </w:rPr>
        <w:t>free survival (DFS), overall survival (OS), and distant recurrence-free interval (DRFI).</w:t>
      </w:r>
    </w:p>
    <w:p w:rsidR="002F2C4C" w:rsidRPr="00090A7E" w:rsidP="002F2C4C">
      <w:pPr>
        <w:pStyle w:val="TextTi12"/>
        <w:spacing w:after="0"/>
        <w:rPr>
          <w:rFonts w:ascii="Times New Roman" w:hAnsi="Times New Roman"/>
          <w:sz w:val="22"/>
          <w:szCs w:val="22"/>
        </w:rPr>
      </w:pPr>
    </w:p>
    <w:p w:rsidR="00F5735C" w:rsidP="00F5735C">
      <w:pPr>
        <w:pStyle w:val="TextTi12"/>
        <w:spacing w:after="0"/>
        <w:rPr>
          <w:rFonts w:ascii="Times New Roman" w:hAnsi="Times New Roman"/>
          <w:sz w:val="22"/>
          <w:szCs w:val="22"/>
        </w:rPr>
      </w:pPr>
      <w:r w:rsidRPr="00090A7E" w:rsidR="00090A7E">
        <w:rPr>
          <w:rFonts w:ascii="Times New Roman" w:hAnsi="Times New Roman"/>
          <w:sz w:val="22"/>
          <w:szCs w:val="22"/>
        </w:rPr>
        <w:t xml:space="preserve">Patient demographics and baseline tumor characteristics were balanced between treatment arms.  The median age was approximately 49 years (range 23-80 years), 72.8% were White, 8.7% were Asian and 2.7% were Black or African American.  All but 5 patients were </w:t>
      </w:r>
      <w:r w:rsidRPr="004550DB" w:rsidR="00090A7E">
        <w:rPr>
          <w:rFonts w:ascii="Times New Roman" w:hAnsi="Times New Roman"/>
          <w:sz w:val="22"/>
          <w:szCs w:val="22"/>
        </w:rPr>
        <w:t>women</w:t>
      </w:r>
      <w:r w:rsidRPr="004550DB" w:rsidR="00192F06">
        <w:rPr>
          <w:rFonts w:ascii="Times New Roman" w:hAnsi="Times New Roman"/>
          <w:sz w:val="22"/>
          <w:szCs w:val="22"/>
        </w:rPr>
        <w:t>; 3 men were included in the trastuzumab arm and 2 in the trastuzumab emtansine arm</w:t>
      </w:r>
      <w:r w:rsidRPr="004550DB" w:rsidR="00090A7E">
        <w:rPr>
          <w:rFonts w:ascii="Times New Roman" w:hAnsi="Times New Roman"/>
          <w:sz w:val="22"/>
          <w:szCs w:val="22"/>
        </w:rPr>
        <w:t>. 22.5 percent</w:t>
      </w:r>
      <w:r w:rsidRPr="00090A7E" w:rsidR="00090A7E">
        <w:rPr>
          <w:rFonts w:ascii="Times New Roman" w:hAnsi="Times New Roman"/>
          <w:sz w:val="22"/>
          <w:szCs w:val="22"/>
        </w:rPr>
        <w:t xml:space="preserve"> of patients were enrolled in North America, 54.2% in Europe and </w:t>
      </w:r>
      <w:r w:rsidRPr="00090A7E" w:rsidR="00090A7E">
        <w:rPr>
          <w:rFonts w:ascii="Times New Roman" w:hAnsi="Times New Roman"/>
          <w:sz w:val="22"/>
          <w:szCs w:val="22"/>
        </w:rPr>
        <w:t>23.3</w:t>
      </w:r>
      <w:r w:rsidRPr="00090A7E" w:rsidR="00090A7E">
        <w:rPr>
          <w:rFonts w:ascii="Times New Roman" w:hAnsi="Times New Roman"/>
          <w:sz w:val="22"/>
          <w:szCs w:val="22"/>
        </w:rPr>
        <w:t xml:space="preserve">% throughout the rest of the world.  Tumor prognostic characteristics including hormone receptor status (positive: 72.3%, negative: 27.7%), clinical stage at presentation (inoperable: 25.3%, operable: 74.8%) and pathological nodal status after </w:t>
      </w:r>
      <w:r w:rsidRPr="00CA6DA7">
        <w:rPr>
          <w:rFonts w:ascii="Times New Roman" w:hAnsi="Times New Roman"/>
          <w:sz w:val="22"/>
          <w:szCs w:val="22"/>
        </w:rPr>
        <w:t xml:space="preserve">preoperative therapy (node positive: 46.4%, node negative </w:t>
      </w:r>
      <w:r w:rsidR="004550DB">
        <w:rPr>
          <w:rFonts w:ascii="Times New Roman" w:hAnsi="Times New Roman"/>
          <w:sz w:val="22"/>
          <w:szCs w:val="22"/>
        </w:rPr>
        <w:t>o</w:t>
      </w:r>
      <w:r w:rsidRPr="00CA6DA7" w:rsidR="00585600">
        <w:rPr>
          <w:rFonts w:ascii="Times New Roman" w:hAnsi="Times New Roman"/>
          <w:sz w:val="22"/>
          <w:szCs w:val="22"/>
        </w:rPr>
        <w:t xml:space="preserve">r </w:t>
      </w:r>
      <w:r w:rsidRPr="00CA6DA7">
        <w:rPr>
          <w:rFonts w:ascii="Times New Roman" w:hAnsi="Times New Roman"/>
          <w:sz w:val="22"/>
          <w:szCs w:val="22"/>
        </w:rPr>
        <w:t xml:space="preserve">not evaluated: 53.6%) were similar in the study arms.   </w:t>
      </w:r>
    </w:p>
    <w:p w:rsidR="00802424" w:rsidP="00F5735C">
      <w:pPr>
        <w:pStyle w:val="TextTi12"/>
        <w:spacing w:after="0"/>
        <w:rPr>
          <w:rFonts w:ascii="Times New Roman" w:hAnsi="Times New Roman"/>
          <w:sz w:val="22"/>
          <w:szCs w:val="22"/>
        </w:rPr>
      </w:pPr>
    </w:p>
    <w:p w:rsidR="00F5735C" w:rsidP="00F5735C">
      <w:pPr>
        <w:pStyle w:val="Paragraph"/>
        <w:spacing w:after="0" w:line="240" w:lineRule="auto"/>
        <w:rPr>
          <w:rFonts w:ascii="Times New Roman" w:hAnsi="Times New Roman"/>
          <w:sz w:val="22"/>
          <w:szCs w:val="22"/>
        </w:rPr>
      </w:pPr>
      <w:r w:rsidRPr="00B34766">
        <w:rPr>
          <w:rFonts w:ascii="Times New Roman" w:hAnsi="Times New Roman"/>
          <w:sz w:val="22"/>
          <w:szCs w:val="22"/>
        </w:rPr>
        <w:t>The majority of the patients (76.9%) had</w:t>
      </w:r>
      <w:r w:rsidRPr="00C35677">
        <w:rPr>
          <w:rFonts w:ascii="Times New Roman" w:hAnsi="Times New Roman"/>
          <w:sz w:val="22"/>
          <w:szCs w:val="22"/>
        </w:rPr>
        <w:t xml:space="preserve"> received an anthracycline-containing neoadjuvant chemotherapy regimen.</w:t>
      </w:r>
      <w:r w:rsidRPr="00CA6DA7" w:rsidR="009F0E0A">
        <w:rPr>
          <w:rFonts w:ascii="Times New Roman" w:hAnsi="Times New Roman"/>
          <w:sz w:val="22"/>
          <w:szCs w:val="22"/>
        </w:rPr>
        <w:t>19.5% percent of patients received another HER2-targeted agent in addition to trastuzumab as a component of neoadjuvant therapy; 93.8% of these patients received pertuzumab</w:t>
      </w:r>
      <w:r w:rsidRPr="004550DB" w:rsidR="009F0E0A">
        <w:rPr>
          <w:rFonts w:ascii="Times New Roman" w:hAnsi="Times New Roman"/>
          <w:sz w:val="22"/>
          <w:szCs w:val="22"/>
        </w:rPr>
        <w:t>.</w:t>
      </w:r>
      <w:r w:rsidRPr="004550DB" w:rsidR="00CB2C3F">
        <w:rPr>
          <w:rFonts w:ascii="Times New Roman" w:hAnsi="Times New Roman"/>
          <w:sz w:val="22"/>
          <w:szCs w:val="22"/>
        </w:rPr>
        <w:t xml:space="preserve"> All of the patients had received taxanes as part of neoadjuvant chemotherapy.</w:t>
      </w:r>
    </w:p>
    <w:p w:rsidR="00874DB6" w:rsidP="00F5735C">
      <w:pPr>
        <w:pStyle w:val="Paragraph"/>
        <w:spacing w:after="0" w:line="240" w:lineRule="auto"/>
        <w:rPr>
          <w:rFonts w:ascii="Times New Roman" w:hAnsi="Times New Roman"/>
          <w:sz w:val="22"/>
          <w:szCs w:val="22"/>
        </w:rPr>
      </w:pPr>
    </w:p>
    <w:p w:rsidR="004550DB" w:rsidP="00F5735C">
      <w:pPr>
        <w:pStyle w:val="Paragraph"/>
        <w:spacing w:after="0" w:line="240" w:lineRule="auto"/>
        <w:rPr>
          <w:rFonts w:ascii="Times New Roman" w:hAnsi="Times New Roman"/>
          <w:sz w:val="22"/>
          <w:szCs w:val="22"/>
        </w:rPr>
      </w:pPr>
      <w:r w:rsidRPr="00CA6DA7">
        <w:rPr>
          <w:rFonts w:ascii="Times New Roman" w:hAnsi="Times New Roman"/>
          <w:sz w:val="22"/>
          <w:szCs w:val="22"/>
          <w:shd w:val="clear" w:color="auto" w:fill="FFFFFF"/>
        </w:rPr>
        <w:t>A clinically meaningful and statistically significant improvement in IDFS was observed in patients who received trastuzumab emtansine compared with trastuzumab (HR = 0.50, 95% CI [0.39, 0.64], p &lt;0.0001. Estimates of 3 years IDFS rates were 88.3% vs. 77.0% in</w:t>
      </w:r>
      <w:r w:rsidRPr="00CA6DA7">
        <w:rPr>
          <w:rFonts w:ascii="Times New Roman" w:hAnsi="Times New Roman"/>
          <w:sz w:val="22"/>
          <w:szCs w:val="22"/>
          <w:shd w:val="clear" w:color="auto" w:fill="FFFFFF"/>
        </w:rPr>
        <w:t xml:space="preserve"> </w:t>
      </w:r>
      <w:r w:rsidRPr="00CA6DA7">
        <w:rPr>
          <w:rFonts w:ascii="Times New Roman" w:hAnsi="Times New Roman"/>
          <w:sz w:val="22"/>
          <w:szCs w:val="22"/>
          <w:shd w:val="clear" w:color="auto" w:fill="FFFFFF"/>
        </w:rPr>
        <w:t>trastuzumab emtansine vs. trastuzumab arms, respectively. See Table 6 and Figure 1.</w:t>
      </w:r>
    </w:p>
    <w:p w:rsidR="009D34B2" w:rsidP="00DE306D">
      <w:pPr>
        <w:pStyle w:val="Paragraph"/>
        <w:spacing w:after="0" w:line="240" w:lineRule="auto"/>
        <w:rPr>
          <w:rFonts w:ascii="Times New Roman" w:hAnsi="Times New Roman"/>
          <w:sz w:val="22"/>
          <w:szCs w:val="22"/>
          <w:shd w:val="clear" w:color="auto" w:fill="FFFFFF"/>
        </w:rPr>
      </w:pPr>
    </w:p>
    <w:p w:rsidR="008D43BD" w:rsidRPr="00592288" w:rsidP="001E07C9">
      <w:pPr>
        <w:pStyle w:val="TableTitle"/>
        <w:spacing w:before="0" w:line="240" w:lineRule="auto"/>
        <w:rPr>
          <w:rFonts w:ascii="Times New Roman" w:hAnsi="Times New Roman"/>
          <w:sz w:val="22"/>
          <w:szCs w:val="22"/>
        </w:rPr>
      </w:pPr>
      <w:r w:rsidRPr="006F38C9" w:rsidR="00A4080A">
        <w:rPr>
          <w:rFonts w:ascii="Times New Roman" w:hAnsi="Times New Roman"/>
          <w:sz w:val="22"/>
          <w:szCs w:val="22"/>
        </w:rPr>
        <w:t>Table </w:t>
      </w:r>
      <w:r w:rsidR="008755D8">
        <w:rPr>
          <w:rFonts w:ascii="Times New Roman" w:hAnsi="Times New Roman"/>
          <w:sz w:val="22"/>
          <w:szCs w:val="22"/>
        </w:rPr>
        <w:t>6</w:t>
      </w:r>
      <w:r w:rsidRPr="006F38C9" w:rsidR="00A4080A">
        <w:rPr>
          <w:rFonts w:ascii="Times New Roman" w:hAnsi="Times New Roman"/>
          <w:sz w:val="22"/>
          <w:szCs w:val="22"/>
        </w:rPr>
        <w:tab/>
      </w:r>
      <w:r w:rsidRPr="006F38C9" w:rsidR="00A4080A">
        <w:rPr>
          <w:rFonts w:ascii="Times New Roman" w:hAnsi="Times New Roman"/>
          <w:bCs/>
          <w:sz w:val="22"/>
          <w:szCs w:val="22"/>
        </w:rPr>
        <w:t xml:space="preserve">Summary of </w:t>
      </w:r>
      <w:r w:rsidR="00A4080A">
        <w:rPr>
          <w:rFonts w:ascii="Times New Roman" w:hAnsi="Times New Roman"/>
          <w:bCs/>
          <w:sz w:val="22"/>
          <w:szCs w:val="22"/>
          <w:lang w:val="en-029"/>
        </w:rPr>
        <w:t>e</w:t>
      </w:r>
      <w:r w:rsidRPr="006F38C9" w:rsidR="00A4080A">
        <w:rPr>
          <w:rFonts w:ascii="Times New Roman" w:hAnsi="Times New Roman"/>
          <w:bCs/>
          <w:sz w:val="22"/>
          <w:szCs w:val="22"/>
        </w:rPr>
        <w:t xml:space="preserve">fficacy from </w:t>
      </w:r>
      <w:r w:rsidR="00A4080A">
        <w:rPr>
          <w:rFonts w:ascii="Times New Roman" w:hAnsi="Times New Roman"/>
          <w:bCs/>
          <w:sz w:val="22"/>
          <w:szCs w:val="22"/>
          <w:lang w:val="en-029"/>
        </w:rPr>
        <w:t>s</w:t>
      </w:r>
      <w:r w:rsidRPr="006F38C9" w:rsidR="00A4080A">
        <w:rPr>
          <w:rFonts w:ascii="Times New Roman" w:hAnsi="Times New Roman"/>
          <w:bCs/>
          <w:sz w:val="22"/>
          <w:szCs w:val="22"/>
        </w:rPr>
        <w:t xml:space="preserve">tudy </w:t>
      </w:r>
      <w:r w:rsidRPr="006F38C9" w:rsidR="00A4080A">
        <w:rPr>
          <w:rFonts w:ascii="Times New Roman" w:hAnsi="Times New Roman"/>
          <w:sz w:val="22"/>
          <w:szCs w:val="22"/>
        </w:rPr>
        <w:t>BO27938 (</w:t>
      </w:r>
      <w:r w:rsidRPr="006F38C9" w:rsidR="00A4080A">
        <w:rPr>
          <w:rFonts w:ascii="Times New Roman" w:hAnsi="Times New Roman"/>
          <w:spacing w:val="1"/>
          <w:sz w:val="22"/>
          <w:szCs w:val="22"/>
          <w:u w:color="000000"/>
        </w:rPr>
        <w:t>KATHERINE</w:t>
      </w:r>
      <w:r w:rsidRPr="006F38C9" w:rsidR="00A4080A">
        <w:rPr>
          <w:rFonts w:ascii="Times New Roman" w:hAnsi="Times New Roman"/>
          <w:sz w:val="22"/>
          <w:szCs w:val="22"/>
        </w:rPr>
        <w:t xml:space="preserve">) </w:t>
      </w:r>
    </w:p>
    <w:tbl>
      <w:tblPr>
        <w:tblStyle w:val="TableNormal"/>
        <w:tblW w:w="8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A0"/>
      </w:tblPr>
      <w:tblGrid>
        <w:gridCol w:w="4377"/>
        <w:gridCol w:w="2250"/>
        <w:gridCol w:w="2127"/>
      </w:tblGrid>
      <w:tr w:rsidTr="008D43BD">
        <w:tblPrEx>
          <w:tblW w:w="8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A0"/>
        </w:tblPrEx>
        <w:trPr>
          <w:cantSplit/>
          <w:tblHeader/>
        </w:trPr>
        <w:tc>
          <w:tcPr>
            <w:tcW w:w="4377" w:type="dxa"/>
            <w:vAlign w:val="bottom"/>
          </w:tcPr>
          <w:p w:rsidR="008D43BD" w:rsidRPr="008A70CA" w:rsidP="001E07C9">
            <w:pPr>
              <w:keepNext/>
              <w:keepLines/>
              <w:spacing w:before="50" w:after="50" w:line="240" w:lineRule="exact"/>
              <w:jc w:val="both"/>
              <w:rPr>
                <w:rFonts w:cs="Arial"/>
                <w:sz w:val="20"/>
              </w:rPr>
            </w:pPr>
          </w:p>
        </w:tc>
        <w:tc>
          <w:tcPr>
            <w:tcW w:w="2250" w:type="dxa"/>
            <w:vAlign w:val="bottom"/>
          </w:tcPr>
          <w:p w:rsidR="008D43BD" w:rsidRPr="008A70CA" w:rsidP="001E07C9">
            <w:pPr>
              <w:keepNext/>
              <w:keepLines/>
              <w:spacing w:before="50" w:after="50" w:line="240" w:lineRule="exact"/>
              <w:jc w:val="center"/>
              <w:rPr>
                <w:rFonts w:cs="Arial"/>
                <w:b/>
                <w:sz w:val="20"/>
              </w:rPr>
            </w:pPr>
            <w:r w:rsidR="00A4080A">
              <w:rPr>
                <w:rFonts w:cs="Arial"/>
                <w:b/>
                <w:sz w:val="20"/>
              </w:rPr>
              <w:t xml:space="preserve">Trastuzumab </w:t>
            </w:r>
          </w:p>
          <w:p w:rsidR="008D43BD" w:rsidRPr="008A70CA" w:rsidP="001E07C9">
            <w:pPr>
              <w:keepNext/>
              <w:keepLines/>
              <w:spacing w:before="50" w:after="50" w:line="240" w:lineRule="exact"/>
              <w:jc w:val="center"/>
              <w:rPr>
                <w:rFonts w:cs="Arial"/>
                <w:b/>
                <w:sz w:val="20"/>
              </w:rPr>
            </w:pPr>
            <w:r w:rsidRPr="008A70CA" w:rsidR="00A4080A">
              <w:rPr>
                <w:rFonts w:cs="Arial"/>
                <w:b/>
                <w:sz w:val="20"/>
              </w:rPr>
              <w:t>N</w:t>
            </w:r>
            <w:r w:rsidR="003851B4">
              <w:rPr>
                <w:rFonts w:cs="Arial"/>
                <w:b/>
                <w:sz w:val="20"/>
              </w:rPr>
              <w:t xml:space="preserve"> </w:t>
            </w:r>
            <w:r w:rsidRPr="008A70CA" w:rsidR="00A4080A">
              <w:rPr>
                <w:rFonts w:cs="Arial"/>
                <w:b/>
                <w:sz w:val="20"/>
              </w:rPr>
              <w:t>=</w:t>
            </w:r>
            <w:r w:rsidR="00A4080A">
              <w:rPr>
                <w:rFonts w:cs="Arial"/>
                <w:b/>
                <w:sz w:val="20"/>
              </w:rPr>
              <w:t xml:space="preserve"> 743</w:t>
            </w:r>
          </w:p>
        </w:tc>
        <w:tc>
          <w:tcPr>
            <w:tcW w:w="2127" w:type="dxa"/>
            <w:vAlign w:val="bottom"/>
          </w:tcPr>
          <w:p w:rsidR="008D43BD" w:rsidRPr="008A70CA" w:rsidP="001E07C9">
            <w:pPr>
              <w:keepNext/>
              <w:keepLines/>
              <w:spacing w:before="50" w:after="50" w:line="240" w:lineRule="exact"/>
              <w:jc w:val="center"/>
              <w:rPr>
                <w:rFonts w:cs="Arial"/>
                <w:b/>
                <w:sz w:val="20"/>
              </w:rPr>
            </w:pPr>
            <w:r w:rsidR="00A4080A">
              <w:rPr>
                <w:rFonts w:cs="Arial"/>
                <w:b/>
                <w:sz w:val="20"/>
              </w:rPr>
              <w:t>Trastuzumab Emtansine</w:t>
            </w:r>
          </w:p>
          <w:p w:rsidR="008D43BD" w:rsidRPr="008A70CA" w:rsidP="001E07C9">
            <w:pPr>
              <w:keepNext/>
              <w:keepLines/>
              <w:spacing w:before="50" w:after="50" w:line="240" w:lineRule="exact"/>
              <w:jc w:val="center"/>
              <w:rPr>
                <w:rFonts w:cs="Arial"/>
                <w:b/>
                <w:sz w:val="20"/>
              </w:rPr>
            </w:pPr>
            <w:r w:rsidRPr="008A70CA" w:rsidR="00A4080A">
              <w:rPr>
                <w:rFonts w:cs="Arial"/>
                <w:b/>
                <w:sz w:val="20"/>
              </w:rPr>
              <w:t>N</w:t>
            </w:r>
            <w:r w:rsidR="003851B4">
              <w:rPr>
                <w:rFonts w:cs="Arial"/>
                <w:b/>
                <w:sz w:val="20"/>
              </w:rPr>
              <w:t xml:space="preserve"> </w:t>
            </w:r>
            <w:r w:rsidRPr="008A70CA" w:rsidR="00A4080A">
              <w:rPr>
                <w:rFonts w:cs="Arial"/>
                <w:b/>
                <w:sz w:val="20"/>
              </w:rPr>
              <w:t>=</w:t>
            </w:r>
            <w:r w:rsidR="00A4080A">
              <w:rPr>
                <w:rFonts w:cs="Arial"/>
                <w:b/>
                <w:sz w:val="20"/>
              </w:rPr>
              <w:t xml:space="preserve"> 743</w:t>
            </w:r>
          </w:p>
        </w:tc>
      </w:tr>
      <w:tr w:rsidTr="008D43BD">
        <w:tblPrEx>
          <w:tblW w:w="8754" w:type="dxa"/>
          <w:tblCellMar>
            <w:left w:w="57" w:type="dxa"/>
            <w:right w:w="57" w:type="dxa"/>
          </w:tblCellMar>
          <w:tblLook w:val="00A0"/>
        </w:tblPrEx>
        <w:trPr>
          <w:cantSplit/>
        </w:trPr>
        <w:tc>
          <w:tcPr>
            <w:tcW w:w="4377" w:type="dxa"/>
            <w:tcBorders>
              <w:bottom w:val="single" w:sz="4" w:space="0" w:color="auto"/>
            </w:tcBorders>
            <w:vAlign w:val="bottom"/>
          </w:tcPr>
          <w:p w:rsidR="008D43BD" w:rsidRPr="008A70CA" w:rsidP="001E07C9">
            <w:pPr>
              <w:keepNext/>
              <w:keepLines/>
              <w:spacing w:before="50" w:after="50" w:line="240" w:lineRule="exact"/>
              <w:jc w:val="both"/>
              <w:rPr>
                <w:rFonts w:cs="Arial"/>
                <w:b/>
                <w:i/>
                <w:sz w:val="20"/>
              </w:rPr>
            </w:pPr>
            <w:r w:rsidRPr="008A70CA" w:rsidR="00A4080A">
              <w:rPr>
                <w:rFonts w:cs="Arial"/>
                <w:b/>
                <w:i/>
                <w:sz w:val="20"/>
              </w:rPr>
              <w:t>Primary Endpoint</w:t>
            </w:r>
          </w:p>
        </w:tc>
        <w:tc>
          <w:tcPr>
            <w:tcW w:w="4377" w:type="dxa"/>
            <w:gridSpan w:val="2"/>
            <w:tcBorders>
              <w:bottom w:val="single" w:sz="4" w:space="0" w:color="auto"/>
            </w:tcBorders>
            <w:vAlign w:val="bottom"/>
          </w:tcPr>
          <w:p w:rsidR="008D43BD" w:rsidRPr="008A70CA" w:rsidP="001E07C9">
            <w:pPr>
              <w:keepNext/>
              <w:keepLines/>
              <w:spacing w:before="50" w:after="50" w:line="240" w:lineRule="exact"/>
              <w:jc w:val="center"/>
              <w:rPr>
                <w:rFonts w:cs="Arial"/>
                <w:b/>
                <w:i/>
                <w:sz w:val="20"/>
              </w:rPr>
            </w:pPr>
          </w:p>
        </w:tc>
      </w:tr>
      <w:tr w:rsidTr="008D43BD">
        <w:tblPrEx>
          <w:tblW w:w="8754" w:type="dxa"/>
          <w:tblCellMar>
            <w:left w:w="57" w:type="dxa"/>
            <w:right w:w="57" w:type="dxa"/>
          </w:tblCellMar>
          <w:tblLook w:val="00A0"/>
        </w:tblPrEx>
        <w:trPr>
          <w:cantSplit/>
        </w:trPr>
        <w:tc>
          <w:tcPr>
            <w:tcW w:w="4377" w:type="dxa"/>
            <w:tcBorders>
              <w:top w:val="single" w:sz="4" w:space="0" w:color="auto"/>
              <w:left w:val="single" w:sz="4" w:space="0" w:color="auto"/>
              <w:bottom w:val="nil"/>
              <w:right w:val="single" w:sz="4" w:space="0" w:color="auto"/>
            </w:tcBorders>
            <w:vAlign w:val="bottom"/>
          </w:tcPr>
          <w:p w:rsidR="008D43BD" w:rsidRPr="004550DB" w:rsidP="001E07C9">
            <w:pPr>
              <w:keepNext/>
              <w:keepLines/>
              <w:spacing w:before="50" w:after="50" w:line="240" w:lineRule="exact"/>
              <w:jc w:val="both"/>
              <w:rPr>
                <w:rFonts w:cs="Arial"/>
                <w:b/>
                <w:sz w:val="20"/>
                <w:vertAlign w:val="superscript"/>
              </w:rPr>
            </w:pPr>
            <w:r w:rsidRPr="004550DB" w:rsidR="00A4080A">
              <w:rPr>
                <w:rFonts w:cs="Arial"/>
                <w:b/>
                <w:sz w:val="20"/>
              </w:rPr>
              <w:t>Invasive Disease</w:t>
            </w:r>
            <w:r w:rsidRPr="004550DB" w:rsidR="008755D8">
              <w:rPr>
                <w:rFonts w:cs="Arial"/>
                <w:b/>
                <w:sz w:val="20"/>
              </w:rPr>
              <w:t>-</w:t>
            </w:r>
            <w:r w:rsidRPr="004550DB" w:rsidR="00A4080A">
              <w:rPr>
                <w:rFonts w:cs="Arial"/>
                <w:b/>
                <w:sz w:val="20"/>
              </w:rPr>
              <w:t>Free Survival (IDFS)</w:t>
            </w:r>
            <w:r w:rsidRPr="004550DB" w:rsidR="007C5BD6">
              <w:rPr>
                <w:rFonts w:cs="Arial"/>
                <w:b/>
                <w:sz w:val="20"/>
                <w:vertAlign w:val="superscript"/>
              </w:rPr>
              <w:t xml:space="preserve"> </w:t>
            </w:r>
            <w:r w:rsidRPr="004550DB" w:rsidR="00A4080A">
              <w:rPr>
                <w:rFonts w:cs="Arial"/>
                <w:b/>
                <w:sz w:val="20"/>
                <w:vertAlign w:val="superscript"/>
              </w:rPr>
              <w:t xml:space="preserve"> </w:t>
            </w:r>
          </w:p>
        </w:tc>
        <w:tc>
          <w:tcPr>
            <w:tcW w:w="4377" w:type="dxa"/>
            <w:gridSpan w:val="2"/>
            <w:tcBorders>
              <w:top w:val="single" w:sz="4" w:space="0" w:color="auto"/>
              <w:left w:val="single" w:sz="4" w:space="0" w:color="auto"/>
              <w:bottom w:val="nil"/>
              <w:right w:val="single" w:sz="4" w:space="0" w:color="auto"/>
            </w:tcBorders>
            <w:vAlign w:val="bottom"/>
          </w:tcPr>
          <w:p w:rsidR="008D43BD" w:rsidRPr="004550DB" w:rsidP="001E07C9">
            <w:pPr>
              <w:keepNext/>
              <w:keepLines/>
              <w:spacing w:before="50" w:after="50" w:line="240" w:lineRule="exact"/>
              <w:jc w:val="center"/>
              <w:rPr>
                <w:rFonts w:cs="Arial"/>
                <w:sz w:val="20"/>
              </w:rPr>
            </w:pPr>
          </w:p>
        </w:tc>
      </w:tr>
      <w:tr w:rsidTr="008D43BD">
        <w:tblPrEx>
          <w:tblW w:w="8754" w:type="dxa"/>
          <w:tblCellMar>
            <w:left w:w="57" w:type="dxa"/>
            <w:right w:w="57" w:type="dxa"/>
          </w:tblCellMar>
          <w:tblLook w:val="00A0"/>
        </w:tblPrEx>
        <w:trPr>
          <w:cantSplit/>
        </w:trPr>
        <w:tc>
          <w:tcPr>
            <w:tcW w:w="4377" w:type="dxa"/>
            <w:tcBorders>
              <w:top w:val="nil"/>
              <w:left w:val="single" w:sz="4" w:space="0" w:color="auto"/>
              <w:bottom w:val="nil"/>
              <w:right w:val="single" w:sz="4" w:space="0" w:color="auto"/>
            </w:tcBorders>
            <w:vAlign w:val="bottom"/>
          </w:tcPr>
          <w:p w:rsidR="008D43BD" w:rsidRPr="004550DB" w:rsidP="001E07C9">
            <w:pPr>
              <w:keepNext/>
              <w:keepLines/>
              <w:spacing w:before="50" w:after="50" w:line="240" w:lineRule="exact"/>
              <w:ind w:left="226"/>
              <w:jc w:val="both"/>
              <w:rPr>
                <w:rFonts w:cs="Arial"/>
                <w:sz w:val="20"/>
              </w:rPr>
            </w:pPr>
            <w:r w:rsidRPr="004550DB" w:rsidR="00A4080A">
              <w:rPr>
                <w:rFonts w:cs="Arial"/>
                <w:sz w:val="20"/>
              </w:rPr>
              <w:t xml:space="preserve">Number (%) of patients with event </w:t>
            </w:r>
          </w:p>
        </w:tc>
        <w:tc>
          <w:tcPr>
            <w:tcW w:w="2250" w:type="dxa"/>
            <w:tcBorders>
              <w:top w:val="nil"/>
              <w:left w:val="single" w:sz="4" w:space="0" w:color="auto"/>
              <w:bottom w:val="nil"/>
              <w:right w:val="nil"/>
            </w:tcBorders>
            <w:vAlign w:val="bottom"/>
          </w:tcPr>
          <w:p w:rsidR="008D43BD" w:rsidRPr="004550DB" w:rsidP="001E07C9">
            <w:pPr>
              <w:keepNext/>
              <w:keepLines/>
              <w:tabs>
                <w:tab w:val="left" w:pos="1840"/>
              </w:tabs>
              <w:spacing w:before="50" w:after="50" w:line="240" w:lineRule="exact"/>
              <w:jc w:val="center"/>
              <w:rPr>
                <w:rFonts w:cs="Arial"/>
                <w:sz w:val="20"/>
              </w:rPr>
            </w:pPr>
            <w:r w:rsidRPr="004550DB" w:rsidR="00A4080A">
              <w:rPr>
                <w:rFonts w:cs="Arial"/>
                <w:sz w:val="20"/>
              </w:rPr>
              <w:t>165 (22.2%)</w:t>
            </w:r>
          </w:p>
        </w:tc>
        <w:tc>
          <w:tcPr>
            <w:tcW w:w="2127" w:type="dxa"/>
            <w:tcBorders>
              <w:top w:val="nil"/>
              <w:left w:val="nil"/>
              <w:bottom w:val="nil"/>
              <w:right w:val="single" w:sz="4" w:space="0" w:color="auto"/>
            </w:tcBorders>
            <w:vAlign w:val="bottom"/>
          </w:tcPr>
          <w:p w:rsidR="008D43BD" w:rsidRPr="004550DB" w:rsidP="001E07C9">
            <w:pPr>
              <w:keepNext/>
              <w:keepLines/>
              <w:spacing w:before="50" w:after="50" w:line="240" w:lineRule="exact"/>
              <w:jc w:val="center"/>
              <w:rPr>
                <w:rFonts w:cs="Arial"/>
                <w:sz w:val="20"/>
              </w:rPr>
            </w:pPr>
            <w:r w:rsidRPr="004550DB" w:rsidR="00A4080A">
              <w:rPr>
                <w:rFonts w:cs="Arial"/>
                <w:sz w:val="20"/>
              </w:rPr>
              <w:t>91 (12.2%)</w:t>
            </w:r>
          </w:p>
        </w:tc>
      </w:tr>
      <w:tr w:rsidTr="008D43BD">
        <w:tblPrEx>
          <w:tblW w:w="8754" w:type="dxa"/>
          <w:tblCellMar>
            <w:left w:w="57" w:type="dxa"/>
            <w:right w:w="57" w:type="dxa"/>
          </w:tblCellMar>
          <w:tblLook w:val="00A0"/>
        </w:tblPrEx>
        <w:trPr>
          <w:cantSplit/>
        </w:trPr>
        <w:tc>
          <w:tcPr>
            <w:tcW w:w="4377" w:type="dxa"/>
            <w:tcBorders>
              <w:top w:val="nil"/>
              <w:left w:val="single" w:sz="4" w:space="0" w:color="auto"/>
              <w:bottom w:val="nil"/>
              <w:right w:val="single" w:sz="4" w:space="0" w:color="auto"/>
            </w:tcBorders>
            <w:vAlign w:val="bottom"/>
          </w:tcPr>
          <w:p w:rsidR="008D43BD" w:rsidRPr="004550DB" w:rsidP="001E07C9">
            <w:pPr>
              <w:keepNext/>
              <w:keepLines/>
              <w:spacing w:before="50" w:after="50" w:line="240" w:lineRule="exact"/>
              <w:ind w:left="226"/>
              <w:jc w:val="both"/>
              <w:rPr>
                <w:rFonts w:cs="Arial"/>
                <w:sz w:val="20"/>
              </w:rPr>
            </w:pPr>
            <w:r w:rsidRPr="004550DB" w:rsidR="00A4080A">
              <w:rPr>
                <w:rFonts w:cs="Arial"/>
                <w:sz w:val="20"/>
              </w:rPr>
              <w:t>HR [95% CI]</w:t>
            </w:r>
          </w:p>
        </w:tc>
        <w:tc>
          <w:tcPr>
            <w:tcW w:w="4377" w:type="dxa"/>
            <w:gridSpan w:val="2"/>
            <w:tcBorders>
              <w:top w:val="nil"/>
              <w:left w:val="single" w:sz="4" w:space="0" w:color="auto"/>
              <w:bottom w:val="nil"/>
              <w:right w:val="single" w:sz="4" w:space="0" w:color="auto"/>
            </w:tcBorders>
            <w:vAlign w:val="bottom"/>
          </w:tcPr>
          <w:p w:rsidR="008D43BD" w:rsidRPr="004550DB" w:rsidP="001E07C9">
            <w:pPr>
              <w:keepNext/>
              <w:keepLines/>
              <w:spacing w:before="50" w:after="50" w:line="240" w:lineRule="exact"/>
              <w:jc w:val="center"/>
              <w:rPr>
                <w:rFonts w:cs="Arial"/>
                <w:sz w:val="20"/>
              </w:rPr>
            </w:pPr>
            <w:r w:rsidRPr="004550DB" w:rsidR="00A4080A">
              <w:rPr>
                <w:rFonts w:cs="Arial"/>
                <w:sz w:val="20"/>
              </w:rPr>
              <w:t>0.50 [0.39, 0.64]</w:t>
            </w:r>
          </w:p>
        </w:tc>
      </w:tr>
      <w:tr w:rsidTr="008D43BD">
        <w:tblPrEx>
          <w:tblW w:w="8754" w:type="dxa"/>
          <w:tblCellMar>
            <w:left w:w="57" w:type="dxa"/>
            <w:right w:w="57" w:type="dxa"/>
          </w:tblCellMar>
          <w:tblLook w:val="00A0"/>
        </w:tblPrEx>
        <w:trPr>
          <w:cantSplit/>
        </w:trPr>
        <w:tc>
          <w:tcPr>
            <w:tcW w:w="4377" w:type="dxa"/>
            <w:tcBorders>
              <w:top w:val="nil"/>
              <w:left w:val="single" w:sz="4" w:space="0" w:color="auto"/>
              <w:bottom w:val="nil"/>
              <w:right w:val="single" w:sz="4" w:space="0" w:color="auto"/>
            </w:tcBorders>
            <w:vAlign w:val="bottom"/>
          </w:tcPr>
          <w:p w:rsidR="008D43BD" w:rsidRPr="004550DB" w:rsidP="001E07C9">
            <w:pPr>
              <w:keepNext/>
              <w:keepLines/>
              <w:spacing w:before="50" w:after="50" w:line="240" w:lineRule="exact"/>
              <w:ind w:left="226"/>
              <w:jc w:val="both"/>
              <w:rPr>
                <w:rFonts w:cs="Arial"/>
                <w:sz w:val="20"/>
              </w:rPr>
            </w:pPr>
            <w:r w:rsidRPr="004550DB" w:rsidR="00A4080A">
              <w:rPr>
                <w:rFonts w:cs="Arial"/>
                <w:sz w:val="20"/>
              </w:rPr>
              <w:t>p-value (Log-Rank test, unstratified)</w:t>
            </w:r>
          </w:p>
        </w:tc>
        <w:tc>
          <w:tcPr>
            <w:tcW w:w="4377" w:type="dxa"/>
            <w:gridSpan w:val="2"/>
            <w:tcBorders>
              <w:top w:val="nil"/>
              <w:left w:val="single" w:sz="4" w:space="0" w:color="auto"/>
              <w:bottom w:val="nil"/>
              <w:right w:val="single" w:sz="4" w:space="0" w:color="auto"/>
            </w:tcBorders>
            <w:vAlign w:val="bottom"/>
          </w:tcPr>
          <w:p w:rsidR="008D43BD" w:rsidRPr="004550DB" w:rsidP="001E07C9">
            <w:pPr>
              <w:keepNext/>
              <w:keepLines/>
              <w:spacing w:before="50" w:after="50" w:line="240" w:lineRule="exact"/>
              <w:jc w:val="center"/>
              <w:rPr>
                <w:rFonts w:cs="Arial"/>
                <w:sz w:val="20"/>
              </w:rPr>
            </w:pPr>
            <w:r w:rsidRPr="004550DB" w:rsidR="00A4080A">
              <w:rPr>
                <w:rFonts w:cs="Arial"/>
                <w:sz w:val="20"/>
              </w:rPr>
              <w:t>&lt;0.0001</w:t>
            </w:r>
          </w:p>
        </w:tc>
      </w:tr>
      <w:tr w:rsidTr="008D43BD">
        <w:tblPrEx>
          <w:tblW w:w="8754" w:type="dxa"/>
          <w:tblCellMar>
            <w:left w:w="57" w:type="dxa"/>
            <w:right w:w="57" w:type="dxa"/>
          </w:tblCellMar>
          <w:tblLook w:val="00A0"/>
        </w:tblPrEx>
        <w:trPr>
          <w:cantSplit/>
        </w:trPr>
        <w:tc>
          <w:tcPr>
            <w:tcW w:w="4377" w:type="dxa"/>
            <w:tcBorders>
              <w:top w:val="nil"/>
              <w:left w:val="single" w:sz="4" w:space="0" w:color="auto"/>
              <w:bottom w:val="single" w:sz="4" w:space="0" w:color="auto"/>
              <w:right w:val="single" w:sz="4" w:space="0" w:color="auto"/>
            </w:tcBorders>
            <w:vAlign w:val="bottom"/>
          </w:tcPr>
          <w:p w:rsidR="008D43BD" w:rsidRPr="004550DB" w:rsidP="001E07C9">
            <w:pPr>
              <w:keepNext/>
              <w:keepLines/>
              <w:spacing w:before="50" w:after="50" w:line="240" w:lineRule="exact"/>
              <w:ind w:left="226"/>
              <w:jc w:val="both"/>
              <w:rPr>
                <w:rFonts w:cs="Arial"/>
                <w:sz w:val="20"/>
              </w:rPr>
            </w:pPr>
            <w:r w:rsidRPr="004550DB" w:rsidR="00A4080A">
              <w:rPr>
                <w:rFonts w:cs="Arial"/>
                <w:sz w:val="20"/>
              </w:rPr>
              <w:t>3 year event-free rate</w:t>
            </w:r>
            <w:r w:rsidRPr="004550DB" w:rsidR="00A4080A">
              <w:rPr>
                <w:rFonts w:cs="Arial"/>
                <w:sz w:val="20"/>
                <w:vertAlign w:val="superscript"/>
              </w:rPr>
              <w:t>2</w:t>
            </w:r>
            <w:r w:rsidRPr="004550DB" w:rsidR="00AE2A51">
              <w:rPr>
                <w:rFonts w:cs="Arial"/>
                <w:sz w:val="20"/>
              </w:rPr>
              <w:t xml:space="preserve">,% </w:t>
            </w:r>
            <w:r w:rsidRPr="004550DB" w:rsidR="00A4080A">
              <w:rPr>
                <w:rFonts w:cs="Arial"/>
                <w:sz w:val="20"/>
              </w:rPr>
              <w:t xml:space="preserve">[95% CI] </w:t>
            </w:r>
          </w:p>
        </w:tc>
        <w:tc>
          <w:tcPr>
            <w:tcW w:w="2250" w:type="dxa"/>
            <w:tcBorders>
              <w:top w:val="nil"/>
              <w:left w:val="single" w:sz="4" w:space="0" w:color="auto"/>
              <w:bottom w:val="single" w:sz="4" w:space="0" w:color="auto"/>
              <w:right w:val="nil"/>
            </w:tcBorders>
            <w:vAlign w:val="bottom"/>
          </w:tcPr>
          <w:p w:rsidR="008D43BD" w:rsidRPr="004550DB" w:rsidP="001E07C9">
            <w:pPr>
              <w:keepNext/>
              <w:keepLines/>
              <w:spacing w:before="50" w:after="50" w:line="240" w:lineRule="exact"/>
              <w:jc w:val="center"/>
              <w:rPr>
                <w:rFonts w:cs="Arial"/>
                <w:sz w:val="20"/>
              </w:rPr>
            </w:pPr>
            <w:r w:rsidRPr="004550DB" w:rsidR="00A4080A">
              <w:rPr>
                <w:rFonts w:cs="Arial"/>
                <w:sz w:val="20"/>
              </w:rPr>
              <w:t>77.02 [73.78, 80.26]</w:t>
            </w:r>
          </w:p>
        </w:tc>
        <w:tc>
          <w:tcPr>
            <w:tcW w:w="2127" w:type="dxa"/>
            <w:tcBorders>
              <w:top w:val="nil"/>
              <w:left w:val="nil"/>
              <w:bottom w:val="single" w:sz="4" w:space="0" w:color="auto"/>
              <w:right w:val="single" w:sz="4" w:space="0" w:color="auto"/>
            </w:tcBorders>
            <w:vAlign w:val="bottom"/>
          </w:tcPr>
          <w:p w:rsidR="008D43BD" w:rsidRPr="004550DB" w:rsidP="001E07C9">
            <w:pPr>
              <w:keepNext/>
              <w:keepLines/>
              <w:spacing w:before="50" w:after="50" w:line="240" w:lineRule="exact"/>
              <w:jc w:val="center"/>
              <w:rPr>
                <w:rFonts w:cs="Arial"/>
                <w:sz w:val="20"/>
              </w:rPr>
            </w:pPr>
            <w:r w:rsidRPr="004550DB" w:rsidR="00A4080A">
              <w:rPr>
                <w:rFonts w:cs="Arial"/>
                <w:sz w:val="20"/>
              </w:rPr>
              <w:t>88.27 [85.81, 90.72]</w:t>
            </w:r>
          </w:p>
        </w:tc>
      </w:tr>
      <w:tr w:rsidTr="008D43BD">
        <w:tblPrEx>
          <w:tblW w:w="8754" w:type="dxa"/>
          <w:tblCellMar>
            <w:left w:w="57" w:type="dxa"/>
            <w:right w:w="57" w:type="dxa"/>
          </w:tblCellMar>
          <w:tblLook w:val="00A0"/>
        </w:tblPrEx>
        <w:trPr>
          <w:cantSplit/>
        </w:trPr>
        <w:tc>
          <w:tcPr>
            <w:tcW w:w="4377" w:type="dxa"/>
            <w:tcBorders>
              <w:top w:val="single" w:sz="4" w:space="0" w:color="auto"/>
              <w:bottom w:val="single" w:sz="4" w:space="0" w:color="auto"/>
            </w:tcBorders>
            <w:vAlign w:val="bottom"/>
          </w:tcPr>
          <w:p w:rsidR="008D43BD" w:rsidRPr="004550DB" w:rsidP="001E07C9">
            <w:pPr>
              <w:keepNext/>
              <w:keepLines/>
              <w:spacing w:before="50" w:after="50" w:line="240" w:lineRule="exact"/>
              <w:jc w:val="both"/>
              <w:rPr>
                <w:rFonts w:cs="Arial"/>
                <w:b/>
                <w:i/>
                <w:sz w:val="20"/>
                <w:vertAlign w:val="superscript"/>
              </w:rPr>
            </w:pPr>
            <w:r w:rsidRPr="004550DB" w:rsidR="00A4080A">
              <w:rPr>
                <w:rFonts w:cs="Arial"/>
                <w:b/>
                <w:i/>
                <w:sz w:val="20"/>
              </w:rPr>
              <w:t>Secondary Endpoints</w:t>
            </w:r>
            <w:r w:rsidRPr="004550DB" w:rsidR="00A4080A">
              <w:rPr>
                <w:rFonts w:cs="Arial"/>
                <w:b/>
                <w:i/>
                <w:sz w:val="20"/>
                <w:vertAlign w:val="superscript"/>
              </w:rPr>
              <w:t>1</w:t>
            </w:r>
          </w:p>
        </w:tc>
        <w:tc>
          <w:tcPr>
            <w:tcW w:w="4377" w:type="dxa"/>
            <w:gridSpan w:val="2"/>
            <w:tcBorders>
              <w:top w:val="single" w:sz="4" w:space="0" w:color="auto"/>
              <w:bottom w:val="single" w:sz="4" w:space="0" w:color="auto"/>
            </w:tcBorders>
            <w:vAlign w:val="bottom"/>
          </w:tcPr>
          <w:p w:rsidR="008D43BD" w:rsidRPr="004550DB" w:rsidP="001E07C9">
            <w:pPr>
              <w:keepNext/>
              <w:keepLines/>
              <w:spacing w:before="50" w:after="50" w:line="240" w:lineRule="exact"/>
              <w:jc w:val="center"/>
              <w:rPr>
                <w:rFonts w:cs="Arial"/>
                <w:b/>
                <w:i/>
                <w:sz w:val="20"/>
              </w:rPr>
            </w:pPr>
          </w:p>
        </w:tc>
      </w:tr>
      <w:tr w:rsidTr="002B5D66">
        <w:tblPrEx>
          <w:tblW w:w="8754" w:type="dxa"/>
          <w:tblCellMar>
            <w:left w:w="57" w:type="dxa"/>
            <w:right w:w="57" w:type="dxa"/>
          </w:tblCellMar>
          <w:tblLook w:val="00A0"/>
        </w:tblPrEx>
        <w:trPr>
          <w:cantSplit/>
          <w:trHeight w:val="122"/>
        </w:trPr>
        <w:tc>
          <w:tcPr>
            <w:tcW w:w="4377" w:type="dxa"/>
            <w:tcBorders>
              <w:bottom w:val="nil"/>
            </w:tcBorders>
            <w:vAlign w:val="bottom"/>
          </w:tcPr>
          <w:p w:rsidR="00CB2C3F" w:rsidRPr="004550DB" w:rsidP="001E07C9">
            <w:pPr>
              <w:keepNext/>
              <w:keepLines/>
              <w:spacing w:before="50" w:after="50" w:line="240" w:lineRule="exact"/>
              <w:jc w:val="both"/>
              <w:rPr>
                <w:rFonts w:cs="Arial"/>
                <w:b/>
                <w:sz w:val="20"/>
                <w:vertAlign w:val="superscript"/>
              </w:rPr>
            </w:pPr>
            <w:r w:rsidRPr="004550DB">
              <w:rPr>
                <w:rFonts w:cs="Arial"/>
                <w:b/>
                <w:sz w:val="20"/>
              </w:rPr>
              <w:t>Overall Survival (OS)</w:t>
            </w:r>
          </w:p>
        </w:tc>
        <w:tc>
          <w:tcPr>
            <w:tcW w:w="4377" w:type="dxa"/>
            <w:gridSpan w:val="2"/>
            <w:tcBorders>
              <w:bottom w:val="nil"/>
            </w:tcBorders>
            <w:vAlign w:val="bottom"/>
          </w:tcPr>
          <w:p w:rsidR="00CB2C3F" w:rsidRPr="004550DB" w:rsidP="001E07C9">
            <w:pPr>
              <w:keepNext/>
              <w:kinsoku w:val="0"/>
              <w:overflowPunct w:val="0"/>
              <w:spacing w:after="120" w:line="172" w:lineRule="exact"/>
              <w:jc w:val="center"/>
              <w:rPr>
                <w:rFonts w:ascii="Courier New" w:eastAsia="MS Mincho" w:hAnsi="Courier New" w:cs="Courier New"/>
                <w:sz w:val="16"/>
                <w:szCs w:val="16"/>
              </w:rPr>
            </w:pPr>
          </w:p>
        </w:tc>
      </w:tr>
      <w:tr w:rsidTr="002B5D66">
        <w:tblPrEx>
          <w:tblW w:w="8754" w:type="dxa"/>
          <w:tblCellMar>
            <w:left w:w="57" w:type="dxa"/>
            <w:right w:w="57" w:type="dxa"/>
          </w:tblCellMar>
          <w:tblLook w:val="00A0"/>
        </w:tblPrEx>
        <w:trPr>
          <w:cantSplit/>
          <w:trHeight w:val="218"/>
        </w:trPr>
        <w:tc>
          <w:tcPr>
            <w:tcW w:w="4377" w:type="dxa"/>
            <w:tcBorders>
              <w:top w:val="nil"/>
              <w:bottom w:val="nil"/>
            </w:tcBorders>
            <w:vAlign w:val="bottom"/>
          </w:tcPr>
          <w:p w:rsidR="00CB2C3F" w:rsidRPr="004550DB" w:rsidP="001E07C9">
            <w:pPr>
              <w:keepNext/>
              <w:keepLines/>
              <w:spacing w:before="50" w:after="50" w:line="240" w:lineRule="exact"/>
              <w:ind w:left="226"/>
              <w:jc w:val="both"/>
              <w:rPr>
                <w:rFonts w:cs="Arial"/>
                <w:sz w:val="20"/>
              </w:rPr>
            </w:pPr>
            <w:r w:rsidRPr="004550DB">
              <w:rPr>
                <w:rFonts w:cs="Arial"/>
                <w:sz w:val="20"/>
              </w:rPr>
              <w:t>Number (%) of patients with event</w:t>
            </w:r>
          </w:p>
        </w:tc>
        <w:tc>
          <w:tcPr>
            <w:tcW w:w="2250" w:type="dxa"/>
            <w:tcBorders>
              <w:top w:val="nil"/>
              <w:bottom w:val="nil"/>
              <w:right w:val="nil"/>
            </w:tcBorders>
            <w:vAlign w:val="bottom"/>
          </w:tcPr>
          <w:p w:rsidR="00CB2C3F" w:rsidRPr="004550DB" w:rsidP="001E07C9">
            <w:pPr>
              <w:keepNext/>
              <w:keepLines/>
              <w:spacing w:before="50" w:after="50" w:line="240" w:lineRule="exact"/>
              <w:ind w:left="226"/>
              <w:jc w:val="center"/>
              <w:rPr>
                <w:rFonts w:cs="Arial"/>
                <w:sz w:val="20"/>
              </w:rPr>
            </w:pPr>
            <w:r w:rsidRPr="004550DB">
              <w:rPr>
                <w:rFonts w:cs="Arial"/>
                <w:sz w:val="20"/>
              </w:rPr>
              <w:t>56 (7.5%)</w:t>
            </w:r>
          </w:p>
        </w:tc>
        <w:tc>
          <w:tcPr>
            <w:tcW w:w="2127" w:type="dxa"/>
            <w:tcBorders>
              <w:top w:val="nil"/>
              <w:left w:val="nil"/>
              <w:bottom w:val="nil"/>
            </w:tcBorders>
            <w:vAlign w:val="bottom"/>
          </w:tcPr>
          <w:p w:rsidR="00CB2C3F" w:rsidRPr="004550DB" w:rsidP="001E07C9">
            <w:pPr>
              <w:keepNext/>
              <w:keepLines/>
              <w:spacing w:before="50" w:after="50" w:line="240" w:lineRule="exact"/>
              <w:ind w:left="226"/>
              <w:jc w:val="center"/>
              <w:rPr>
                <w:rFonts w:cs="Arial"/>
                <w:sz w:val="20"/>
              </w:rPr>
            </w:pPr>
            <w:r w:rsidRPr="004550DB">
              <w:rPr>
                <w:rFonts w:cs="Arial"/>
                <w:sz w:val="20"/>
              </w:rPr>
              <w:t>42 (5.7%)</w:t>
            </w:r>
          </w:p>
        </w:tc>
      </w:tr>
      <w:tr w:rsidTr="002B5D66">
        <w:tblPrEx>
          <w:tblW w:w="8754" w:type="dxa"/>
          <w:tblCellMar>
            <w:left w:w="57" w:type="dxa"/>
            <w:right w:w="57" w:type="dxa"/>
          </w:tblCellMar>
          <w:tblLook w:val="00A0"/>
        </w:tblPrEx>
        <w:trPr>
          <w:cantSplit/>
          <w:trHeight w:val="218"/>
        </w:trPr>
        <w:tc>
          <w:tcPr>
            <w:tcW w:w="4377" w:type="dxa"/>
            <w:tcBorders>
              <w:top w:val="nil"/>
              <w:bottom w:val="nil"/>
            </w:tcBorders>
            <w:vAlign w:val="bottom"/>
          </w:tcPr>
          <w:p w:rsidR="00CB2C3F" w:rsidRPr="004550DB" w:rsidP="001E07C9">
            <w:pPr>
              <w:keepNext/>
              <w:keepLines/>
              <w:spacing w:before="50" w:after="50" w:line="240" w:lineRule="exact"/>
              <w:ind w:left="226"/>
              <w:jc w:val="both"/>
              <w:rPr>
                <w:rFonts w:cs="Arial"/>
                <w:sz w:val="20"/>
              </w:rPr>
            </w:pPr>
            <w:r w:rsidRPr="004550DB">
              <w:rPr>
                <w:rFonts w:cs="Arial"/>
                <w:sz w:val="20"/>
              </w:rPr>
              <w:t>HR [95% CI]</w:t>
            </w:r>
          </w:p>
        </w:tc>
        <w:tc>
          <w:tcPr>
            <w:tcW w:w="4377" w:type="dxa"/>
            <w:gridSpan w:val="2"/>
            <w:tcBorders>
              <w:top w:val="nil"/>
              <w:bottom w:val="nil"/>
            </w:tcBorders>
            <w:vAlign w:val="bottom"/>
          </w:tcPr>
          <w:p w:rsidR="00CB2C3F" w:rsidRPr="004550DB" w:rsidP="001E07C9">
            <w:pPr>
              <w:keepNext/>
              <w:keepLines/>
              <w:spacing w:before="50" w:after="50" w:line="240" w:lineRule="exact"/>
              <w:jc w:val="center"/>
              <w:rPr>
                <w:rFonts w:cs="Arial"/>
                <w:sz w:val="20"/>
              </w:rPr>
            </w:pPr>
            <w:r w:rsidRPr="004550DB">
              <w:rPr>
                <w:rFonts w:cs="Arial"/>
                <w:sz w:val="20"/>
              </w:rPr>
              <w:t xml:space="preserve"> 0.70 [0.47, 1.05]</w:t>
            </w:r>
          </w:p>
        </w:tc>
      </w:tr>
      <w:tr w:rsidTr="002B5D66">
        <w:tblPrEx>
          <w:tblW w:w="8754" w:type="dxa"/>
          <w:tblCellMar>
            <w:left w:w="57" w:type="dxa"/>
            <w:right w:w="57" w:type="dxa"/>
          </w:tblCellMar>
          <w:tblLook w:val="00A0"/>
        </w:tblPrEx>
        <w:trPr>
          <w:cantSplit/>
          <w:trHeight w:val="218"/>
        </w:trPr>
        <w:tc>
          <w:tcPr>
            <w:tcW w:w="4377" w:type="dxa"/>
            <w:tcBorders>
              <w:top w:val="nil"/>
              <w:bottom w:val="nil"/>
            </w:tcBorders>
            <w:vAlign w:val="bottom"/>
          </w:tcPr>
          <w:p w:rsidR="00CB2C3F" w:rsidRPr="004550DB" w:rsidP="001E07C9">
            <w:pPr>
              <w:keepNext/>
              <w:keepLines/>
              <w:spacing w:before="50" w:after="50" w:line="240" w:lineRule="exact"/>
              <w:ind w:left="226"/>
              <w:jc w:val="both"/>
              <w:rPr>
                <w:rFonts w:cs="Arial"/>
                <w:sz w:val="20"/>
              </w:rPr>
            </w:pPr>
            <w:r w:rsidRPr="004550DB">
              <w:rPr>
                <w:rFonts w:cs="Arial"/>
                <w:sz w:val="20"/>
              </w:rPr>
              <w:t>p-value (Log-Rank test, unstratified)</w:t>
            </w:r>
          </w:p>
        </w:tc>
        <w:tc>
          <w:tcPr>
            <w:tcW w:w="4377" w:type="dxa"/>
            <w:gridSpan w:val="2"/>
            <w:tcBorders>
              <w:top w:val="nil"/>
              <w:bottom w:val="nil"/>
            </w:tcBorders>
            <w:vAlign w:val="bottom"/>
          </w:tcPr>
          <w:p w:rsidR="00CB2C3F" w:rsidRPr="004550DB" w:rsidP="001E07C9">
            <w:pPr>
              <w:keepNext/>
              <w:keepLines/>
              <w:spacing w:before="50" w:after="50" w:line="240" w:lineRule="exact"/>
              <w:jc w:val="center"/>
              <w:rPr>
                <w:rFonts w:cs="Arial"/>
                <w:sz w:val="20"/>
              </w:rPr>
            </w:pPr>
            <w:r w:rsidRPr="004550DB">
              <w:rPr>
                <w:rFonts w:cs="Arial"/>
                <w:sz w:val="20"/>
              </w:rPr>
              <w:t>0.0848</w:t>
            </w:r>
          </w:p>
        </w:tc>
      </w:tr>
      <w:tr w:rsidTr="002B5D66">
        <w:tblPrEx>
          <w:tblW w:w="8754" w:type="dxa"/>
          <w:tblCellMar>
            <w:left w:w="57" w:type="dxa"/>
            <w:right w:w="57" w:type="dxa"/>
          </w:tblCellMar>
          <w:tblLook w:val="00A0"/>
        </w:tblPrEx>
        <w:trPr>
          <w:cantSplit/>
          <w:trHeight w:val="218"/>
        </w:trPr>
        <w:tc>
          <w:tcPr>
            <w:tcW w:w="4377" w:type="dxa"/>
            <w:tcBorders>
              <w:top w:val="nil"/>
              <w:bottom w:val="single" w:sz="4" w:space="0" w:color="auto"/>
            </w:tcBorders>
            <w:vAlign w:val="bottom"/>
          </w:tcPr>
          <w:p w:rsidR="00CB2C3F" w:rsidRPr="004550DB" w:rsidP="001E07C9">
            <w:pPr>
              <w:keepNext/>
              <w:keepLines/>
              <w:spacing w:before="50" w:after="50" w:line="240" w:lineRule="exact"/>
              <w:ind w:left="226"/>
              <w:jc w:val="both"/>
              <w:rPr>
                <w:rFonts w:cs="Arial"/>
                <w:sz w:val="20"/>
              </w:rPr>
            </w:pPr>
            <w:r w:rsidRPr="004550DB">
              <w:rPr>
                <w:rFonts w:cs="Arial"/>
                <w:sz w:val="20"/>
              </w:rPr>
              <w:t>5 year survival rate</w:t>
            </w:r>
            <w:r w:rsidRPr="004550DB">
              <w:rPr>
                <w:rFonts w:cs="Arial"/>
                <w:sz w:val="20"/>
                <w:vertAlign w:val="superscript"/>
              </w:rPr>
              <w:t>2</w:t>
            </w:r>
            <w:r w:rsidRPr="004550DB">
              <w:rPr>
                <w:rFonts w:cs="Arial"/>
                <w:sz w:val="20"/>
              </w:rPr>
              <w:t>,% [95% CI]</w:t>
            </w:r>
          </w:p>
        </w:tc>
        <w:tc>
          <w:tcPr>
            <w:tcW w:w="2250" w:type="dxa"/>
            <w:tcBorders>
              <w:top w:val="nil"/>
              <w:bottom w:val="single" w:sz="4" w:space="0" w:color="auto"/>
              <w:right w:val="nil"/>
            </w:tcBorders>
            <w:vAlign w:val="bottom"/>
          </w:tcPr>
          <w:p w:rsidR="00CB2C3F" w:rsidRPr="004550DB" w:rsidP="001E07C9">
            <w:pPr>
              <w:keepNext/>
              <w:keepLines/>
              <w:spacing w:before="50" w:after="50" w:line="240" w:lineRule="exact"/>
              <w:ind w:left="226"/>
              <w:jc w:val="center"/>
              <w:rPr>
                <w:rFonts w:cs="Arial"/>
                <w:sz w:val="20"/>
              </w:rPr>
            </w:pPr>
            <w:r w:rsidRPr="004550DB">
              <w:rPr>
                <w:rFonts w:cs="Arial"/>
                <w:sz w:val="20"/>
              </w:rPr>
              <w:t>86.8 [80.95, 92.63]</w:t>
            </w:r>
          </w:p>
        </w:tc>
        <w:tc>
          <w:tcPr>
            <w:tcW w:w="2127" w:type="dxa"/>
            <w:tcBorders>
              <w:top w:val="nil"/>
              <w:left w:val="nil"/>
              <w:bottom w:val="single" w:sz="4" w:space="0" w:color="auto"/>
            </w:tcBorders>
            <w:vAlign w:val="bottom"/>
          </w:tcPr>
          <w:p w:rsidR="00CB2C3F" w:rsidRPr="004550DB" w:rsidP="001E07C9">
            <w:pPr>
              <w:keepNext/>
              <w:keepLines/>
              <w:spacing w:before="50" w:after="50" w:line="240" w:lineRule="exact"/>
              <w:ind w:left="226"/>
              <w:jc w:val="center"/>
              <w:rPr>
                <w:rFonts w:cs="Arial"/>
                <w:sz w:val="20"/>
              </w:rPr>
            </w:pPr>
            <w:r w:rsidRPr="004550DB">
              <w:rPr>
                <w:rFonts w:cs="Arial"/>
                <w:sz w:val="20"/>
              </w:rPr>
              <w:t>92.1 [89.44, 94.74]</w:t>
            </w:r>
          </w:p>
        </w:tc>
      </w:tr>
      <w:tr w:rsidTr="008D43BD">
        <w:tblPrEx>
          <w:tblW w:w="8754" w:type="dxa"/>
          <w:tblCellMar>
            <w:left w:w="57" w:type="dxa"/>
            <w:right w:w="57" w:type="dxa"/>
          </w:tblCellMar>
          <w:tblLook w:val="00A0"/>
        </w:tblPrEx>
        <w:trPr>
          <w:cantSplit/>
        </w:trPr>
        <w:tc>
          <w:tcPr>
            <w:tcW w:w="4377" w:type="dxa"/>
            <w:tcBorders>
              <w:bottom w:val="nil"/>
            </w:tcBorders>
            <w:vAlign w:val="bottom"/>
          </w:tcPr>
          <w:p w:rsidR="008D43BD" w:rsidRPr="004550DB" w:rsidP="001E07C9">
            <w:pPr>
              <w:keepNext/>
              <w:keepLines/>
              <w:spacing w:before="50" w:after="50" w:line="240" w:lineRule="exact"/>
              <w:rPr>
                <w:rFonts w:cs="Arial"/>
                <w:b/>
                <w:sz w:val="20"/>
                <w:vertAlign w:val="superscript"/>
              </w:rPr>
            </w:pPr>
            <w:r w:rsidRPr="004550DB" w:rsidR="00A4080A">
              <w:rPr>
                <w:rFonts w:cs="Arial"/>
                <w:b/>
                <w:sz w:val="20"/>
              </w:rPr>
              <w:t>IDFS</w:t>
            </w:r>
            <w:r w:rsidRPr="004550DB" w:rsidR="00A4080A">
              <w:t xml:space="preserve"> </w:t>
            </w:r>
            <w:r w:rsidRPr="004550DB" w:rsidR="00A4080A">
              <w:rPr>
                <w:rFonts w:cs="Arial"/>
                <w:b/>
                <w:sz w:val="20"/>
              </w:rPr>
              <w:t>including second primary non-breast cancer</w:t>
            </w:r>
            <w:r w:rsidRPr="004550DB" w:rsidR="00CB2C3F">
              <w:rPr>
                <w:rFonts w:cs="Arial"/>
                <w:b/>
                <w:sz w:val="20"/>
                <w:vertAlign w:val="superscript"/>
              </w:rPr>
              <w:t>3</w:t>
            </w:r>
          </w:p>
        </w:tc>
        <w:tc>
          <w:tcPr>
            <w:tcW w:w="4377" w:type="dxa"/>
            <w:gridSpan w:val="2"/>
            <w:tcBorders>
              <w:bottom w:val="nil"/>
            </w:tcBorders>
            <w:vAlign w:val="bottom"/>
          </w:tcPr>
          <w:p w:rsidR="008D43BD" w:rsidRPr="004550DB" w:rsidP="001E07C9">
            <w:pPr>
              <w:keepNext/>
              <w:keepLines/>
              <w:spacing w:before="50" w:after="50" w:line="240" w:lineRule="exact"/>
              <w:jc w:val="center"/>
              <w:rPr>
                <w:rFonts w:ascii="CourierStd" w:eastAsia="MS Mincho" w:hAnsi="CourierStd" w:cs="CourierStd"/>
                <w:sz w:val="16"/>
                <w:szCs w:val="16"/>
              </w:rPr>
            </w:pPr>
          </w:p>
        </w:tc>
      </w:tr>
      <w:tr w:rsidTr="008D43BD">
        <w:tblPrEx>
          <w:tblW w:w="8754" w:type="dxa"/>
          <w:tblCellMar>
            <w:left w:w="57" w:type="dxa"/>
            <w:right w:w="57" w:type="dxa"/>
          </w:tblCellMar>
          <w:tblLook w:val="00A0"/>
        </w:tblPrEx>
        <w:trPr>
          <w:cantSplit/>
        </w:trPr>
        <w:tc>
          <w:tcPr>
            <w:tcW w:w="4377" w:type="dxa"/>
            <w:tcBorders>
              <w:top w:val="nil"/>
              <w:bottom w:val="nil"/>
            </w:tcBorders>
            <w:vAlign w:val="bottom"/>
          </w:tcPr>
          <w:p w:rsidR="00AE2A51" w:rsidRPr="004550DB" w:rsidP="001E07C9">
            <w:pPr>
              <w:keepNext/>
              <w:keepLines/>
              <w:spacing w:before="50" w:after="50" w:line="240" w:lineRule="exact"/>
              <w:ind w:left="226"/>
              <w:jc w:val="both"/>
              <w:rPr>
                <w:rFonts w:cs="Arial"/>
                <w:sz w:val="20"/>
              </w:rPr>
            </w:pPr>
            <w:r w:rsidRPr="004550DB">
              <w:rPr>
                <w:rFonts w:cs="Arial"/>
                <w:sz w:val="20"/>
              </w:rPr>
              <w:t xml:space="preserve">Number (%) of patients with event </w:t>
            </w:r>
          </w:p>
        </w:tc>
        <w:tc>
          <w:tcPr>
            <w:tcW w:w="2250" w:type="dxa"/>
            <w:tcBorders>
              <w:top w:val="nil"/>
              <w:bottom w:val="nil"/>
              <w:right w:val="nil"/>
            </w:tcBorders>
            <w:vAlign w:val="bottom"/>
          </w:tcPr>
          <w:p w:rsidR="00AE2A51" w:rsidRPr="004550DB" w:rsidP="001E07C9">
            <w:pPr>
              <w:keepNext/>
              <w:keepLines/>
              <w:tabs>
                <w:tab w:val="left" w:pos="1840"/>
              </w:tabs>
              <w:spacing w:before="50" w:after="50" w:line="240" w:lineRule="exact"/>
              <w:jc w:val="center"/>
              <w:rPr>
                <w:rFonts w:cs="Arial"/>
                <w:sz w:val="20"/>
              </w:rPr>
            </w:pPr>
            <w:r w:rsidRPr="004550DB">
              <w:rPr>
                <w:rFonts w:cs="Arial"/>
                <w:sz w:val="20"/>
              </w:rPr>
              <w:t>167 (22.5%)</w:t>
            </w:r>
          </w:p>
        </w:tc>
        <w:tc>
          <w:tcPr>
            <w:tcW w:w="2127" w:type="dxa"/>
            <w:tcBorders>
              <w:top w:val="nil"/>
              <w:left w:val="nil"/>
              <w:bottom w:val="nil"/>
            </w:tcBorders>
            <w:vAlign w:val="bottom"/>
          </w:tcPr>
          <w:p w:rsidR="00AE2A51" w:rsidRPr="004550DB" w:rsidP="001E07C9">
            <w:pPr>
              <w:keepNext/>
              <w:keepLines/>
              <w:spacing w:before="50" w:after="50" w:line="240" w:lineRule="exact"/>
              <w:jc w:val="center"/>
              <w:rPr>
                <w:rFonts w:cs="Arial"/>
                <w:sz w:val="20"/>
              </w:rPr>
            </w:pPr>
            <w:r w:rsidRPr="004550DB">
              <w:rPr>
                <w:rFonts w:cs="Arial"/>
                <w:sz w:val="20"/>
              </w:rPr>
              <w:t>95 (12.8%)</w:t>
            </w:r>
          </w:p>
        </w:tc>
      </w:tr>
      <w:tr w:rsidTr="008D43BD">
        <w:tblPrEx>
          <w:tblW w:w="8754" w:type="dxa"/>
          <w:tblCellMar>
            <w:left w:w="57" w:type="dxa"/>
            <w:right w:w="57" w:type="dxa"/>
          </w:tblCellMar>
          <w:tblLook w:val="00A0"/>
        </w:tblPrEx>
        <w:trPr>
          <w:cantSplit/>
        </w:trPr>
        <w:tc>
          <w:tcPr>
            <w:tcW w:w="4377" w:type="dxa"/>
            <w:tcBorders>
              <w:top w:val="nil"/>
              <w:bottom w:val="nil"/>
            </w:tcBorders>
          </w:tcPr>
          <w:p w:rsidR="00AE2A51" w:rsidRPr="004550DB" w:rsidP="001E07C9">
            <w:pPr>
              <w:keepNext/>
              <w:keepLines/>
              <w:spacing w:before="50" w:after="50" w:line="240" w:lineRule="exact"/>
              <w:ind w:left="226"/>
              <w:rPr>
                <w:rFonts w:cs="Arial"/>
                <w:sz w:val="20"/>
              </w:rPr>
            </w:pPr>
            <w:r w:rsidRPr="004550DB">
              <w:rPr>
                <w:rFonts w:cs="Arial"/>
                <w:sz w:val="20"/>
              </w:rPr>
              <w:t>HR [95% CI]</w:t>
            </w:r>
          </w:p>
        </w:tc>
        <w:tc>
          <w:tcPr>
            <w:tcW w:w="4377" w:type="dxa"/>
            <w:gridSpan w:val="2"/>
            <w:tcBorders>
              <w:top w:val="nil"/>
              <w:bottom w:val="nil"/>
            </w:tcBorders>
          </w:tcPr>
          <w:p w:rsidR="00AE2A51" w:rsidRPr="004550DB" w:rsidP="001E07C9">
            <w:pPr>
              <w:keepNext/>
              <w:keepLines/>
              <w:spacing w:before="50" w:after="50" w:line="240" w:lineRule="exact"/>
              <w:jc w:val="center"/>
              <w:rPr>
                <w:rFonts w:cs="Arial"/>
                <w:sz w:val="20"/>
              </w:rPr>
            </w:pPr>
            <w:r w:rsidRPr="004550DB">
              <w:rPr>
                <w:rFonts w:cs="Arial"/>
                <w:sz w:val="20"/>
              </w:rPr>
              <w:t>0.51 [0.40, 0.66]</w:t>
            </w:r>
          </w:p>
        </w:tc>
      </w:tr>
      <w:tr w:rsidTr="008D43BD">
        <w:tblPrEx>
          <w:tblW w:w="8754" w:type="dxa"/>
          <w:tblCellMar>
            <w:left w:w="57" w:type="dxa"/>
            <w:right w:w="57" w:type="dxa"/>
          </w:tblCellMar>
          <w:tblLook w:val="00A0"/>
        </w:tblPrEx>
        <w:trPr>
          <w:cantSplit/>
        </w:trPr>
        <w:tc>
          <w:tcPr>
            <w:tcW w:w="4377" w:type="dxa"/>
            <w:tcBorders>
              <w:top w:val="nil"/>
              <w:bottom w:val="nil"/>
            </w:tcBorders>
            <w:vAlign w:val="bottom"/>
          </w:tcPr>
          <w:p w:rsidR="00AE2A51" w:rsidRPr="004550DB" w:rsidP="001E07C9">
            <w:pPr>
              <w:keepNext/>
              <w:keepLines/>
              <w:spacing w:before="50" w:after="50" w:line="240" w:lineRule="exact"/>
              <w:ind w:left="226"/>
              <w:jc w:val="both"/>
              <w:rPr>
                <w:rFonts w:cs="Arial"/>
                <w:sz w:val="20"/>
              </w:rPr>
            </w:pPr>
            <w:r w:rsidRPr="004550DB">
              <w:rPr>
                <w:rFonts w:cs="Arial"/>
                <w:sz w:val="20"/>
              </w:rPr>
              <w:t>p-value (Log-Rank test, unstratified)</w:t>
            </w:r>
          </w:p>
        </w:tc>
        <w:tc>
          <w:tcPr>
            <w:tcW w:w="4377" w:type="dxa"/>
            <w:gridSpan w:val="2"/>
            <w:tcBorders>
              <w:top w:val="nil"/>
              <w:bottom w:val="nil"/>
            </w:tcBorders>
            <w:vAlign w:val="bottom"/>
          </w:tcPr>
          <w:p w:rsidR="00AE2A51" w:rsidRPr="004550DB" w:rsidP="001E07C9">
            <w:pPr>
              <w:keepNext/>
              <w:keepLines/>
              <w:spacing w:before="50" w:after="50" w:line="240" w:lineRule="exact"/>
              <w:jc w:val="center"/>
              <w:rPr>
                <w:rFonts w:cs="Arial"/>
                <w:sz w:val="20"/>
              </w:rPr>
            </w:pPr>
            <w:r w:rsidRPr="004550DB">
              <w:rPr>
                <w:rFonts w:cs="Arial"/>
                <w:sz w:val="20"/>
              </w:rPr>
              <w:t>&lt;0.0001</w:t>
            </w:r>
          </w:p>
        </w:tc>
      </w:tr>
      <w:tr w:rsidTr="008D43BD">
        <w:tblPrEx>
          <w:tblW w:w="8754" w:type="dxa"/>
          <w:tblCellMar>
            <w:left w:w="57" w:type="dxa"/>
            <w:right w:w="57" w:type="dxa"/>
          </w:tblCellMar>
          <w:tblLook w:val="00A0"/>
        </w:tblPrEx>
        <w:trPr>
          <w:cantSplit/>
        </w:trPr>
        <w:tc>
          <w:tcPr>
            <w:tcW w:w="4377" w:type="dxa"/>
            <w:tcBorders>
              <w:top w:val="nil"/>
              <w:bottom w:val="single" w:sz="4" w:space="0" w:color="auto"/>
            </w:tcBorders>
            <w:vAlign w:val="bottom"/>
          </w:tcPr>
          <w:p w:rsidR="00AE2A51" w:rsidRPr="004550DB" w:rsidP="001E07C9">
            <w:pPr>
              <w:keepNext/>
              <w:keepLines/>
              <w:spacing w:before="50" w:after="50" w:line="240" w:lineRule="exact"/>
              <w:ind w:left="226"/>
              <w:jc w:val="both"/>
              <w:rPr>
                <w:rFonts w:cs="Arial"/>
                <w:sz w:val="20"/>
              </w:rPr>
            </w:pPr>
            <w:r w:rsidRPr="004550DB">
              <w:rPr>
                <w:rFonts w:cs="Arial"/>
                <w:sz w:val="20"/>
              </w:rPr>
              <w:t>3 year event-free rate</w:t>
            </w:r>
            <w:r w:rsidRPr="004550DB">
              <w:rPr>
                <w:rFonts w:cs="Arial"/>
                <w:sz w:val="20"/>
                <w:vertAlign w:val="superscript"/>
              </w:rPr>
              <w:t>2</w:t>
            </w:r>
            <w:r w:rsidRPr="004550DB">
              <w:rPr>
                <w:rFonts w:cs="Arial"/>
                <w:sz w:val="20"/>
              </w:rPr>
              <w:t xml:space="preserve">,% [95% CI] </w:t>
            </w:r>
          </w:p>
        </w:tc>
        <w:tc>
          <w:tcPr>
            <w:tcW w:w="2250" w:type="dxa"/>
            <w:tcBorders>
              <w:top w:val="nil"/>
              <w:bottom w:val="single" w:sz="4" w:space="0" w:color="auto"/>
              <w:right w:val="nil"/>
            </w:tcBorders>
            <w:vAlign w:val="bottom"/>
          </w:tcPr>
          <w:p w:rsidR="00AE2A51" w:rsidRPr="004550DB" w:rsidP="001E07C9">
            <w:pPr>
              <w:keepNext/>
              <w:keepLines/>
              <w:spacing w:before="50" w:after="50" w:line="240" w:lineRule="exact"/>
              <w:jc w:val="center"/>
              <w:rPr>
                <w:rFonts w:cs="Arial"/>
                <w:sz w:val="20"/>
              </w:rPr>
            </w:pPr>
            <w:r w:rsidRPr="004550DB">
              <w:rPr>
                <w:rFonts w:cs="Arial"/>
                <w:sz w:val="20"/>
              </w:rPr>
              <w:t>76.9 [73.65, 80.14]</w:t>
            </w:r>
          </w:p>
        </w:tc>
        <w:tc>
          <w:tcPr>
            <w:tcW w:w="2127" w:type="dxa"/>
            <w:tcBorders>
              <w:top w:val="nil"/>
              <w:left w:val="nil"/>
              <w:bottom w:val="single" w:sz="4" w:space="0" w:color="auto"/>
            </w:tcBorders>
            <w:vAlign w:val="bottom"/>
          </w:tcPr>
          <w:p w:rsidR="00AE2A51" w:rsidRPr="004550DB" w:rsidP="001E07C9">
            <w:pPr>
              <w:keepNext/>
              <w:keepLines/>
              <w:spacing w:before="50" w:after="50" w:line="240" w:lineRule="exact"/>
              <w:jc w:val="center"/>
              <w:rPr>
                <w:rFonts w:cs="Arial"/>
                <w:sz w:val="20"/>
              </w:rPr>
            </w:pPr>
            <w:r w:rsidRPr="004550DB">
              <w:rPr>
                <w:rFonts w:cs="Arial"/>
                <w:sz w:val="20"/>
              </w:rPr>
              <w:t>87.7 [85.18, 90.18]</w:t>
            </w:r>
          </w:p>
        </w:tc>
      </w:tr>
      <w:tr w:rsidTr="008D43BD">
        <w:tblPrEx>
          <w:tblW w:w="8754" w:type="dxa"/>
          <w:tblCellMar>
            <w:left w:w="57" w:type="dxa"/>
            <w:right w:w="57" w:type="dxa"/>
          </w:tblCellMar>
          <w:tblLook w:val="00A0"/>
        </w:tblPrEx>
        <w:trPr>
          <w:cantSplit/>
        </w:trPr>
        <w:tc>
          <w:tcPr>
            <w:tcW w:w="4377" w:type="dxa"/>
            <w:tcBorders>
              <w:bottom w:val="nil"/>
            </w:tcBorders>
            <w:vAlign w:val="bottom"/>
          </w:tcPr>
          <w:p w:rsidR="00AE2A51" w:rsidRPr="004550DB" w:rsidP="001E07C9">
            <w:pPr>
              <w:keepNext/>
              <w:keepLines/>
              <w:spacing w:before="50" w:after="50" w:line="240" w:lineRule="exact"/>
              <w:jc w:val="both"/>
              <w:rPr>
                <w:b/>
                <w:sz w:val="20"/>
                <w:vertAlign w:val="superscript"/>
              </w:rPr>
            </w:pPr>
            <w:r w:rsidRPr="004550DB" w:rsidR="00F5735C">
              <w:rPr>
                <w:rFonts w:cs="Arial"/>
                <w:b/>
                <w:sz w:val="20"/>
              </w:rPr>
              <w:t>Disease-</w:t>
            </w:r>
            <w:r w:rsidRPr="004550DB">
              <w:rPr>
                <w:rFonts w:cs="Arial"/>
                <w:b/>
                <w:sz w:val="20"/>
              </w:rPr>
              <w:t>Free Survival (DFS)</w:t>
            </w:r>
            <w:r w:rsidRPr="004550DB" w:rsidR="00CB2C3F">
              <w:rPr>
                <w:rFonts w:cs="Arial"/>
                <w:b/>
                <w:sz w:val="20"/>
                <w:vertAlign w:val="superscript"/>
              </w:rPr>
              <w:t>3</w:t>
            </w:r>
            <w:r w:rsidRPr="004550DB">
              <w:rPr>
                <w:rFonts w:cs="Arial"/>
                <w:b/>
                <w:sz w:val="20"/>
              </w:rPr>
              <w:t xml:space="preserve"> </w:t>
            </w:r>
          </w:p>
        </w:tc>
        <w:tc>
          <w:tcPr>
            <w:tcW w:w="4377" w:type="dxa"/>
            <w:gridSpan w:val="2"/>
            <w:tcBorders>
              <w:bottom w:val="nil"/>
            </w:tcBorders>
            <w:vAlign w:val="bottom"/>
          </w:tcPr>
          <w:p w:rsidR="00AE2A51" w:rsidRPr="004550DB" w:rsidP="001E07C9">
            <w:pPr>
              <w:keepNext/>
              <w:keepLines/>
              <w:spacing w:before="50" w:after="50" w:line="240" w:lineRule="exact"/>
              <w:jc w:val="center"/>
              <w:rPr>
                <w:rFonts w:cs="Arial"/>
                <w:b/>
                <w:sz w:val="20"/>
              </w:rPr>
            </w:pPr>
          </w:p>
        </w:tc>
      </w:tr>
      <w:tr w:rsidTr="008D43BD">
        <w:tblPrEx>
          <w:tblW w:w="8754" w:type="dxa"/>
          <w:tblCellMar>
            <w:left w:w="57" w:type="dxa"/>
            <w:right w:w="57" w:type="dxa"/>
          </w:tblCellMar>
          <w:tblLook w:val="00A0"/>
        </w:tblPrEx>
        <w:trPr>
          <w:cantSplit/>
        </w:trPr>
        <w:tc>
          <w:tcPr>
            <w:tcW w:w="4377" w:type="dxa"/>
            <w:tcBorders>
              <w:top w:val="nil"/>
              <w:bottom w:val="nil"/>
            </w:tcBorders>
            <w:vAlign w:val="bottom"/>
          </w:tcPr>
          <w:p w:rsidR="00AE2A51" w:rsidRPr="004550DB" w:rsidP="001E07C9">
            <w:pPr>
              <w:keepNext/>
              <w:keepLines/>
              <w:spacing w:before="50" w:after="50" w:line="240" w:lineRule="exact"/>
              <w:ind w:left="213"/>
              <w:jc w:val="both"/>
              <w:rPr>
                <w:rFonts w:cs="Arial"/>
                <w:sz w:val="20"/>
              </w:rPr>
            </w:pPr>
            <w:r w:rsidRPr="004550DB">
              <w:rPr>
                <w:rFonts w:cs="Arial"/>
                <w:sz w:val="20"/>
              </w:rPr>
              <w:t>Number (%) of patients with event</w:t>
            </w:r>
          </w:p>
        </w:tc>
        <w:tc>
          <w:tcPr>
            <w:tcW w:w="2250" w:type="dxa"/>
            <w:tcBorders>
              <w:top w:val="nil"/>
              <w:bottom w:val="nil"/>
              <w:right w:val="nil"/>
            </w:tcBorders>
            <w:vAlign w:val="bottom"/>
          </w:tcPr>
          <w:p w:rsidR="00AE2A51" w:rsidRPr="004550DB" w:rsidP="001E07C9">
            <w:pPr>
              <w:keepNext/>
              <w:keepLines/>
              <w:spacing w:before="50" w:after="50" w:line="240" w:lineRule="exact"/>
              <w:jc w:val="center"/>
              <w:rPr>
                <w:rFonts w:cs="Arial"/>
                <w:sz w:val="20"/>
              </w:rPr>
            </w:pPr>
            <w:r w:rsidRPr="004550DB">
              <w:rPr>
                <w:rFonts w:cs="Arial"/>
                <w:sz w:val="20"/>
              </w:rPr>
              <w:t>167 (22.5%)</w:t>
            </w:r>
          </w:p>
        </w:tc>
        <w:tc>
          <w:tcPr>
            <w:tcW w:w="2127" w:type="dxa"/>
            <w:tcBorders>
              <w:top w:val="nil"/>
              <w:left w:val="nil"/>
              <w:bottom w:val="nil"/>
            </w:tcBorders>
            <w:vAlign w:val="bottom"/>
          </w:tcPr>
          <w:p w:rsidR="00AE2A51" w:rsidRPr="004550DB" w:rsidP="001E07C9">
            <w:pPr>
              <w:keepNext/>
              <w:keepLines/>
              <w:spacing w:before="50" w:after="50" w:line="240" w:lineRule="exact"/>
              <w:jc w:val="center"/>
              <w:rPr>
                <w:rFonts w:cs="Arial"/>
                <w:sz w:val="20"/>
              </w:rPr>
            </w:pPr>
            <w:r w:rsidRPr="004550DB">
              <w:rPr>
                <w:rFonts w:cs="Arial"/>
                <w:sz w:val="20"/>
              </w:rPr>
              <w:t>98 (13.2%)</w:t>
            </w:r>
          </w:p>
        </w:tc>
      </w:tr>
      <w:tr w:rsidTr="008D43BD">
        <w:tblPrEx>
          <w:tblW w:w="8754" w:type="dxa"/>
          <w:tblCellMar>
            <w:left w:w="57" w:type="dxa"/>
            <w:right w:w="57" w:type="dxa"/>
          </w:tblCellMar>
          <w:tblLook w:val="00A0"/>
        </w:tblPrEx>
        <w:trPr>
          <w:cantSplit/>
        </w:trPr>
        <w:tc>
          <w:tcPr>
            <w:tcW w:w="4377" w:type="dxa"/>
            <w:tcBorders>
              <w:top w:val="nil"/>
              <w:bottom w:val="nil"/>
            </w:tcBorders>
            <w:vAlign w:val="bottom"/>
          </w:tcPr>
          <w:p w:rsidR="00AE2A51" w:rsidRPr="004550DB" w:rsidP="001E07C9">
            <w:pPr>
              <w:keepNext/>
              <w:keepLines/>
              <w:spacing w:before="50" w:after="50" w:line="240" w:lineRule="exact"/>
              <w:ind w:left="213"/>
              <w:jc w:val="both"/>
              <w:rPr>
                <w:rFonts w:cs="Arial"/>
                <w:sz w:val="20"/>
              </w:rPr>
            </w:pPr>
            <w:r w:rsidRPr="004550DB">
              <w:rPr>
                <w:rFonts w:cs="Arial"/>
                <w:sz w:val="20"/>
              </w:rPr>
              <w:t>HR [95% CI]</w:t>
            </w:r>
          </w:p>
        </w:tc>
        <w:tc>
          <w:tcPr>
            <w:tcW w:w="4377" w:type="dxa"/>
            <w:gridSpan w:val="2"/>
            <w:tcBorders>
              <w:top w:val="nil"/>
              <w:bottom w:val="nil"/>
            </w:tcBorders>
            <w:vAlign w:val="bottom"/>
          </w:tcPr>
          <w:p w:rsidR="00AE2A51" w:rsidRPr="004550DB" w:rsidP="001E07C9">
            <w:pPr>
              <w:keepNext/>
              <w:keepLines/>
              <w:spacing w:before="50" w:after="50" w:line="240" w:lineRule="exact"/>
              <w:jc w:val="center"/>
              <w:rPr>
                <w:rFonts w:cs="Arial"/>
                <w:sz w:val="20"/>
              </w:rPr>
            </w:pPr>
            <w:r w:rsidRPr="004550DB">
              <w:rPr>
                <w:rFonts w:cs="Arial"/>
                <w:sz w:val="20"/>
              </w:rPr>
              <w:t xml:space="preserve"> 0.53 [0.41, 0.68]</w:t>
            </w:r>
          </w:p>
        </w:tc>
      </w:tr>
      <w:tr w:rsidTr="008D43BD">
        <w:tblPrEx>
          <w:tblW w:w="8754" w:type="dxa"/>
          <w:tblCellMar>
            <w:left w:w="57" w:type="dxa"/>
            <w:right w:w="57" w:type="dxa"/>
          </w:tblCellMar>
          <w:tblLook w:val="00A0"/>
        </w:tblPrEx>
        <w:trPr>
          <w:cantSplit/>
        </w:trPr>
        <w:tc>
          <w:tcPr>
            <w:tcW w:w="4377" w:type="dxa"/>
            <w:tcBorders>
              <w:top w:val="nil"/>
              <w:bottom w:val="nil"/>
            </w:tcBorders>
            <w:vAlign w:val="bottom"/>
          </w:tcPr>
          <w:p w:rsidR="00AE2A51" w:rsidRPr="004550DB" w:rsidP="001E07C9">
            <w:pPr>
              <w:keepNext/>
              <w:keepLines/>
              <w:spacing w:before="50" w:after="50" w:line="240" w:lineRule="exact"/>
              <w:ind w:left="213"/>
              <w:jc w:val="both"/>
              <w:rPr>
                <w:rFonts w:cs="Arial"/>
                <w:sz w:val="20"/>
              </w:rPr>
            </w:pPr>
            <w:r w:rsidRPr="004550DB">
              <w:rPr>
                <w:rFonts w:cs="Arial"/>
                <w:sz w:val="20"/>
              </w:rPr>
              <w:t>p-value (Log-Rank test, unstratified)</w:t>
            </w:r>
          </w:p>
        </w:tc>
        <w:tc>
          <w:tcPr>
            <w:tcW w:w="4377" w:type="dxa"/>
            <w:gridSpan w:val="2"/>
            <w:tcBorders>
              <w:top w:val="nil"/>
              <w:bottom w:val="nil"/>
            </w:tcBorders>
            <w:vAlign w:val="bottom"/>
          </w:tcPr>
          <w:p w:rsidR="00AE2A51" w:rsidRPr="004550DB" w:rsidP="001E07C9">
            <w:pPr>
              <w:keepNext/>
              <w:keepLines/>
              <w:spacing w:before="50" w:after="50" w:line="240" w:lineRule="exact"/>
              <w:jc w:val="center"/>
              <w:rPr>
                <w:rFonts w:cs="Arial"/>
                <w:sz w:val="20"/>
              </w:rPr>
            </w:pPr>
            <w:r w:rsidRPr="004550DB">
              <w:rPr>
                <w:rFonts w:cs="Arial"/>
                <w:sz w:val="20"/>
              </w:rPr>
              <w:t>&lt;0.0001</w:t>
            </w:r>
          </w:p>
        </w:tc>
      </w:tr>
      <w:tr w:rsidTr="008D43BD">
        <w:tblPrEx>
          <w:tblW w:w="8754" w:type="dxa"/>
          <w:tblCellMar>
            <w:left w:w="57" w:type="dxa"/>
            <w:right w:w="57" w:type="dxa"/>
          </w:tblCellMar>
          <w:tblLook w:val="00A0"/>
        </w:tblPrEx>
        <w:trPr>
          <w:cantSplit/>
        </w:trPr>
        <w:tc>
          <w:tcPr>
            <w:tcW w:w="4377" w:type="dxa"/>
            <w:tcBorders>
              <w:top w:val="nil"/>
              <w:bottom w:val="single" w:sz="4" w:space="0" w:color="auto"/>
            </w:tcBorders>
            <w:vAlign w:val="bottom"/>
          </w:tcPr>
          <w:p w:rsidR="00AE2A51" w:rsidRPr="004550DB" w:rsidP="001E07C9">
            <w:pPr>
              <w:keepNext/>
              <w:keepLines/>
              <w:spacing w:before="50" w:after="50" w:line="240" w:lineRule="exact"/>
              <w:ind w:left="213"/>
              <w:jc w:val="both"/>
              <w:rPr>
                <w:rFonts w:cs="Arial"/>
                <w:sz w:val="20"/>
              </w:rPr>
            </w:pPr>
            <w:r w:rsidRPr="004550DB">
              <w:rPr>
                <w:rFonts w:cs="Arial"/>
                <w:sz w:val="20"/>
              </w:rPr>
              <w:t>3 year event-free rate</w:t>
            </w:r>
            <w:r w:rsidRPr="004550DB">
              <w:rPr>
                <w:rFonts w:cs="Arial"/>
                <w:sz w:val="20"/>
                <w:vertAlign w:val="superscript"/>
              </w:rPr>
              <w:t>2</w:t>
            </w:r>
            <w:r w:rsidRPr="004550DB">
              <w:rPr>
                <w:rFonts w:cs="Arial"/>
                <w:sz w:val="20"/>
              </w:rPr>
              <w:t>,% [95% CI]</w:t>
            </w:r>
          </w:p>
        </w:tc>
        <w:tc>
          <w:tcPr>
            <w:tcW w:w="2250" w:type="dxa"/>
            <w:tcBorders>
              <w:top w:val="nil"/>
              <w:bottom w:val="single" w:sz="4" w:space="0" w:color="auto"/>
              <w:right w:val="nil"/>
            </w:tcBorders>
            <w:vAlign w:val="bottom"/>
          </w:tcPr>
          <w:p w:rsidR="00AE2A51" w:rsidRPr="004550DB" w:rsidP="001E07C9">
            <w:pPr>
              <w:keepNext/>
              <w:keepLines/>
              <w:spacing w:before="50" w:after="50" w:line="240" w:lineRule="exact"/>
              <w:jc w:val="center"/>
              <w:rPr>
                <w:rFonts w:cs="Arial"/>
                <w:sz w:val="20"/>
              </w:rPr>
            </w:pPr>
            <w:r w:rsidRPr="004550DB">
              <w:rPr>
                <w:rFonts w:cs="Arial"/>
                <w:sz w:val="20"/>
              </w:rPr>
              <w:t>76.9 [73.65, 80.14]</w:t>
            </w:r>
          </w:p>
        </w:tc>
        <w:tc>
          <w:tcPr>
            <w:tcW w:w="2127" w:type="dxa"/>
            <w:tcBorders>
              <w:top w:val="nil"/>
              <w:left w:val="nil"/>
              <w:bottom w:val="single" w:sz="4" w:space="0" w:color="auto"/>
            </w:tcBorders>
            <w:vAlign w:val="bottom"/>
          </w:tcPr>
          <w:p w:rsidR="00AE2A51" w:rsidRPr="004550DB" w:rsidP="001E07C9">
            <w:pPr>
              <w:keepNext/>
              <w:keepLines/>
              <w:spacing w:before="50" w:after="50" w:line="240" w:lineRule="exact"/>
              <w:jc w:val="center"/>
              <w:rPr>
                <w:rFonts w:cs="Arial"/>
                <w:sz w:val="20"/>
              </w:rPr>
            </w:pPr>
            <w:r w:rsidRPr="004550DB">
              <w:rPr>
                <w:rFonts w:cs="Arial"/>
                <w:sz w:val="20"/>
              </w:rPr>
              <w:t>87.41 [84.88, 89.93]</w:t>
            </w:r>
          </w:p>
        </w:tc>
      </w:tr>
      <w:tr w:rsidTr="008D43BD">
        <w:tblPrEx>
          <w:tblW w:w="8754" w:type="dxa"/>
          <w:tblCellMar>
            <w:left w:w="57" w:type="dxa"/>
            <w:right w:w="57" w:type="dxa"/>
          </w:tblCellMar>
          <w:tblLook w:val="00A0"/>
        </w:tblPrEx>
        <w:trPr>
          <w:cantSplit/>
        </w:trPr>
        <w:tc>
          <w:tcPr>
            <w:tcW w:w="4377" w:type="dxa"/>
            <w:tcBorders>
              <w:bottom w:val="nil"/>
            </w:tcBorders>
            <w:vAlign w:val="bottom"/>
          </w:tcPr>
          <w:p w:rsidR="008D43BD" w:rsidRPr="004550DB" w:rsidP="001E07C9">
            <w:pPr>
              <w:keepNext/>
              <w:keepLines/>
              <w:spacing w:before="50" w:after="50" w:line="240" w:lineRule="exact"/>
              <w:jc w:val="both"/>
              <w:rPr>
                <w:rFonts w:cs="Arial"/>
                <w:b/>
                <w:sz w:val="20"/>
                <w:vertAlign w:val="superscript"/>
              </w:rPr>
            </w:pPr>
            <w:r w:rsidRPr="004550DB" w:rsidR="00A4080A">
              <w:rPr>
                <w:rFonts w:cs="Arial"/>
                <w:b/>
                <w:sz w:val="20"/>
              </w:rPr>
              <w:t>Distant recurrence-free interval (DRFI)</w:t>
            </w:r>
            <w:r w:rsidRPr="004550DB" w:rsidR="00CB2C3F">
              <w:rPr>
                <w:rFonts w:cs="Arial"/>
                <w:b/>
                <w:sz w:val="20"/>
                <w:vertAlign w:val="superscript"/>
              </w:rPr>
              <w:t>3</w:t>
            </w:r>
          </w:p>
        </w:tc>
        <w:tc>
          <w:tcPr>
            <w:tcW w:w="4377" w:type="dxa"/>
            <w:gridSpan w:val="2"/>
            <w:tcBorders>
              <w:bottom w:val="nil"/>
            </w:tcBorders>
            <w:vAlign w:val="bottom"/>
          </w:tcPr>
          <w:p w:rsidR="008D43BD" w:rsidRPr="004550DB" w:rsidP="001E07C9">
            <w:pPr>
              <w:keepNext/>
              <w:keepLines/>
              <w:spacing w:before="50" w:after="50" w:line="240" w:lineRule="exact"/>
              <w:jc w:val="center"/>
              <w:rPr>
                <w:rFonts w:ascii="CourierStd" w:eastAsia="MS Mincho" w:hAnsi="CourierStd" w:cs="CourierStd"/>
                <w:sz w:val="16"/>
                <w:szCs w:val="16"/>
              </w:rPr>
            </w:pPr>
          </w:p>
        </w:tc>
      </w:tr>
      <w:tr w:rsidTr="008D43BD">
        <w:tblPrEx>
          <w:tblW w:w="8754" w:type="dxa"/>
          <w:tblCellMar>
            <w:left w:w="57" w:type="dxa"/>
            <w:right w:w="57" w:type="dxa"/>
          </w:tblCellMar>
          <w:tblLook w:val="00A0"/>
        </w:tblPrEx>
        <w:trPr>
          <w:cantSplit/>
        </w:trPr>
        <w:tc>
          <w:tcPr>
            <w:tcW w:w="4377" w:type="dxa"/>
            <w:tcBorders>
              <w:top w:val="nil"/>
              <w:bottom w:val="nil"/>
            </w:tcBorders>
          </w:tcPr>
          <w:p w:rsidR="00AE2A51" w:rsidRPr="004550DB" w:rsidP="001E07C9">
            <w:pPr>
              <w:keepNext/>
              <w:keepLines/>
              <w:spacing w:before="50" w:after="50" w:line="240" w:lineRule="exact"/>
              <w:ind w:left="226"/>
              <w:jc w:val="both"/>
            </w:pPr>
            <w:r w:rsidRPr="004550DB">
              <w:rPr>
                <w:rFonts w:cs="Arial"/>
                <w:sz w:val="20"/>
              </w:rPr>
              <w:t>Number (%) of patients with event</w:t>
            </w:r>
          </w:p>
        </w:tc>
        <w:tc>
          <w:tcPr>
            <w:tcW w:w="2250" w:type="dxa"/>
            <w:tcBorders>
              <w:top w:val="nil"/>
              <w:bottom w:val="nil"/>
              <w:right w:val="nil"/>
            </w:tcBorders>
            <w:vAlign w:val="bottom"/>
          </w:tcPr>
          <w:p w:rsidR="00AE2A51" w:rsidRPr="004550DB" w:rsidP="001E07C9">
            <w:pPr>
              <w:keepNext/>
              <w:keepLines/>
              <w:spacing w:before="50" w:after="50" w:line="240" w:lineRule="exact"/>
              <w:jc w:val="center"/>
              <w:rPr>
                <w:rFonts w:cs="Arial"/>
                <w:sz w:val="20"/>
              </w:rPr>
            </w:pPr>
            <w:r w:rsidRPr="004550DB">
              <w:rPr>
                <w:rFonts w:cs="Arial"/>
                <w:sz w:val="20"/>
              </w:rPr>
              <w:t>121 (16.3%)</w:t>
            </w:r>
          </w:p>
        </w:tc>
        <w:tc>
          <w:tcPr>
            <w:tcW w:w="2127" w:type="dxa"/>
            <w:tcBorders>
              <w:top w:val="nil"/>
              <w:left w:val="nil"/>
              <w:bottom w:val="nil"/>
            </w:tcBorders>
            <w:vAlign w:val="bottom"/>
          </w:tcPr>
          <w:p w:rsidR="00AE2A51" w:rsidRPr="004550DB" w:rsidP="001E07C9">
            <w:pPr>
              <w:keepNext/>
              <w:keepLines/>
              <w:spacing w:before="50" w:after="50" w:line="240" w:lineRule="exact"/>
              <w:jc w:val="center"/>
              <w:rPr>
                <w:rFonts w:cs="Arial"/>
                <w:sz w:val="20"/>
              </w:rPr>
            </w:pPr>
            <w:r w:rsidRPr="004550DB">
              <w:rPr>
                <w:rFonts w:cs="Arial"/>
                <w:sz w:val="20"/>
              </w:rPr>
              <w:t>78 (10.5%)</w:t>
            </w:r>
          </w:p>
        </w:tc>
      </w:tr>
      <w:tr w:rsidTr="008D43BD">
        <w:tblPrEx>
          <w:tblW w:w="8754" w:type="dxa"/>
          <w:tblCellMar>
            <w:left w:w="57" w:type="dxa"/>
            <w:right w:w="57" w:type="dxa"/>
          </w:tblCellMar>
          <w:tblLook w:val="00A0"/>
        </w:tblPrEx>
        <w:trPr>
          <w:cantSplit/>
        </w:trPr>
        <w:tc>
          <w:tcPr>
            <w:tcW w:w="4377" w:type="dxa"/>
            <w:tcBorders>
              <w:top w:val="nil"/>
              <w:bottom w:val="nil"/>
            </w:tcBorders>
            <w:vAlign w:val="bottom"/>
          </w:tcPr>
          <w:p w:rsidR="00AE2A51" w:rsidRPr="004550DB" w:rsidP="001E07C9">
            <w:pPr>
              <w:keepNext/>
              <w:keepLines/>
              <w:spacing w:before="50" w:after="50" w:line="240" w:lineRule="exact"/>
              <w:ind w:left="213"/>
              <w:jc w:val="both"/>
              <w:rPr>
                <w:rFonts w:cs="Arial"/>
                <w:sz w:val="20"/>
              </w:rPr>
            </w:pPr>
            <w:r w:rsidRPr="004550DB">
              <w:rPr>
                <w:rFonts w:cs="Arial"/>
                <w:sz w:val="20"/>
              </w:rPr>
              <w:t>HR [95% CI]</w:t>
            </w:r>
          </w:p>
        </w:tc>
        <w:tc>
          <w:tcPr>
            <w:tcW w:w="4377" w:type="dxa"/>
            <w:gridSpan w:val="2"/>
            <w:tcBorders>
              <w:top w:val="nil"/>
              <w:bottom w:val="nil"/>
            </w:tcBorders>
            <w:vAlign w:val="bottom"/>
          </w:tcPr>
          <w:p w:rsidR="00AE2A51" w:rsidRPr="004550DB" w:rsidP="001E07C9">
            <w:pPr>
              <w:keepNext/>
              <w:keepLines/>
              <w:spacing w:before="50" w:after="50" w:line="240" w:lineRule="exact"/>
              <w:jc w:val="center"/>
              <w:rPr>
                <w:rFonts w:cs="Arial"/>
                <w:sz w:val="20"/>
              </w:rPr>
            </w:pPr>
            <w:r w:rsidRPr="004550DB">
              <w:rPr>
                <w:rFonts w:cs="Arial"/>
                <w:sz w:val="20"/>
              </w:rPr>
              <w:t>0.60 [0.45, 0.79]</w:t>
            </w:r>
            <w:r w:rsidRPr="004550DB">
              <w:rPr>
                <w:sz w:val="18"/>
                <w:szCs w:val="18"/>
                <w:vertAlign w:val="superscript"/>
              </w:rPr>
              <w:t xml:space="preserve"> </w:t>
            </w:r>
          </w:p>
        </w:tc>
      </w:tr>
      <w:tr w:rsidTr="008D43BD">
        <w:tblPrEx>
          <w:tblW w:w="8754" w:type="dxa"/>
          <w:tblCellMar>
            <w:left w:w="57" w:type="dxa"/>
            <w:right w:w="57" w:type="dxa"/>
          </w:tblCellMar>
          <w:tblLook w:val="00A0"/>
        </w:tblPrEx>
        <w:trPr>
          <w:cantSplit/>
        </w:trPr>
        <w:tc>
          <w:tcPr>
            <w:tcW w:w="4377" w:type="dxa"/>
            <w:tcBorders>
              <w:top w:val="nil"/>
              <w:bottom w:val="nil"/>
            </w:tcBorders>
            <w:vAlign w:val="bottom"/>
          </w:tcPr>
          <w:p w:rsidR="00AE2A51" w:rsidRPr="004550DB" w:rsidP="001E07C9">
            <w:pPr>
              <w:keepNext/>
              <w:keepLines/>
              <w:spacing w:before="50" w:after="50" w:line="240" w:lineRule="exact"/>
              <w:ind w:left="213"/>
              <w:jc w:val="both"/>
              <w:rPr>
                <w:rFonts w:cs="Arial"/>
                <w:sz w:val="20"/>
              </w:rPr>
            </w:pPr>
            <w:r w:rsidRPr="004550DB">
              <w:rPr>
                <w:rFonts w:cs="Arial"/>
                <w:sz w:val="20"/>
              </w:rPr>
              <w:t>p-value (Log-Rank test, unstratified)</w:t>
            </w:r>
          </w:p>
        </w:tc>
        <w:tc>
          <w:tcPr>
            <w:tcW w:w="4377" w:type="dxa"/>
            <w:gridSpan w:val="2"/>
            <w:tcBorders>
              <w:top w:val="nil"/>
              <w:bottom w:val="nil"/>
            </w:tcBorders>
            <w:vAlign w:val="bottom"/>
          </w:tcPr>
          <w:p w:rsidR="00AE2A51" w:rsidRPr="004550DB" w:rsidP="001E07C9">
            <w:pPr>
              <w:keepNext/>
              <w:keepLines/>
              <w:spacing w:before="50" w:after="50" w:line="240" w:lineRule="exact"/>
              <w:jc w:val="center"/>
              <w:rPr>
                <w:rFonts w:cs="Arial"/>
                <w:sz w:val="20"/>
              </w:rPr>
            </w:pPr>
            <w:r w:rsidRPr="004550DB">
              <w:rPr>
                <w:rFonts w:cs="Arial"/>
                <w:sz w:val="20"/>
              </w:rPr>
              <w:t>0.0003</w:t>
            </w:r>
          </w:p>
        </w:tc>
      </w:tr>
      <w:tr w:rsidTr="008D43BD">
        <w:tblPrEx>
          <w:tblW w:w="8754" w:type="dxa"/>
          <w:tblCellMar>
            <w:left w:w="57" w:type="dxa"/>
            <w:right w:w="57" w:type="dxa"/>
          </w:tblCellMar>
          <w:tblLook w:val="00A0"/>
        </w:tblPrEx>
        <w:trPr>
          <w:cantSplit/>
        </w:trPr>
        <w:tc>
          <w:tcPr>
            <w:tcW w:w="4377" w:type="dxa"/>
            <w:tcBorders>
              <w:top w:val="nil"/>
            </w:tcBorders>
          </w:tcPr>
          <w:p w:rsidR="00AE2A51" w:rsidRPr="004550DB" w:rsidP="001E07C9">
            <w:pPr>
              <w:keepNext/>
              <w:keepLines/>
              <w:spacing w:before="50" w:after="50" w:line="240" w:lineRule="exact"/>
              <w:ind w:left="226"/>
              <w:jc w:val="both"/>
              <w:rPr>
                <w:rFonts w:cs="Arial"/>
              </w:rPr>
            </w:pPr>
            <w:r w:rsidRPr="004550DB">
              <w:rPr>
                <w:rFonts w:cs="Arial"/>
                <w:sz w:val="20"/>
              </w:rPr>
              <w:t>3 year event-free rate</w:t>
            </w:r>
            <w:r w:rsidRPr="004550DB">
              <w:rPr>
                <w:rFonts w:cs="Arial"/>
                <w:sz w:val="20"/>
                <w:vertAlign w:val="superscript"/>
              </w:rPr>
              <w:t>2</w:t>
            </w:r>
            <w:r w:rsidRPr="004550DB">
              <w:rPr>
                <w:rFonts w:cs="Arial"/>
                <w:sz w:val="20"/>
              </w:rPr>
              <w:t>,% [95% CI]</w:t>
            </w:r>
          </w:p>
        </w:tc>
        <w:tc>
          <w:tcPr>
            <w:tcW w:w="2250" w:type="dxa"/>
            <w:tcBorders>
              <w:top w:val="nil"/>
              <w:right w:val="nil"/>
            </w:tcBorders>
            <w:vAlign w:val="bottom"/>
          </w:tcPr>
          <w:p w:rsidR="00AE2A51" w:rsidRPr="004550DB" w:rsidP="001E07C9">
            <w:pPr>
              <w:keepNext/>
              <w:keepLines/>
              <w:spacing w:before="50" w:after="50" w:line="240" w:lineRule="exact"/>
              <w:jc w:val="center"/>
              <w:rPr>
                <w:rFonts w:cs="Arial"/>
                <w:sz w:val="20"/>
              </w:rPr>
            </w:pPr>
            <w:r w:rsidRPr="004550DB">
              <w:rPr>
                <w:rFonts w:cs="Arial"/>
                <w:sz w:val="20"/>
              </w:rPr>
              <w:t>83.0 [80.10, 85.92 ]</w:t>
            </w:r>
          </w:p>
        </w:tc>
        <w:tc>
          <w:tcPr>
            <w:tcW w:w="2127" w:type="dxa"/>
            <w:tcBorders>
              <w:top w:val="nil"/>
              <w:left w:val="nil"/>
            </w:tcBorders>
            <w:vAlign w:val="bottom"/>
          </w:tcPr>
          <w:p w:rsidR="00AE2A51" w:rsidRPr="004550DB" w:rsidP="001E07C9">
            <w:pPr>
              <w:keepNext/>
              <w:keepLines/>
              <w:spacing w:before="50" w:after="50" w:line="240" w:lineRule="exact"/>
              <w:jc w:val="center"/>
              <w:rPr>
                <w:rFonts w:cs="Arial"/>
                <w:sz w:val="20"/>
              </w:rPr>
            </w:pPr>
            <w:r w:rsidRPr="004550DB">
              <w:rPr>
                <w:rFonts w:cs="Arial"/>
                <w:sz w:val="20"/>
              </w:rPr>
              <w:t>89.7 [87.37, 92.01 ]</w:t>
            </w:r>
          </w:p>
        </w:tc>
      </w:tr>
    </w:tbl>
    <w:p w:rsidR="008D43BD" w:rsidRPr="004550DB" w:rsidP="008D43BD">
      <w:pPr>
        <w:keepLines/>
        <w:rPr>
          <w:rFonts w:cs="Arial"/>
          <w:b/>
          <w:sz w:val="20"/>
        </w:rPr>
      </w:pPr>
      <w:r w:rsidRPr="004550DB" w:rsidR="00CB2C3F">
        <w:rPr>
          <w:rFonts w:cs="Arial"/>
          <w:b/>
          <w:sz w:val="20"/>
        </w:rPr>
        <w:t>Data from first interim analysis 25 July 2018</w:t>
      </w:r>
    </w:p>
    <w:p w:rsidR="008D43BD" w:rsidRPr="004550DB" w:rsidP="008D43BD">
      <w:pPr>
        <w:keepLines/>
        <w:rPr>
          <w:rFonts w:cs="Arial"/>
          <w:sz w:val="20"/>
        </w:rPr>
      </w:pPr>
      <w:r w:rsidRPr="004550DB" w:rsidR="00A4080A">
        <w:rPr>
          <w:rFonts w:cs="Arial"/>
          <w:b/>
          <w:sz w:val="20"/>
          <w:lang w:eastAsia="zh-TW"/>
        </w:rPr>
        <w:t>Key to abbreviations (Table</w:t>
      </w:r>
      <w:r w:rsidRPr="004550DB" w:rsidR="008755D8">
        <w:rPr>
          <w:rFonts w:cs="Arial"/>
          <w:b/>
          <w:sz w:val="20"/>
          <w:lang w:eastAsia="zh-TW"/>
        </w:rPr>
        <w:t>6</w:t>
      </w:r>
      <w:r w:rsidRPr="004550DB" w:rsidR="00A4080A">
        <w:rPr>
          <w:rFonts w:cs="Arial"/>
          <w:b/>
          <w:sz w:val="20"/>
          <w:lang w:eastAsia="zh-TW"/>
        </w:rPr>
        <w:t xml:space="preserve">): </w:t>
      </w:r>
      <w:r w:rsidRPr="004550DB" w:rsidR="00A4080A">
        <w:rPr>
          <w:rFonts w:cs="Arial"/>
          <w:sz w:val="20"/>
        </w:rPr>
        <w:t xml:space="preserve">HR: Hazard Ratio; CI: Confidence Intervals, </w:t>
      </w:r>
    </w:p>
    <w:p w:rsidR="008D43BD" w:rsidRPr="004550DB" w:rsidP="008D43BD">
      <w:pPr>
        <w:autoSpaceDE w:val="0"/>
        <w:autoSpaceDN w:val="0"/>
        <w:adjustRightInd w:val="0"/>
        <w:jc w:val="both"/>
        <w:rPr>
          <w:rFonts w:cs="Arial"/>
          <w:sz w:val="20"/>
        </w:rPr>
      </w:pPr>
      <w:r w:rsidRPr="004550DB" w:rsidR="00A4080A">
        <w:rPr>
          <w:rFonts w:cs="Arial"/>
          <w:sz w:val="20"/>
        </w:rPr>
        <w:t xml:space="preserve">1. Hierarchical testing applied for IDFS and OS </w:t>
      </w:r>
    </w:p>
    <w:p w:rsidR="008D43BD" w:rsidRPr="004550DB" w:rsidP="008D43BD">
      <w:pPr>
        <w:autoSpaceDE w:val="0"/>
        <w:autoSpaceDN w:val="0"/>
        <w:adjustRightInd w:val="0"/>
        <w:jc w:val="both"/>
        <w:rPr>
          <w:rFonts w:cs="Arial"/>
          <w:sz w:val="20"/>
        </w:rPr>
      </w:pPr>
      <w:r w:rsidRPr="004550DB" w:rsidR="00A4080A">
        <w:rPr>
          <w:rFonts w:cs="Arial"/>
          <w:sz w:val="20"/>
        </w:rPr>
        <w:t>2. 3-year event-free rate and 5</w:t>
      </w:r>
      <w:r w:rsidRPr="004550DB" w:rsidR="006643CC">
        <w:rPr>
          <w:rFonts w:cs="Arial"/>
          <w:sz w:val="20"/>
        </w:rPr>
        <w:t>-</w:t>
      </w:r>
      <w:r w:rsidRPr="004550DB" w:rsidR="00A4080A">
        <w:rPr>
          <w:rFonts w:cs="Arial"/>
          <w:sz w:val="20"/>
        </w:rPr>
        <w:t>year survival rate derived from Kaplan-Meier estimates</w:t>
      </w:r>
    </w:p>
    <w:p w:rsidR="008D43BD" w:rsidRPr="00BA0AF1" w:rsidP="008D43BD">
      <w:pPr>
        <w:autoSpaceDE w:val="0"/>
        <w:autoSpaceDN w:val="0"/>
        <w:adjustRightInd w:val="0"/>
        <w:jc w:val="both"/>
        <w:rPr>
          <w:sz w:val="20"/>
        </w:rPr>
      </w:pPr>
      <w:r w:rsidRPr="004550DB" w:rsidR="00A4080A">
        <w:rPr>
          <w:rFonts w:cs="Arial"/>
          <w:sz w:val="20"/>
        </w:rPr>
        <w:t xml:space="preserve">3. </w:t>
      </w:r>
      <w:r w:rsidRPr="004550DB" w:rsidR="006643CC">
        <w:rPr>
          <w:rFonts w:cs="Arial"/>
          <w:sz w:val="20"/>
        </w:rPr>
        <w:t>These secondary endpoints were not adjusted for multiplicity</w:t>
      </w:r>
      <w:r w:rsidRPr="008A70CA" w:rsidR="00A4080A">
        <w:rPr>
          <w:sz w:val="20"/>
        </w:rPr>
        <w:t xml:space="preserve"> </w:t>
      </w:r>
    </w:p>
    <w:p w:rsidR="00BD0066" w:rsidP="008D43BD">
      <w:pPr>
        <w:autoSpaceDE w:val="0"/>
        <w:autoSpaceDN w:val="0"/>
        <w:adjustRightInd w:val="0"/>
        <w:jc w:val="both"/>
        <w:rPr>
          <w:rFonts w:cs="Arial"/>
          <w:szCs w:val="22"/>
        </w:rPr>
      </w:pPr>
    </w:p>
    <w:p w:rsidR="004550DB" w:rsidP="008D43BD">
      <w:pPr>
        <w:autoSpaceDE w:val="0"/>
        <w:autoSpaceDN w:val="0"/>
        <w:adjustRightInd w:val="0"/>
        <w:jc w:val="both"/>
        <w:rPr>
          <w:rFonts w:cs="Arial"/>
          <w:szCs w:val="22"/>
        </w:rPr>
      </w:pPr>
    </w:p>
    <w:p w:rsidR="00B31C1B" w:rsidRPr="00DE306D" w:rsidP="001E07C9">
      <w:pPr>
        <w:pStyle w:val="FigureHolder"/>
        <w:keepLines w:val="0"/>
        <w:jc w:val="both"/>
        <w:rPr>
          <w:rFonts w:ascii="Times New Roman" w:hAnsi="Times New Roman"/>
          <w:sz w:val="22"/>
          <w:szCs w:val="22"/>
        </w:rPr>
      </w:pPr>
      <w:r w:rsidRPr="00DE306D">
        <w:rPr>
          <w:rFonts w:ascii="Times New Roman" w:hAnsi="Times New Roman"/>
          <w:b/>
          <w:sz w:val="22"/>
          <w:szCs w:val="22"/>
        </w:rPr>
        <w:t>Figure 1</w:t>
        <w:tab/>
        <w:t>Kaplan-Meier Curve of Invasive Disease</w:t>
      </w:r>
      <w:r w:rsidR="008755D8">
        <w:rPr>
          <w:rFonts w:ascii="Times New Roman" w:hAnsi="Times New Roman"/>
          <w:b/>
          <w:sz w:val="22"/>
          <w:szCs w:val="22"/>
        </w:rPr>
        <w:t>-</w:t>
      </w:r>
      <w:r w:rsidRPr="00DE306D">
        <w:rPr>
          <w:rFonts w:ascii="Times New Roman" w:hAnsi="Times New Roman"/>
          <w:b/>
          <w:sz w:val="22"/>
          <w:szCs w:val="22"/>
        </w:rPr>
        <w:t>Free Survival in K</w:t>
      </w:r>
      <w:r w:rsidR="00DE306D">
        <w:rPr>
          <w:rFonts w:ascii="Times New Roman" w:hAnsi="Times New Roman"/>
          <w:b/>
          <w:sz w:val="22"/>
          <w:szCs w:val="22"/>
        </w:rPr>
        <w:t>ATHERINE</w:t>
      </w:r>
    </w:p>
    <w:p w:rsidR="00CC4F20" w:rsidRPr="00203395" w:rsidP="00CC4F20">
      <w:pPr>
        <w:keepNext/>
        <w:rPr>
          <w:szCs w:val="22"/>
        </w:rPr>
      </w:pPr>
      <w:r>
        <w:rPr>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453.97pt;height:304.54pt;visibility:visible" filled="f" stroked="f">
            <v:fill o:detectmouseclick="f"/>
            <v:imagedata r:id="rId15" o:title=""/>
            <o:lock v:ext="edit" aspectratio="t"/>
          </v:shape>
        </w:pict>
      </w:r>
    </w:p>
    <w:p w:rsidR="00B31C1B" w:rsidP="001E07C9">
      <w:pPr>
        <w:keepNext/>
        <w:rPr>
          <w:szCs w:val="22"/>
        </w:rPr>
      </w:pPr>
    </w:p>
    <w:p w:rsidR="00B31C1B" w:rsidP="001E07C9">
      <w:pPr>
        <w:keepNext/>
        <w:rPr>
          <w:szCs w:val="22"/>
        </w:rPr>
      </w:pPr>
    </w:p>
    <w:p w:rsidR="003904DB" w:rsidP="002F2C4C">
      <w:pPr>
        <w:rPr>
          <w:szCs w:val="22"/>
        </w:rPr>
      </w:pPr>
      <w:r w:rsidRPr="004550DB" w:rsidR="00B31C1B">
        <w:rPr>
          <w:szCs w:val="22"/>
        </w:rPr>
        <w:t xml:space="preserve">In KATHERINE, consistent treatment benefit of </w:t>
      </w:r>
      <w:r w:rsidRPr="004550DB" w:rsidR="00F55C5F">
        <w:rPr>
          <w:szCs w:val="22"/>
        </w:rPr>
        <w:t>trastuzumab emtansine</w:t>
      </w:r>
      <w:r w:rsidRPr="004550DB" w:rsidR="00B31C1B">
        <w:rPr>
          <w:szCs w:val="22"/>
        </w:rPr>
        <w:t xml:space="preserve"> for IDFS was seen in all the pre</w:t>
      </w:r>
      <w:r w:rsidRPr="004550DB" w:rsidR="00B31C1B">
        <w:rPr>
          <w:szCs w:val="22"/>
        </w:rPr>
        <w:noBreakHyphen/>
        <w:t>specified subgroups evaluated, supporting the overall result</w:t>
      </w:r>
      <w:r w:rsidR="004550DB">
        <w:rPr>
          <w:szCs w:val="22"/>
        </w:rPr>
        <w:t>.</w:t>
      </w:r>
      <w:r w:rsidRPr="004550DB" w:rsidR="00B31C1B">
        <w:rPr>
          <w:szCs w:val="22"/>
        </w:rPr>
        <w:t xml:space="preserve"> </w:t>
      </w:r>
    </w:p>
    <w:p w:rsidR="00CC4F20" w:rsidRPr="002E758A" w:rsidP="002F2C4C"/>
    <w:p w:rsidR="008D43BD" w:rsidRPr="004B0808" w:rsidP="008D43BD">
      <w:pPr>
        <w:keepNext/>
        <w:ind w:left="357" w:hanging="357"/>
        <w:rPr>
          <w:i/>
          <w:szCs w:val="22"/>
          <w:u w:val="single"/>
        </w:rPr>
      </w:pPr>
      <w:r w:rsidRPr="004B0808" w:rsidR="00A4080A">
        <w:rPr>
          <w:i/>
          <w:szCs w:val="22"/>
          <w:u w:val="single"/>
        </w:rPr>
        <w:t>Metastatic Breast Cancer</w:t>
      </w:r>
    </w:p>
    <w:p w:rsidR="008D43BD" w:rsidRPr="00A30921" w:rsidP="008D43BD">
      <w:pPr>
        <w:keepNext/>
        <w:keepLines/>
        <w:rPr>
          <w:i/>
          <w:szCs w:val="22"/>
        </w:rPr>
      </w:pPr>
    </w:p>
    <w:p w:rsidR="008D43BD" w:rsidP="008D43BD">
      <w:pPr>
        <w:keepNext/>
        <w:keepLines/>
        <w:rPr>
          <w:i/>
          <w:szCs w:val="22"/>
          <w:u w:val="single"/>
        </w:rPr>
      </w:pPr>
      <w:r w:rsidRPr="00293138" w:rsidR="00A4080A">
        <w:rPr>
          <w:i/>
          <w:szCs w:val="22"/>
          <w:u w:val="single"/>
        </w:rPr>
        <w:t>TDM4370g/BO21977(EMILIA)</w:t>
      </w:r>
    </w:p>
    <w:p w:rsidR="001902C8" w:rsidRPr="00E32064" w:rsidP="008D43BD">
      <w:pPr>
        <w:keepNext/>
        <w:keepLines/>
        <w:rPr>
          <w:b/>
          <w:szCs w:val="22"/>
        </w:rPr>
      </w:pPr>
    </w:p>
    <w:p w:rsidR="008D43BD" w:rsidRPr="00A30921" w:rsidP="008D43BD">
      <w:pPr>
        <w:keepNext/>
        <w:keepLines/>
        <w:rPr>
          <w:szCs w:val="22"/>
        </w:rPr>
      </w:pPr>
      <w:r w:rsidRPr="00A30921" w:rsidR="00A4080A">
        <w:rPr>
          <w:szCs w:val="22"/>
        </w:rPr>
        <w:t>A Phase III, randomised, multicentre, international, open</w:t>
      </w:r>
      <w:r w:rsidRPr="00A30921" w:rsidR="00A4080A">
        <w:rPr>
          <w:szCs w:val="22"/>
        </w:rPr>
        <w:noBreakHyphen/>
        <w:t>label clinical study was conducted in patients with HER2</w:t>
      </w:r>
      <w:r w:rsidRPr="00A30921" w:rsidR="00A4080A">
        <w:rPr>
          <w:szCs w:val="22"/>
        </w:rPr>
        <w:noBreakHyphen/>
        <w:t>positive unresectable locally advanced breast cancer (LABC) or MBC who had received prior taxane and trastuzumab</w:t>
      </w:r>
      <w:r w:rsidRPr="00A30921" w:rsidR="00A4080A">
        <w:rPr>
          <w:szCs w:val="22"/>
        </w:rPr>
        <w:noBreakHyphen/>
        <w:t xml:space="preserve">based therapy, including patients who received prior therapy with trastuzumab and a taxane in the adjuvant setting and who relapsed during or within six months of completing adjuvant therapy. </w:t>
      </w:r>
      <w:r w:rsidRPr="00A30921" w:rsidR="00A4080A">
        <w:rPr>
          <w:iCs/>
          <w:szCs w:val="22"/>
        </w:rPr>
        <w:t>Only patients with Eastern Cooperative Oncology Group (ECOG) Performance Status 0 or 1 were eligible.</w:t>
      </w:r>
      <w:r w:rsidRPr="00A30921" w:rsidR="00A4080A">
        <w:rPr>
          <w:i/>
          <w:iCs/>
          <w:szCs w:val="22"/>
        </w:rPr>
        <w:t> </w:t>
      </w:r>
      <w:r w:rsidRPr="00A30921" w:rsidR="00A4080A">
        <w:rPr>
          <w:szCs w:val="22"/>
        </w:rPr>
        <w:t>Prior to enrolment, breast tumour samples were required to be centrally confirmed for HER2</w:t>
      </w:r>
      <w:r w:rsidRPr="00A30921" w:rsidR="00A4080A">
        <w:rPr>
          <w:szCs w:val="22"/>
        </w:rPr>
        <w:noBreakHyphen/>
        <w:t>positive status defined as a score of 3 + by IHC or gene amplification by ISH. Baseline patient and tumour characteristics were well balanced between treatment groups. Patients with treated brain metastases were eligible for enrollment if they did not require therapy to control symptoms. For patients randomised to trastuzumab emtansine, the median age was 53 years, most patients were female (99.8%), the majority were Caucasian (72%), and 57% had oestrogen</w:t>
      </w:r>
      <w:r w:rsidRPr="00A30921" w:rsidR="00A4080A">
        <w:rPr>
          <w:szCs w:val="22"/>
        </w:rPr>
        <w:noBreakHyphen/>
        <w:t>receptor and/or progesterone</w:t>
      </w:r>
      <w:r w:rsidRPr="00A30921" w:rsidR="00A4080A">
        <w:rPr>
          <w:szCs w:val="22"/>
        </w:rPr>
        <w:noBreakHyphen/>
        <w:t>receptor positive disease. The study compared the safety and efficacy of trastuzumab emtansine with that of lapatinib plus capecitabine. A total of 991 patients were randomised to trastuzumab emtansine or lapatinib plus capecitabine as follows:</w:t>
      </w:r>
    </w:p>
    <w:p w:rsidR="008D43BD" w:rsidRPr="00A30921" w:rsidP="008D43BD">
      <w:pPr>
        <w:keepNext/>
        <w:keepLines/>
        <w:rPr>
          <w:szCs w:val="22"/>
        </w:rPr>
      </w:pPr>
    </w:p>
    <w:p w:rsidR="008D43BD" w:rsidRPr="00A30921"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A30921" w:rsidR="00A4080A">
        <w:rPr>
          <w:szCs w:val="22"/>
        </w:rPr>
        <w:t>Trastuzumab emtansine arm: trastuzumab emtansine 3.6 mg/kg intravenously over 30</w:t>
      </w:r>
      <w:r w:rsidRPr="00A30921" w:rsidR="00A4080A">
        <w:rPr>
          <w:szCs w:val="22"/>
        </w:rPr>
        <w:noBreakHyphen/>
        <w:t>90 minutes on Day 1 of a 21</w:t>
      </w:r>
      <w:r w:rsidRPr="00A30921" w:rsidR="00A4080A">
        <w:rPr>
          <w:szCs w:val="22"/>
        </w:rPr>
        <w:noBreakHyphen/>
        <w:t xml:space="preserve">day cycle </w:t>
      </w:r>
    </w:p>
    <w:p w:rsidR="008D43BD" w:rsidRPr="00A30921"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A30921" w:rsidR="00A4080A">
        <w:rPr>
          <w:szCs w:val="22"/>
        </w:rPr>
        <w:t>Control arm (lapatinib plus capecitabine): lapatinib 1250 mg/day orally once per day of a 21</w:t>
      </w:r>
      <w:r w:rsidRPr="00A30921" w:rsidR="00A4080A">
        <w:rPr>
          <w:szCs w:val="22"/>
        </w:rPr>
        <w:noBreakHyphen/>
        <w:t>day cycle plus capecitabine 1000 mg/m</w:t>
      </w:r>
      <w:r w:rsidRPr="00A30921" w:rsidR="00A4080A">
        <w:rPr>
          <w:szCs w:val="22"/>
          <w:vertAlign w:val="superscript"/>
        </w:rPr>
        <w:t>2</w:t>
      </w:r>
      <w:r w:rsidRPr="00A30921" w:rsidR="00A4080A">
        <w:rPr>
          <w:szCs w:val="22"/>
        </w:rPr>
        <w:t xml:space="preserve"> orally twice daily on Days 1</w:t>
      </w:r>
      <w:r w:rsidRPr="00A30921" w:rsidR="00A4080A">
        <w:rPr>
          <w:szCs w:val="22"/>
        </w:rPr>
        <w:noBreakHyphen/>
        <w:t>14 of a 21</w:t>
      </w:r>
      <w:r w:rsidRPr="00A30921" w:rsidR="00A4080A">
        <w:rPr>
          <w:szCs w:val="22"/>
        </w:rPr>
        <w:noBreakHyphen/>
        <w:t>day cycle</w:t>
      </w:r>
    </w:p>
    <w:p w:rsidR="008D43BD" w:rsidRPr="00A30921" w:rsidP="008D43BD">
      <w:pPr>
        <w:rPr>
          <w:szCs w:val="22"/>
        </w:rPr>
      </w:pPr>
    </w:p>
    <w:p w:rsidR="008D43BD" w:rsidP="008D43BD">
      <w:pPr>
        <w:keepNext/>
        <w:rPr>
          <w:szCs w:val="22"/>
        </w:rPr>
      </w:pPr>
      <w:r w:rsidRPr="004550DB" w:rsidR="00A4080A">
        <w:rPr>
          <w:szCs w:val="22"/>
        </w:rPr>
        <w:t>The co</w:t>
      </w:r>
      <w:r w:rsidRPr="004550DB" w:rsidR="00A4080A">
        <w:rPr>
          <w:szCs w:val="22"/>
        </w:rPr>
        <w:noBreakHyphen/>
        <w:t>primary efficacy endpoints of the study were progression</w:t>
      </w:r>
      <w:r w:rsidRPr="004550DB" w:rsidR="00A4080A">
        <w:rPr>
          <w:szCs w:val="22"/>
        </w:rPr>
        <w:noBreakHyphen/>
        <w:t>free survival (PFS) as assessed by an independent review committee (IRC) and overall survival (OS) (see Table </w:t>
      </w:r>
      <w:r w:rsidRPr="004550DB" w:rsidR="008755D8">
        <w:rPr>
          <w:szCs w:val="22"/>
        </w:rPr>
        <w:t>7</w:t>
      </w:r>
      <w:r w:rsidRPr="004550DB" w:rsidR="00A4080A">
        <w:rPr>
          <w:szCs w:val="22"/>
        </w:rPr>
        <w:t xml:space="preserve"> and Figures </w:t>
      </w:r>
      <w:r w:rsidRPr="004550DB" w:rsidR="004B1796">
        <w:rPr>
          <w:szCs w:val="22"/>
        </w:rPr>
        <w:t>2</w:t>
      </w:r>
      <w:r w:rsidRPr="004550DB" w:rsidR="00A4080A">
        <w:rPr>
          <w:szCs w:val="22"/>
        </w:rPr>
        <w:t> to </w:t>
      </w:r>
      <w:r w:rsidRPr="004550DB" w:rsidR="004B1796">
        <w:rPr>
          <w:szCs w:val="22"/>
        </w:rPr>
        <w:t>3</w:t>
      </w:r>
      <w:r w:rsidRPr="004550DB" w:rsidR="00A4080A">
        <w:rPr>
          <w:szCs w:val="22"/>
        </w:rPr>
        <w:t>).</w:t>
      </w:r>
      <w:r w:rsidRPr="00A30921" w:rsidR="00A4080A">
        <w:rPr>
          <w:szCs w:val="22"/>
        </w:rPr>
        <w:t xml:space="preserve"> </w:t>
      </w:r>
    </w:p>
    <w:p w:rsidR="008D43BD" w:rsidP="008D43BD">
      <w:pPr>
        <w:keepNext/>
        <w:rPr>
          <w:szCs w:val="22"/>
        </w:rPr>
      </w:pPr>
    </w:p>
    <w:p w:rsidR="008D43BD" w:rsidRPr="00C87E85" w:rsidP="008D43BD">
      <w:pPr>
        <w:rPr>
          <w:szCs w:val="22"/>
        </w:rPr>
      </w:pPr>
      <w:r w:rsidRPr="00B50026" w:rsidR="00A4080A">
        <w:rPr>
          <w:szCs w:val="22"/>
        </w:rPr>
        <w:t>Time to symptom progression, as defined by a 5</w:t>
      </w:r>
      <w:r w:rsidRPr="00B50026" w:rsidR="00A4080A">
        <w:rPr>
          <w:szCs w:val="22"/>
        </w:rPr>
        <w:noBreakHyphen/>
        <w:t>point decrease in the score derived from the Trials Outcome Index</w:t>
      </w:r>
      <w:r w:rsidRPr="00B50026" w:rsidR="00A4080A">
        <w:rPr>
          <w:szCs w:val="22"/>
        </w:rPr>
        <w:noBreakHyphen/>
        <w:t>Breast (TOI</w:t>
      </w:r>
      <w:r w:rsidRPr="00B50026" w:rsidR="00A4080A">
        <w:rPr>
          <w:szCs w:val="22"/>
        </w:rPr>
        <w:noBreakHyphen/>
        <w:t>B) subscale of the Functional Assessment of Cancer Therapy</w:t>
      </w:r>
      <w:r w:rsidRPr="00B50026" w:rsidR="00A4080A">
        <w:rPr>
          <w:szCs w:val="22"/>
        </w:rPr>
        <w:noBreakHyphen/>
        <w:t>Breast Quality of Life (FACT</w:t>
      </w:r>
      <w:r w:rsidRPr="00B50026" w:rsidR="00A4080A">
        <w:rPr>
          <w:szCs w:val="22"/>
        </w:rPr>
        <w:noBreakHyphen/>
        <w:t>B QoL) questionnaire was also assessed during the clinical study. A change of 5 points in the TOI</w:t>
      </w:r>
      <w:r w:rsidRPr="00B50026" w:rsidR="00A4080A">
        <w:rPr>
          <w:szCs w:val="22"/>
        </w:rPr>
        <w:noBreakHyphen/>
        <w:t>B is considered clinically significant. Kadcyla delayed patient-reported time to symptom progression for 7.1 months compared with 4.6 months for the control arm (Hazard Ratio 0.796 (0.667, 0.951); p-value 0.0121).</w:t>
      </w:r>
      <w:r w:rsidR="00A4080A">
        <w:rPr>
          <w:szCs w:val="22"/>
        </w:rPr>
        <w:t xml:space="preserve"> </w:t>
      </w:r>
      <w:r w:rsidRPr="00C87E85" w:rsidR="00A4080A">
        <w:rPr>
          <w:szCs w:val="22"/>
        </w:rPr>
        <w:t>The data are from an open-label study and no firm conclusions can be drawn.</w:t>
      </w:r>
    </w:p>
    <w:p w:rsidR="008D43BD" w:rsidRPr="00A30921" w:rsidP="008D43BD">
      <w:pPr>
        <w:rPr>
          <w:szCs w:val="22"/>
        </w:rPr>
      </w:pPr>
    </w:p>
    <w:p w:rsidR="008D43BD" w:rsidRPr="00A30921" w:rsidP="008D43BD">
      <w:pPr>
        <w:keepNext/>
        <w:keepLines/>
        <w:rPr>
          <w:b/>
          <w:bCs/>
          <w:szCs w:val="22"/>
        </w:rPr>
      </w:pPr>
      <w:r w:rsidRPr="00A30921" w:rsidR="00A4080A">
        <w:rPr>
          <w:b/>
          <w:szCs w:val="22"/>
        </w:rPr>
        <w:t>Table </w:t>
      </w:r>
      <w:r w:rsidR="008755D8">
        <w:rPr>
          <w:b/>
          <w:szCs w:val="22"/>
        </w:rPr>
        <w:t>7</w:t>
      </w:r>
      <w:r w:rsidRPr="00A30921" w:rsidR="00A4080A">
        <w:rPr>
          <w:b/>
          <w:szCs w:val="22"/>
        </w:rPr>
        <w:tab/>
      </w:r>
      <w:r w:rsidRPr="00A30921" w:rsidR="00A4080A">
        <w:rPr>
          <w:b/>
          <w:bCs/>
          <w:szCs w:val="22"/>
        </w:rPr>
        <w:t xml:space="preserve">Summary of efficacy from study TDM4370g/BO21977 (EMILIA) </w:t>
      </w:r>
    </w:p>
    <w:p w:rsidR="008D43BD" w:rsidRPr="00A30921" w:rsidP="008D43BD">
      <w:pPr>
        <w:keepNext/>
        <w:keepLines/>
        <w:rPr>
          <w:b/>
          <w:bCs/>
          <w:szCs w:val="22"/>
        </w:rPr>
      </w:pPr>
    </w:p>
    <w:tbl>
      <w:tblPr>
        <w:tblStyle w:val="TableNormal"/>
        <w:tblW w:w="8789"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A0"/>
      </w:tblPr>
      <w:tblGrid>
        <w:gridCol w:w="3780"/>
        <w:gridCol w:w="2790"/>
        <w:gridCol w:w="2219"/>
      </w:tblGrid>
      <w:tr w:rsidTr="008D43BD">
        <w:tblPrEx>
          <w:tblW w:w="8789"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A0"/>
        </w:tblPrEx>
        <w:trPr>
          <w:cantSplit/>
          <w:trHeight w:val="290"/>
          <w:tblHeader/>
        </w:trPr>
        <w:tc>
          <w:tcPr>
            <w:tcW w:w="3780" w:type="dxa"/>
            <w:vAlign w:val="bottom"/>
          </w:tcPr>
          <w:p w:rsidR="008D43BD" w:rsidRPr="00A30921" w:rsidP="008D43BD">
            <w:pPr>
              <w:pStyle w:val="Default"/>
              <w:keepNext/>
              <w:keepLines/>
              <w:jc w:val="center"/>
              <w:rPr>
                <w:rFonts w:eastAsia="Times New Roman"/>
                <w:b/>
                <w:color w:val="auto"/>
                <w:sz w:val="22"/>
                <w:szCs w:val="22"/>
                <w:lang w:eastAsia="ja-JP"/>
              </w:rPr>
            </w:pPr>
          </w:p>
        </w:tc>
        <w:tc>
          <w:tcPr>
            <w:tcW w:w="2790" w:type="dxa"/>
            <w:vAlign w:val="bottom"/>
          </w:tcPr>
          <w:p w:rsidR="008D43BD" w:rsidRPr="00A30921" w:rsidP="008D43BD">
            <w:pPr>
              <w:pStyle w:val="Default"/>
              <w:keepNext/>
              <w:keepLines/>
              <w:jc w:val="center"/>
              <w:rPr>
                <w:rFonts w:eastAsia="Times New Roman"/>
                <w:b/>
                <w:color w:val="auto"/>
                <w:sz w:val="22"/>
                <w:szCs w:val="22"/>
                <w:lang w:eastAsia="ja-JP"/>
              </w:rPr>
            </w:pPr>
            <w:r w:rsidRPr="00A30921" w:rsidR="00A4080A">
              <w:rPr>
                <w:rFonts w:eastAsia="Times New Roman"/>
                <w:b/>
                <w:color w:val="auto"/>
                <w:sz w:val="22"/>
                <w:szCs w:val="22"/>
                <w:lang w:eastAsia="ja-JP"/>
              </w:rPr>
              <w:t>Lapatinib + Capecitabine</w:t>
            </w:r>
          </w:p>
          <w:p w:rsidR="008D43BD" w:rsidRPr="00A30921" w:rsidP="008D43BD">
            <w:pPr>
              <w:pStyle w:val="Default"/>
              <w:keepNext/>
              <w:keepLines/>
              <w:jc w:val="center"/>
              <w:rPr>
                <w:rFonts w:eastAsia="Times New Roman"/>
                <w:b/>
                <w:color w:val="auto"/>
                <w:sz w:val="22"/>
                <w:szCs w:val="22"/>
                <w:lang w:eastAsia="ja-JP"/>
              </w:rPr>
            </w:pPr>
            <w:r w:rsidRPr="00A30921" w:rsidR="00A4080A">
              <w:rPr>
                <w:rFonts w:eastAsia="Times New Roman"/>
                <w:b/>
                <w:color w:val="auto"/>
                <w:sz w:val="22"/>
                <w:szCs w:val="22"/>
                <w:lang w:eastAsia="ja-JP"/>
              </w:rPr>
              <w:t>n = 496</w:t>
            </w:r>
          </w:p>
        </w:tc>
        <w:tc>
          <w:tcPr>
            <w:tcW w:w="2219" w:type="dxa"/>
            <w:vAlign w:val="bottom"/>
          </w:tcPr>
          <w:p w:rsidR="008D43BD" w:rsidRPr="00A30921" w:rsidP="008D43BD">
            <w:pPr>
              <w:pStyle w:val="Default"/>
              <w:keepNext/>
              <w:keepLines/>
              <w:jc w:val="center"/>
              <w:rPr>
                <w:rFonts w:eastAsia="Times New Roman"/>
                <w:b/>
                <w:color w:val="auto"/>
                <w:sz w:val="22"/>
                <w:szCs w:val="22"/>
                <w:lang w:eastAsia="ja-JP"/>
              </w:rPr>
            </w:pPr>
            <w:r w:rsidRPr="00A30921" w:rsidR="00A4080A">
              <w:rPr>
                <w:rFonts w:eastAsia="Times New Roman"/>
                <w:b/>
                <w:color w:val="auto"/>
                <w:sz w:val="22"/>
                <w:szCs w:val="22"/>
                <w:lang w:eastAsia="ja-JP"/>
              </w:rPr>
              <w:t>Trastuzumab emtansine</w:t>
            </w:r>
          </w:p>
          <w:p w:rsidR="008D43BD" w:rsidRPr="00A30921" w:rsidP="008D43BD">
            <w:pPr>
              <w:pStyle w:val="Default"/>
              <w:keepNext/>
              <w:keepLines/>
              <w:jc w:val="center"/>
              <w:rPr>
                <w:rFonts w:eastAsia="Times New Roman"/>
                <w:b/>
                <w:color w:val="auto"/>
                <w:sz w:val="22"/>
                <w:szCs w:val="22"/>
                <w:lang w:eastAsia="ja-JP"/>
              </w:rPr>
            </w:pPr>
            <w:r w:rsidRPr="00A30921" w:rsidR="00A4080A">
              <w:rPr>
                <w:rFonts w:eastAsia="Times New Roman"/>
                <w:b/>
                <w:color w:val="auto"/>
                <w:sz w:val="22"/>
                <w:szCs w:val="22"/>
                <w:lang w:eastAsia="ja-JP"/>
              </w:rPr>
              <w:t>n = 495</w:t>
            </w:r>
          </w:p>
        </w:tc>
      </w:tr>
      <w:tr w:rsidTr="008D43BD">
        <w:tblPrEx>
          <w:tblW w:w="8789" w:type="dxa"/>
          <w:tblInd w:w="57" w:type="dxa"/>
          <w:tblLayout w:type="fixed"/>
          <w:tblCellMar>
            <w:left w:w="57" w:type="dxa"/>
            <w:right w:w="57" w:type="dxa"/>
          </w:tblCellMar>
          <w:tblLook w:val="0000"/>
        </w:tblPrEx>
        <w:trPr>
          <w:cantSplit/>
        </w:trPr>
        <w:tc>
          <w:tcPr>
            <w:tcW w:w="8789" w:type="dxa"/>
            <w:gridSpan w:val="3"/>
            <w:vAlign w:val="center"/>
          </w:tcPr>
          <w:p w:rsidR="008D43BD" w:rsidRPr="00A30921" w:rsidP="008D43BD">
            <w:pPr>
              <w:keepNext/>
              <w:keepLines/>
              <w:spacing w:before="50" w:after="50" w:line="240" w:lineRule="exact"/>
              <w:rPr>
                <w:b/>
                <w:szCs w:val="22"/>
              </w:rPr>
            </w:pPr>
            <w:r w:rsidRPr="00A30921" w:rsidR="00A4080A">
              <w:rPr>
                <w:b/>
                <w:szCs w:val="22"/>
              </w:rPr>
              <w:t>Primary endpoints</w:t>
            </w:r>
          </w:p>
        </w:tc>
      </w:tr>
      <w:tr w:rsidTr="008D43BD">
        <w:tblPrEx>
          <w:tblW w:w="8789" w:type="dxa"/>
          <w:tblInd w:w="57" w:type="dxa"/>
          <w:tblLayout w:type="fixed"/>
          <w:tblCellMar>
            <w:left w:w="57" w:type="dxa"/>
            <w:right w:w="57" w:type="dxa"/>
          </w:tblCellMar>
          <w:tblLook w:val="0000"/>
        </w:tblPrEx>
        <w:trPr>
          <w:cantSplit/>
        </w:trPr>
        <w:tc>
          <w:tcPr>
            <w:tcW w:w="3780" w:type="dxa"/>
            <w:vAlign w:val="bottom"/>
          </w:tcPr>
          <w:p w:rsidR="008D43BD" w:rsidRPr="00A30921" w:rsidP="008D43BD">
            <w:pPr>
              <w:keepNext/>
              <w:keepLines/>
              <w:spacing w:before="50" w:after="50" w:line="240" w:lineRule="exact"/>
              <w:rPr>
                <w:b/>
                <w:szCs w:val="22"/>
              </w:rPr>
            </w:pPr>
            <w:r w:rsidRPr="00A30921" w:rsidR="00A4080A">
              <w:rPr>
                <w:b/>
                <w:szCs w:val="22"/>
              </w:rPr>
              <w:t>IRC-assessed progression-free survival (PFS)</w:t>
            </w:r>
          </w:p>
        </w:tc>
        <w:tc>
          <w:tcPr>
            <w:tcW w:w="5009" w:type="dxa"/>
            <w:gridSpan w:val="2"/>
            <w:vAlign w:val="bottom"/>
          </w:tcPr>
          <w:p w:rsidR="008D43BD" w:rsidRPr="00A30921" w:rsidP="008D43BD">
            <w:pPr>
              <w:keepNext/>
              <w:keepLines/>
              <w:spacing w:before="50" w:after="50" w:line="240" w:lineRule="exact"/>
              <w:jc w:val="center"/>
              <w:rPr>
                <w:b/>
                <w:szCs w:val="22"/>
              </w:rPr>
            </w:pPr>
          </w:p>
        </w:tc>
      </w:tr>
      <w:tr w:rsidTr="008D43BD">
        <w:tblPrEx>
          <w:tblW w:w="8789" w:type="dxa"/>
          <w:tblInd w:w="57" w:type="dxa"/>
          <w:tblLayout w:type="fixed"/>
          <w:tblCellMar>
            <w:left w:w="57" w:type="dxa"/>
            <w:right w:w="57" w:type="dxa"/>
          </w:tblCellMar>
          <w:tblLook w:val="0000"/>
        </w:tblPrEx>
        <w:trPr>
          <w:cantSplit/>
        </w:trPr>
        <w:tc>
          <w:tcPr>
            <w:tcW w:w="3780" w:type="dxa"/>
            <w:vAlign w:val="bottom"/>
          </w:tcPr>
          <w:p w:rsidR="008D43BD" w:rsidRPr="00A30921" w:rsidP="008D43BD">
            <w:pPr>
              <w:keepNext/>
              <w:keepLines/>
              <w:spacing w:before="50" w:after="50" w:line="240" w:lineRule="exact"/>
              <w:ind w:left="226"/>
              <w:rPr>
                <w:szCs w:val="22"/>
                <w:lang w:eastAsia="en-US"/>
              </w:rPr>
            </w:pPr>
            <w:r w:rsidRPr="00A30921" w:rsidR="00A4080A">
              <w:rPr>
                <w:szCs w:val="22"/>
                <w:lang w:eastAsia="en-US"/>
              </w:rPr>
              <w:t xml:space="preserve">Number (%) of patients with event </w:t>
            </w:r>
          </w:p>
        </w:tc>
        <w:tc>
          <w:tcPr>
            <w:tcW w:w="2790" w:type="dxa"/>
            <w:vAlign w:val="bottom"/>
          </w:tcPr>
          <w:p w:rsidR="008D43BD" w:rsidRPr="00A30921" w:rsidP="008D43BD">
            <w:pPr>
              <w:keepNext/>
              <w:keepLines/>
              <w:spacing w:before="50" w:after="50" w:line="240" w:lineRule="exact"/>
              <w:jc w:val="center"/>
              <w:rPr>
                <w:szCs w:val="22"/>
              </w:rPr>
            </w:pPr>
            <w:r w:rsidRPr="00A30921" w:rsidR="00A4080A">
              <w:rPr>
                <w:szCs w:val="22"/>
              </w:rPr>
              <w:t>304 (61.3%)</w:t>
            </w:r>
          </w:p>
        </w:tc>
        <w:tc>
          <w:tcPr>
            <w:tcW w:w="2219" w:type="dxa"/>
            <w:vAlign w:val="bottom"/>
          </w:tcPr>
          <w:p w:rsidR="008D43BD" w:rsidRPr="00A30921" w:rsidP="008D43BD">
            <w:pPr>
              <w:keepNext/>
              <w:keepLines/>
              <w:spacing w:before="50" w:after="50" w:line="240" w:lineRule="exact"/>
              <w:jc w:val="center"/>
              <w:rPr>
                <w:szCs w:val="22"/>
              </w:rPr>
            </w:pPr>
            <w:r w:rsidRPr="00A30921" w:rsidR="00A4080A">
              <w:rPr>
                <w:szCs w:val="22"/>
              </w:rPr>
              <w:t>265 (53.5%)</w:t>
            </w:r>
          </w:p>
        </w:tc>
      </w:tr>
      <w:tr w:rsidTr="008D43BD">
        <w:tblPrEx>
          <w:tblW w:w="8789" w:type="dxa"/>
          <w:tblInd w:w="57" w:type="dxa"/>
          <w:tblLayout w:type="fixed"/>
          <w:tblCellMar>
            <w:left w:w="57" w:type="dxa"/>
            <w:right w:w="57" w:type="dxa"/>
          </w:tblCellMar>
          <w:tblLook w:val="0000"/>
        </w:tblPrEx>
        <w:trPr>
          <w:cantSplit/>
        </w:trPr>
        <w:tc>
          <w:tcPr>
            <w:tcW w:w="3780" w:type="dxa"/>
            <w:vAlign w:val="bottom"/>
          </w:tcPr>
          <w:p w:rsidR="008D43BD" w:rsidRPr="00A30921" w:rsidP="008D43BD">
            <w:pPr>
              <w:keepNext/>
              <w:keepLines/>
              <w:spacing w:before="50" w:after="50" w:line="240" w:lineRule="exact"/>
              <w:ind w:left="226"/>
              <w:rPr>
                <w:szCs w:val="22"/>
                <w:lang w:eastAsia="en-US"/>
              </w:rPr>
            </w:pPr>
            <w:r w:rsidRPr="00A30921" w:rsidR="00A4080A">
              <w:rPr>
                <w:szCs w:val="22"/>
                <w:lang w:eastAsia="en-US"/>
              </w:rPr>
              <w:t xml:space="preserve">Median duration of PFS (months) </w:t>
            </w:r>
          </w:p>
        </w:tc>
        <w:tc>
          <w:tcPr>
            <w:tcW w:w="2790" w:type="dxa"/>
            <w:vAlign w:val="bottom"/>
          </w:tcPr>
          <w:p w:rsidR="008D43BD" w:rsidRPr="00A30921" w:rsidP="008D43BD">
            <w:pPr>
              <w:keepNext/>
              <w:keepLines/>
              <w:spacing w:before="50" w:after="50" w:line="240" w:lineRule="exact"/>
              <w:jc w:val="center"/>
              <w:rPr>
                <w:szCs w:val="22"/>
              </w:rPr>
            </w:pPr>
            <w:r w:rsidRPr="00A30921" w:rsidR="00A4080A">
              <w:rPr>
                <w:szCs w:val="22"/>
              </w:rPr>
              <w:t>6.4</w:t>
            </w:r>
          </w:p>
        </w:tc>
        <w:tc>
          <w:tcPr>
            <w:tcW w:w="2219" w:type="dxa"/>
            <w:vAlign w:val="bottom"/>
          </w:tcPr>
          <w:p w:rsidR="008D43BD" w:rsidRPr="00A30921" w:rsidP="008D43BD">
            <w:pPr>
              <w:keepNext/>
              <w:keepLines/>
              <w:spacing w:before="50" w:after="50" w:line="240" w:lineRule="exact"/>
              <w:jc w:val="center"/>
              <w:rPr>
                <w:szCs w:val="22"/>
              </w:rPr>
            </w:pPr>
            <w:r w:rsidRPr="00A30921" w:rsidR="00A4080A">
              <w:rPr>
                <w:szCs w:val="22"/>
              </w:rPr>
              <w:t>9.6</w:t>
            </w:r>
          </w:p>
        </w:tc>
      </w:tr>
      <w:tr w:rsidTr="008D43BD">
        <w:tblPrEx>
          <w:tblW w:w="8789" w:type="dxa"/>
          <w:tblInd w:w="57" w:type="dxa"/>
          <w:tblLayout w:type="fixed"/>
          <w:tblCellMar>
            <w:left w:w="57" w:type="dxa"/>
            <w:right w:w="57" w:type="dxa"/>
          </w:tblCellMar>
          <w:tblLook w:val="0000"/>
        </w:tblPrEx>
        <w:trPr>
          <w:cantSplit/>
        </w:trPr>
        <w:tc>
          <w:tcPr>
            <w:tcW w:w="3780" w:type="dxa"/>
            <w:vAlign w:val="bottom"/>
          </w:tcPr>
          <w:p w:rsidR="008D43BD" w:rsidRPr="00A30921" w:rsidP="008D43BD">
            <w:pPr>
              <w:keepNext/>
              <w:keepLines/>
              <w:spacing w:before="50" w:after="50" w:line="240" w:lineRule="exact"/>
              <w:ind w:left="226"/>
              <w:rPr>
                <w:szCs w:val="22"/>
                <w:lang w:eastAsia="en-US"/>
              </w:rPr>
            </w:pPr>
            <w:r w:rsidRPr="00A30921" w:rsidR="00A4080A">
              <w:rPr>
                <w:szCs w:val="22"/>
                <w:lang w:eastAsia="en-US"/>
              </w:rPr>
              <w:t>Hazard ratio (stratified*)</w:t>
            </w:r>
          </w:p>
        </w:tc>
        <w:tc>
          <w:tcPr>
            <w:tcW w:w="5009" w:type="dxa"/>
            <w:gridSpan w:val="2"/>
            <w:vAlign w:val="bottom"/>
          </w:tcPr>
          <w:p w:rsidR="008D43BD" w:rsidRPr="00A30921" w:rsidP="008D43BD">
            <w:pPr>
              <w:keepNext/>
              <w:keepLines/>
              <w:spacing w:before="50" w:after="50" w:line="240" w:lineRule="exact"/>
              <w:jc w:val="center"/>
              <w:rPr>
                <w:szCs w:val="22"/>
              </w:rPr>
            </w:pPr>
            <w:r w:rsidRPr="00A30921" w:rsidR="00A4080A">
              <w:rPr>
                <w:szCs w:val="22"/>
              </w:rPr>
              <w:t>0.650</w:t>
            </w:r>
          </w:p>
        </w:tc>
      </w:tr>
      <w:tr w:rsidTr="008D43BD">
        <w:tblPrEx>
          <w:tblW w:w="8789" w:type="dxa"/>
          <w:tblInd w:w="57" w:type="dxa"/>
          <w:tblLayout w:type="fixed"/>
          <w:tblCellMar>
            <w:left w:w="57" w:type="dxa"/>
            <w:right w:w="57" w:type="dxa"/>
          </w:tblCellMar>
          <w:tblLook w:val="0000"/>
        </w:tblPrEx>
        <w:trPr>
          <w:cantSplit/>
        </w:trPr>
        <w:tc>
          <w:tcPr>
            <w:tcW w:w="3780" w:type="dxa"/>
            <w:vAlign w:val="bottom"/>
          </w:tcPr>
          <w:p w:rsidR="008D43BD" w:rsidRPr="00A30921" w:rsidP="008D43BD">
            <w:pPr>
              <w:keepNext/>
              <w:keepLines/>
              <w:spacing w:before="50" w:after="50" w:line="240" w:lineRule="exact"/>
              <w:ind w:left="226"/>
              <w:rPr>
                <w:szCs w:val="22"/>
                <w:lang w:eastAsia="en-US"/>
              </w:rPr>
            </w:pPr>
            <w:r w:rsidRPr="00A30921" w:rsidR="00A4080A">
              <w:rPr>
                <w:szCs w:val="22"/>
                <w:lang w:eastAsia="en-US"/>
              </w:rPr>
              <w:t>95% CI for Hazard ratio</w:t>
            </w:r>
          </w:p>
        </w:tc>
        <w:tc>
          <w:tcPr>
            <w:tcW w:w="5009" w:type="dxa"/>
            <w:gridSpan w:val="2"/>
            <w:vAlign w:val="bottom"/>
          </w:tcPr>
          <w:p w:rsidR="008D43BD" w:rsidRPr="00A30921" w:rsidP="008D43BD">
            <w:pPr>
              <w:keepNext/>
              <w:keepLines/>
              <w:spacing w:before="50" w:after="50" w:line="240" w:lineRule="exact"/>
              <w:jc w:val="center"/>
              <w:rPr>
                <w:szCs w:val="22"/>
              </w:rPr>
            </w:pPr>
            <w:r w:rsidRPr="00A30921" w:rsidR="00A4080A">
              <w:rPr>
                <w:szCs w:val="22"/>
              </w:rPr>
              <w:t>(0.549, 0.771)</w:t>
            </w:r>
          </w:p>
        </w:tc>
      </w:tr>
      <w:tr w:rsidTr="008D43BD">
        <w:tblPrEx>
          <w:tblW w:w="8789" w:type="dxa"/>
          <w:tblInd w:w="57" w:type="dxa"/>
          <w:tblLayout w:type="fixed"/>
          <w:tblCellMar>
            <w:left w:w="57" w:type="dxa"/>
            <w:right w:w="57" w:type="dxa"/>
          </w:tblCellMar>
          <w:tblLook w:val="0000"/>
        </w:tblPrEx>
        <w:trPr>
          <w:cantSplit/>
        </w:trPr>
        <w:tc>
          <w:tcPr>
            <w:tcW w:w="3780" w:type="dxa"/>
            <w:vAlign w:val="bottom"/>
          </w:tcPr>
          <w:p w:rsidR="008D43BD" w:rsidRPr="00A30921" w:rsidP="008D43BD">
            <w:pPr>
              <w:keepNext/>
              <w:keepLines/>
              <w:spacing w:before="50" w:after="50" w:line="240" w:lineRule="exact"/>
              <w:ind w:left="226"/>
              <w:rPr>
                <w:szCs w:val="22"/>
                <w:lang w:eastAsia="en-US"/>
              </w:rPr>
            </w:pPr>
            <w:r w:rsidRPr="00A30921" w:rsidR="00A4080A">
              <w:rPr>
                <w:szCs w:val="22"/>
                <w:lang w:eastAsia="en-US"/>
              </w:rPr>
              <w:t>p-value (Log-rank test, stratified*)</w:t>
            </w:r>
          </w:p>
        </w:tc>
        <w:tc>
          <w:tcPr>
            <w:tcW w:w="5009" w:type="dxa"/>
            <w:gridSpan w:val="2"/>
            <w:vAlign w:val="bottom"/>
          </w:tcPr>
          <w:p w:rsidR="008D43BD" w:rsidRPr="00A30921" w:rsidP="008D43BD">
            <w:pPr>
              <w:keepNext/>
              <w:keepLines/>
              <w:spacing w:before="50" w:after="50" w:line="240" w:lineRule="exact"/>
              <w:jc w:val="center"/>
              <w:rPr>
                <w:b/>
                <w:szCs w:val="22"/>
              </w:rPr>
            </w:pPr>
            <w:r w:rsidRPr="00A30921" w:rsidR="00A4080A">
              <w:rPr>
                <w:szCs w:val="22"/>
              </w:rPr>
              <w:t>&lt; 0.0001</w:t>
            </w:r>
          </w:p>
        </w:tc>
      </w:tr>
      <w:tr w:rsidTr="008D43BD">
        <w:tblPrEx>
          <w:tblW w:w="8789" w:type="dxa"/>
          <w:tblInd w:w="57" w:type="dxa"/>
          <w:tblLayout w:type="fixed"/>
          <w:tblCellMar>
            <w:left w:w="57" w:type="dxa"/>
            <w:right w:w="57" w:type="dxa"/>
          </w:tblCellMar>
          <w:tblLook w:val="0000"/>
        </w:tblPrEx>
        <w:trPr>
          <w:cantSplit/>
        </w:trPr>
        <w:tc>
          <w:tcPr>
            <w:tcW w:w="3780" w:type="dxa"/>
            <w:vAlign w:val="bottom"/>
          </w:tcPr>
          <w:p w:rsidR="008D43BD" w:rsidRPr="00A30921" w:rsidP="008D43BD">
            <w:pPr>
              <w:keepNext/>
              <w:keepLines/>
              <w:spacing w:before="50" w:after="50" w:line="240" w:lineRule="exact"/>
              <w:rPr>
                <w:b/>
                <w:szCs w:val="22"/>
              </w:rPr>
            </w:pPr>
            <w:r w:rsidRPr="00A30921" w:rsidR="00A4080A">
              <w:rPr>
                <w:b/>
                <w:szCs w:val="22"/>
              </w:rPr>
              <w:t xml:space="preserve">Overall Survival (OS)** </w:t>
            </w:r>
          </w:p>
        </w:tc>
        <w:tc>
          <w:tcPr>
            <w:tcW w:w="5009" w:type="dxa"/>
            <w:gridSpan w:val="2"/>
            <w:vAlign w:val="bottom"/>
          </w:tcPr>
          <w:p w:rsidR="008D43BD" w:rsidRPr="00A30921" w:rsidP="008D43BD">
            <w:pPr>
              <w:keepNext/>
              <w:keepLines/>
              <w:spacing w:before="50" w:after="50" w:line="240" w:lineRule="exact"/>
              <w:jc w:val="center"/>
              <w:rPr>
                <w:b/>
                <w:szCs w:val="22"/>
              </w:rPr>
            </w:pPr>
          </w:p>
        </w:tc>
      </w:tr>
      <w:tr w:rsidTr="008D43BD">
        <w:tblPrEx>
          <w:tblW w:w="8789" w:type="dxa"/>
          <w:tblInd w:w="57" w:type="dxa"/>
          <w:tblLayout w:type="fixed"/>
          <w:tblCellMar>
            <w:left w:w="57" w:type="dxa"/>
            <w:right w:w="57" w:type="dxa"/>
          </w:tblCellMar>
          <w:tblLook w:val="0000"/>
        </w:tblPrEx>
        <w:trPr>
          <w:cantSplit/>
        </w:trPr>
        <w:tc>
          <w:tcPr>
            <w:tcW w:w="3780" w:type="dxa"/>
            <w:vAlign w:val="bottom"/>
          </w:tcPr>
          <w:p w:rsidR="008D43BD" w:rsidRPr="00A30921" w:rsidP="008D43BD">
            <w:pPr>
              <w:keepNext/>
              <w:keepLines/>
              <w:spacing w:before="50" w:after="50" w:line="240" w:lineRule="exact"/>
              <w:ind w:left="226"/>
              <w:rPr>
                <w:szCs w:val="22"/>
                <w:lang w:eastAsia="en-US"/>
              </w:rPr>
            </w:pPr>
            <w:r w:rsidRPr="00A30921" w:rsidR="00A4080A">
              <w:rPr>
                <w:szCs w:val="22"/>
                <w:lang w:eastAsia="en-US"/>
              </w:rPr>
              <w:t xml:space="preserve">Number (%) of patients who died </w:t>
            </w:r>
          </w:p>
        </w:tc>
        <w:tc>
          <w:tcPr>
            <w:tcW w:w="2790" w:type="dxa"/>
            <w:vAlign w:val="bottom"/>
          </w:tcPr>
          <w:p w:rsidR="008D43BD" w:rsidRPr="00A30921" w:rsidP="008D43BD">
            <w:pPr>
              <w:keepNext/>
              <w:keepLines/>
              <w:spacing w:before="50" w:after="50" w:line="240" w:lineRule="exact"/>
              <w:jc w:val="center"/>
              <w:rPr>
                <w:szCs w:val="22"/>
              </w:rPr>
            </w:pPr>
            <w:r w:rsidRPr="00A30921" w:rsidR="00A4080A">
              <w:rPr>
                <w:szCs w:val="22"/>
              </w:rPr>
              <w:t>182 (36.7%)</w:t>
            </w:r>
          </w:p>
        </w:tc>
        <w:tc>
          <w:tcPr>
            <w:tcW w:w="2219" w:type="dxa"/>
            <w:vAlign w:val="bottom"/>
          </w:tcPr>
          <w:p w:rsidR="008D43BD" w:rsidRPr="00A30921" w:rsidP="008D43BD">
            <w:pPr>
              <w:keepNext/>
              <w:keepLines/>
              <w:spacing w:before="50" w:after="50" w:line="240" w:lineRule="exact"/>
              <w:jc w:val="center"/>
              <w:rPr>
                <w:szCs w:val="22"/>
              </w:rPr>
            </w:pPr>
            <w:r w:rsidRPr="00A30921" w:rsidR="00A4080A">
              <w:rPr>
                <w:szCs w:val="22"/>
              </w:rPr>
              <w:t>149 (30.1%)</w:t>
            </w:r>
          </w:p>
        </w:tc>
      </w:tr>
      <w:tr w:rsidTr="008D43BD">
        <w:tblPrEx>
          <w:tblW w:w="8789" w:type="dxa"/>
          <w:tblInd w:w="57" w:type="dxa"/>
          <w:tblLayout w:type="fixed"/>
          <w:tblCellMar>
            <w:left w:w="57" w:type="dxa"/>
            <w:right w:w="57" w:type="dxa"/>
          </w:tblCellMar>
          <w:tblLook w:val="0000"/>
        </w:tblPrEx>
        <w:trPr>
          <w:cantSplit/>
        </w:trPr>
        <w:tc>
          <w:tcPr>
            <w:tcW w:w="3780" w:type="dxa"/>
            <w:vAlign w:val="bottom"/>
          </w:tcPr>
          <w:p w:rsidR="008D43BD" w:rsidRPr="00A30921" w:rsidP="008D43BD">
            <w:pPr>
              <w:keepNext/>
              <w:keepLines/>
              <w:spacing w:before="50" w:after="50" w:line="240" w:lineRule="exact"/>
              <w:ind w:left="226"/>
              <w:rPr>
                <w:szCs w:val="22"/>
                <w:lang w:eastAsia="en-US"/>
              </w:rPr>
            </w:pPr>
            <w:r w:rsidRPr="00A30921" w:rsidR="00A4080A">
              <w:rPr>
                <w:szCs w:val="22"/>
                <w:lang w:eastAsia="en-US"/>
              </w:rPr>
              <w:t>Median duration of survival (months)</w:t>
            </w:r>
          </w:p>
        </w:tc>
        <w:tc>
          <w:tcPr>
            <w:tcW w:w="2790" w:type="dxa"/>
            <w:vAlign w:val="bottom"/>
          </w:tcPr>
          <w:p w:rsidR="008D43BD" w:rsidRPr="00A30921" w:rsidP="008D43BD">
            <w:pPr>
              <w:keepNext/>
              <w:keepLines/>
              <w:spacing w:before="50" w:after="50" w:line="240" w:lineRule="exact"/>
              <w:jc w:val="center"/>
              <w:rPr>
                <w:szCs w:val="22"/>
              </w:rPr>
            </w:pPr>
            <w:r w:rsidRPr="00A30921" w:rsidR="00A4080A">
              <w:rPr>
                <w:szCs w:val="22"/>
              </w:rPr>
              <w:t>25.1</w:t>
            </w:r>
          </w:p>
        </w:tc>
        <w:tc>
          <w:tcPr>
            <w:tcW w:w="2219" w:type="dxa"/>
            <w:vAlign w:val="bottom"/>
          </w:tcPr>
          <w:p w:rsidR="008D43BD" w:rsidRPr="00A30921" w:rsidP="008D43BD">
            <w:pPr>
              <w:keepNext/>
              <w:keepLines/>
              <w:spacing w:before="50" w:after="50" w:line="240" w:lineRule="exact"/>
              <w:jc w:val="center"/>
              <w:rPr>
                <w:szCs w:val="22"/>
              </w:rPr>
            </w:pPr>
            <w:r w:rsidRPr="00A30921" w:rsidR="00A4080A">
              <w:rPr>
                <w:szCs w:val="22"/>
              </w:rPr>
              <w:t>30.9</w:t>
            </w:r>
          </w:p>
        </w:tc>
      </w:tr>
      <w:tr w:rsidTr="008D43BD">
        <w:tblPrEx>
          <w:tblW w:w="8789" w:type="dxa"/>
          <w:tblInd w:w="57" w:type="dxa"/>
          <w:tblLayout w:type="fixed"/>
          <w:tblCellMar>
            <w:left w:w="57" w:type="dxa"/>
            <w:right w:w="57" w:type="dxa"/>
          </w:tblCellMar>
          <w:tblLook w:val="0000"/>
        </w:tblPrEx>
        <w:trPr>
          <w:cantSplit/>
        </w:trPr>
        <w:tc>
          <w:tcPr>
            <w:tcW w:w="3780" w:type="dxa"/>
            <w:vAlign w:val="bottom"/>
          </w:tcPr>
          <w:p w:rsidR="008D43BD" w:rsidRPr="00A30921" w:rsidP="008D43BD">
            <w:pPr>
              <w:keepNext/>
              <w:keepLines/>
              <w:spacing w:before="50" w:after="50" w:line="240" w:lineRule="exact"/>
              <w:ind w:left="226"/>
              <w:rPr>
                <w:szCs w:val="22"/>
                <w:lang w:eastAsia="en-US"/>
              </w:rPr>
            </w:pPr>
            <w:r w:rsidRPr="00A30921" w:rsidR="00A4080A">
              <w:rPr>
                <w:szCs w:val="22"/>
                <w:lang w:eastAsia="en-US"/>
              </w:rPr>
              <w:t>Hazard ratio (stratified*)</w:t>
            </w:r>
          </w:p>
        </w:tc>
        <w:tc>
          <w:tcPr>
            <w:tcW w:w="5009" w:type="dxa"/>
            <w:gridSpan w:val="2"/>
            <w:vAlign w:val="bottom"/>
          </w:tcPr>
          <w:p w:rsidR="008D43BD" w:rsidRPr="00A30921" w:rsidP="008D43BD">
            <w:pPr>
              <w:keepNext/>
              <w:keepLines/>
              <w:spacing w:before="50" w:after="50" w:line="240" w:lineRule="exact"/>
              <w:jc w:val="center"/>
              <w:rPr>
                <w:szCs w:val="22"/>
              </w:rPr>
            </w:pPr>
            <w:r w:rsidRPr="00A30921" w:rsidR="00A4080A">
              <w:rPr>
                <w:szCs w:val="22"/>
              </w:rPr>
              <w:t>0.682</w:t>
            </w:r>
          </w:p>
        </w:tc>
      </w:tr>
      <w:tr w:rsidTr="008D43BD">
        <w:tblPrEx>
          <w:tblW w:w="8789" w:type="dxa"/>
          <w:tblInd w:w="57" w:type="dxa"/>
          <w:tblLayout w:type="fixed"/>
          <w:tblCellMar>
            <w:left w:w="57" w:type="dxa"/>
            <w:right w:w="57" w:type="dxa"/>
          </w:tblCellMar>
          <w:tblLook w:val="0000"/>
        </w:tblPrEx>
        <w:trPr>
          <w:cantSplit/>
        </w:trPr>
        <w:tc>
          <w:tcPr>
            <w:tcW w:w="3780" w:type="dxa"/>
            <w:vAlign w:val="bottom"/>
          </w:tcPr>
          <w:p w:rsidR="008D43BD" w:rsidRPr="00A30921" w:rsidP="008D43BD">
            <w:pPr>
              <w:keepNext/>
              <w:keepLines/>
              <w:spacing w:before="50" w:after="50" w:line="240" w:lineRule="exact"/>
              <w:ind w:left="226"/>
              <w:rPr>
                <w:szCs w:val="22"/>
                <w:lang w:eastAsia="en-US"/>
              </w:rPr>
            </w:pPr>
            <w:r w:rsidRPr="00A30921" w:rsidR="00A4080A">
              <w:rPr>
                <w:szCs w:val="22"/>
                <w:lang w:eastAsia="en-US"/>
              </w:rPr>
              <w:t>95% CI for Hazard ratio</w:t>
            </w:r>
          </w:p>
        </w:tc>
        <w:tc>
          <w:tcPr>
            <w:tcW w:w="5009" w:type="dxa"/>
            <w:gridSpan w:val="2"/>
            <w:vAlign w:val="bottom"/>
          </w:tcPr>
          <w:p w:rsidR="008D43BD" w:rsidRPr="00A30921" w:rsidP="008D43BD">
            <w:pPr>
              <w:keepNext/>
              <w:keepLines/>
              <w:spacing w:before="50" w:after="50" w:line="240" w:lineRule="exact"/>
              <w:jc w:val="center"/>
              <w:rPr>
                <w:szCs w:val="22"/>
              </w:rPr>
            </w:pPr>
            <w:r w:rsidRPr="00A30921" w:rsidR="00A4080A">
              <w:rPr>
                <w:szCs w:val="22"/>
              </w:rPr>
              <w:t>(0.548, 0.849)</w:t>
            </w:r>
          </w:p>
        </w:tc>
      </w:tr>
      <w:tr w:rsidTr="008D43BD">
        <w:tblPrEx>
          <w:tblW w:w="8789" w:type="dxa"/>
          <w:tblInd w:w="57" w:type="dxa"/>
          <w:tblLayout w:type="fixed"/>
          <w:tblCellMar>
            <w:left w:w="57" w:type="dxa"/>
            <w:right w:w="57" w:type="dxa"/>
          </w:tblCellMar>
          <w:tblLook w:val="0000"/>
        </w:tblPrEx>
        <w:trPr>
          <w:cantSplit/>
          <w:trHeight w:val="80"/>
        </w:trPr>
        <w:tc>
          <w:tcPr>
            <w:tcW w:w="3780" w:type="dxa"/>
            <w:vAlign w:val="bottom"/>
          </w:tcPr>
          <w:p w:rsidR="008D43BD" w:rsidRPr="00A30921" w:rsidP="008D43BD">
            <w:pPr>
              <w:keepNext/>
              <w:keepLines/>
              <w:spacing w:before="50" w:after="50" w:line="240" w:lineRule="exact"/>
              <w:ind w:left="226"/>
              <w:rPr>
                <w:szCs w:val="22"/>
                <w:lang w:eastAsia="en-US"/>
              </w:rPr>
            </w:pPr>
            <w:r w:rsidRPr="00A30921" w:rsidR="00A4080A">
              <w:rPr>
                <w:szCs w:val="22"/>
                <w:lang w:eastAsia="en-US"/>
              </w:rPr>
              <w:t>p-value (Log-rank test*)</w:t>
            </w:r>
          </w:p>
        </w:tc>
        <w:tc>
          <w:tcPr>
            <w:tcW w:w="5009" w:type="dxa"/>
            <w:gridSpan w:val="2"/>
            <w:vAlign w:val="bottom"/>
          </w:tcPr>
          <w:p w:rsidR="008D43BD" w:rsidRPr="00A30921" w:rsidP="008D43BD">
            <w:pPr>
              <w:keepNext/>
              <w:keepLines/>
              <w:spacing w:before="50" w:after="50" w:line="240" w:lineRule="exact"/>
              <w:jc w:val="center"/>
              <w:rPr>
                <w:szCs w:val="22"/>
              </w:rPr>
            </w:pPr>
            <w:r w:rsidRPr="00A30921" w:rsidR="00A4080A">
              <w:rPr>
                <w:szCs w:val="22"/>
              </w:rPr>
              <w:t>0.0006</w:t>
            </w:r>
          </w:p>
        </w:tc>
      </w:tr>
      <w:tr w:rsidTr="008D43BD">
        <w:tblPrEx>
          <w:tblW w:w="8789" w:type="dxa"/>
          <w:tblInd w:w="57" w:type="dxa"/>
          <w:tblLayout w:type="fixed"/>
          <w:tblCellMar>
            <w:left w:w="57" w:type="dxa"/>
            <w:right w:w="57" w:type="dxa"/>
          </w:tblCellMar>
          <w:tblLook w:val="0000"/>
        </w:tblPrEx>
        <w:trPr>
          <w:cantSplit/>
        </w:trPr>
        <w:tc>
          <w:tcPr>
            <w:tcW w:w="8789" w:type="dxa"/>
            <w:gridSpan w:val="3"/>
            <w:vAlign w:val="center"/>
          </w:tcPr>
          <w:p w:rsidR="008D43BD" w:rsidRPr="00A30921" w:rsidP="008D43BD">
            <w:pPr>
              <w:keepNext/>
              <w:keepLines/>
              <w:spacing w:before="50" w:after="50" w:line="240" w:lineRule="exact"/>
              <w:rPr>
                <w:b/>
                <w:szCs w:val="22"/>
              </w:rPr>
            </w:pPr>
            <w:r w:rsidRPr="00A30921" w:rsidR="00A4080A">
              <w:rPr>
                <w:b/>
                <w:szCs w:val="22"/>
              </w:rPr>
              <w:t>Key secondary endpoints</w:t>
            </w:r>
          </w:p>
        </w:tc>
      </w:tr>
      <w:tr w:rsidTr="008D43BD">
        <w:tblPrEx>
          <w:tblW w:w="8789" w:type="dxa"/>
          <w:tblInd w:w="57" w:type="dxa"/>
          <w:tblLayout w:type="fixed"/>
          <w:tblCellMar>
            <w:left w:w="57" w:type="dxa"/>
            <w:right w:w="57" w:type="dxa"/>
          </w:tblCellMar>
          <w:tblLook w:val="0000"/>
        </w:tblPrEx>
        <w:trPr>
          <w:cantSplit/>
        </w:trPr>
        <w:tc>
          <w:tcPr>
            <w:tcW w:w="3780" w:type="dxa"/>
            <w:vAlign w:val="bottom"/>
          </w:tcPr>
          <w:p w:rsidR="008D43BD" w:rsidRPr="00A30921" w:rsidP="008D43BD">
            <w:pPr>
              <w:keepNext/>
              <w:keepLines/>
              <w:spacing w:before="50" w:after="50" w:line="240" w:lineRule="exact"/>
              <w:rPr>
                <w:b/>
                <w:szCs w:val="22"/>
              </w:rPr>
            </w:pPr>
            <w:r w:rsidRPr="00A30921" w:rsidR="00A4080A">
              <w:rPr>
                <w:b/>
                <w:szCs w:val="22"/>
              </w:rPr>
              <w:t>Investigator-assessed PFS</w:t>
            </w:r>
          </w:p>
        </w:tc>
        <w:tc>
          <w:tcPr>
            <w:tcW w:w="5009" w:type="dxa"/>
            <w:gridSpan w:val="2"/>
            <w:vAlign w:val="bottom"/>
          </w:tcPr>
          <w:p w:rsidR="008D43BD" w:rsidRPr="00A30921" w:rsidP="008D43BD">
            <w:pPr>
              <w:keepNext/>
              <w:keepLines/>
              <w:spacing w:before="50" w:after="50" w:line="240" w:lineRule="exact"/>
              <w:jc w:val="center"/>
              <w:rPr>
                <w:b/>
                <w:szCs w:val="22"/>
              </w:rPr>
            </w:pPr>
          </w:p>
        </w:tc>
      </w:tr>
      <w:tr w:rsidTr="008D43BD">
        <w:tblPrEx>
          <w:tblW w:w="8789" w:type="dxa"/>
          <w:tblInd w:w="57" w:type="dxa"/>
          <w:tblLayout w:type="fixed"/>
          <w:tblCellMar>
            <w:left w:w="57" w:type="dxa"/>
            <w:right w:w="57" w:type="dxa"/>
          </w:tblCellMar>
          <w:tblLook w:val="0000"/>
        </w:tblPrEx>
        <w:trPr>
          <w:cantSplit/>
        </w:trPr>
        <w:tc>
          <w:tcPr>
            <w:tcW w:w="3780" w:type="dxa"/>
            <w:vAlign w:val="bottom"/>
          </w:tcPr>
          <w:p w:rsidR="008D43BD" w:rsidRPr="00A30921" w:rsidP="008D43BD">
            <w:pPr>
              <w:keepNext/>
              <w:keepLines/>
              <w:spacing w:before="50" w:after="50" w:line="240" w:lineRule="exact"/>
              <w:ind w:left="226"/>
              <w:rPr>
                <w:szCs w:val="22"/>
                <w:lang w:eastAsia="en-US"/>
              </w:rPr>
            </w:pPr>
            <w:r w:rsidRPr="00A30921" w:rsidR="00A4080A">
              <w:rPr>
                <w:szCs w:val="22"/>
                <w:lang w:eastAsia="en-US"/>
              </w:rPr>
              <w:t xml:space="preserve">Number (%) of patients with event </w:t>
            </w:r>
          </w:p>
        </w:tc>
        <w:tc>
          <w:tcPr>
            <w:tcW w:w="2790" w:type="dxa"/>
            <w:vAlign w:val="bottom"/>
          </w:tcPr>
          <w:p w:rsidR="008D43BD" w:rsidRPr="00A30921" w:rsidP="008D43BD">
            <w:pPr>
              <w:keepNext/>
              <w:keepLines/>
              <w:spacing w:before="50" w:after="50" w:line="240" w:lineRule="exact"/>
              <w:jc w:val="center"/>
              <w:rPr>
                <w:szCs w:val="22"/>
              </w:rPr>
            </w:pPr>
            <w:r w:rsidRPr="00A30921" w:rsidR="00A4080A">
              <w:rPr>
                <w:szCs w:val="22"/>
              </w:rPr>
              <w:t>335 (67.5%)</w:t>
            </w:r>
          </w:p>
        </w:tc>
        <w:tc>
          <w:tcPr>
            <w:tcW w:w="2219" w:type="dxa"/>
            <w:vAlign w:val="bottom"/>
          </w:tcPr>
          <w:p w:rsidR="008D43BD" w:rsidRPr="00A30921" w:rsidP="008D43BD">
            <w:pPr>
              <w:keepNext/>
              <w:keepLines/>
              <w:spacing w:before="50" w:after="50" w:line="240" w:lineRule="exact"/>
              <w:jc w:val="center"/>
              <w:rPr>
                <w:szCs w:val="22"/>
              </w:rPr>
            </w:pPr>
            <w:r w:rsidRPr="00A30921" w:rsidR="00A4080A">
              <w:rPr>
                <w:szCs w:val="22"/>
              </w:rPr>
              <w:t>287 (58.0%)</w:t>
            </w:r>
          </w:p>
        </w:tc>
      </w:tr>
      <w:tr w:rsidTr="008D43BD">
        <w:tblPrEx>
          <w:tblW w:w="8789" w:type="dxa"/>
          <w:tblInd w:w="57" w:type="dxa"/>
          <w:tblLayout w:type="fixed"/>
          <w:tblCellMar>
            <w:left w:w="57" w:type="dxa"/>
            <w:right w:w="57" w:type="dxa"/>
          </w:tblCellMar>
          <w:tblLook w:val="0000"/>
        </w:tblPrEx>
        <w:trPr>
          <w:cantSplit/>
        </w:trPr>
        <w:tc>
          <w:tcPr>
            <w:tcW w:w="3780" w:type="dxa"/>
            <w:vAlign w:val="bottom"/>
          </w:tcPr>
          <w:p w:rsidR="008D43BD" w:rsidRPr="00A30921" w:rsidP="008D43BD">
            <w:pPr>
              <w:keepNext/>
              <w:keepLines/>
              <w:spacing w:before="50" w:after="50" w:line="240" w:lineRule="exact"/>
              <w:ind w:left="226"/>
              <w:rPr>
                <w:szCs w:val="22"/>
                <w:lang w:eastAsia="en-US"/>
              </w:rPr>
            </w:pPr>
            <w:r w:rsidRPr="00A30921" w:rsidR="00A4080A">
              <w:rPr>
                <w:szCs w:val="22"/>
                <w:lang w:eastAsia="en-US"/>
              </w:rPr>
              <w:t xml:space="preserve">Median duration of PFS (months) </w:t>
            </w:r>
          </w:p>
        </w:tc>
        <w:tc>
          <w:tcPr>
            <w:tcW w:w="2790" w:type="dxa"/>
            <w:vAlign w:val="bottom"/>
          </w:tcPr>
          <w:p w:rsidR="008D43BD" w:rsidRPr="00A30921" w:rsidP="008D43BD">
            <w:pPr>
              <w:keepNext/>
              <w:keepLines/>
              <w:spacing w:before="50" w:after="50" w:line="240" w:lineRule="exact"/>
              <w:jc w:val="center"/>
              <w:rPr>
                <w:szCs w:val="22"/>
              </w:rPr>
            </w:pPr>
            <w:r w:rsidRPr="00A30921" w:rsidR="00A4080A">
              <w:rPr>
                <w:szCs w:val="22"/>
              </w:rPr>
              <w:t>5.8</w:t>
            </w:r>
          </w:p>
        </w:tc>
        <w:tc>
          <w:tcPr>
            <w:tcW w:w="2219" w:type="dxa"/>
            <w:vAlign w:val="bottom"/>
          </w:tcPr>
          <w:p w:rsidR="008D43BD" w:rsidRPr="00A30921" w:rsidP="008D43BD">
            <w:pPr>
              <w:keepNext/>
              <w:keepLines/>
              <w:spacing w:before="50" w:after="50" w:line="240" w:lineRule="exact"/>
              <w:jc w:val="center"/>
              <w:rPr>
                <w:szCs w:val="22"/>
              </w:rPr>
            </w:pPr>
            <w:r w:rsidRPr="00A30921" w:rsidR="00A4080A">
              <w:rPr>
                <w:szCs w:val="22"/>
              </w:rPr>
              <w:t>9.4</w:t>
            </w:r>
          </w:p>
        </w:tc>
      </w:tr>
      <w:tr w:rsidTr="008D43BD">
        <w:tblPrEx>
          <w:tblW w:w="8789" w:type="dxa"/>
          <w:tblInd w:w="57" w:type="dxa"/>
          <w:tblLayout w:type="fixed"/>
          <w:tblCellMar>
            <w:left w:w="57" w:type="dxa"/>
            <w:right w:w="57" w:type="dxa"/>
          </w:tblCellMar>
          <w:tblLook w:val="0000"/>
        </w:tblPrEx>
        <w:trPr>
          <w:cantSplit/>
        </w:trPr>
        <w:tc>
          <w:tcPr>
            <w:tcW w:w="3780" w:type="dxa"/>
            <w:vAlign w:val="bottom"/>
          </w:tcPr>
          <w:p w:rsidR="008D43BD" w:rsidRPr="00A30921" w:rsidP="008D43BD">
            <w:pPr>
              <w:keepNext/>
              <w:keepLines/>
              <w:spacing w:before="50" w:after="50" w:line="240" w:lineRule="exact"/>
              <w:ind w:left="226"/>
              <w:rPr>
                <w:szCs w:val="22"/>
                <w:lang w:eastAsia="en-US"/>
              </w:rPr>
            </w:pPr>
            <w:r w:rsidRPr="00A30921" w:rsidR="00A4080A">
              <w:rPr>
                <w:szCs w:val="22"/>
                <w:lang w:eastAsia="en-US"/>
              </w:rPr>
              <w:t>Hazard ratio (95% CI)</w:t>
            </w:r>
          </w:p>
        </w:tc>
        <w:tc>
          <w:tcPr>
            <w:tcW w:w="5009" w:type="dxa"/>
            <w:gridSpan w:val="2"/>
            <w:vAlign w:val="bottom"/>
          </w:tcPr>
          <w:p w:rsidR="008D43BD" w:rsidRPr="00A30921" w:rsidP="008D43BD">
            <w:pPr>
              <w:keepNext/>
              <w:keepLines/>
              <w:spacing w:before="50" w:after="50" w:line="240" w:lineRule="exact"/>
              <w:jc w:val="center"/>
              <w:rPr>
                <w:szCs w:val="22"/>
              </w:rPr>
            </w:pPr>
            <w:r w:rsidRPr="00A30921" w:rsidR="00A4080A">
              <w:rPr>
                <w:szCs w:val="22"/>
                <w:lang w:eastAsia="en-US"/>
              </w:rPr>
              <w:t>0.658 (0.560, 0.774)</w:t>
            </w:r>
          </w:p>
        </w:tc>
      </w:tr>
      <w:tr w:rsidTr="008D43BD">
        <w:tblPrEx>
          <w:tblW w:w="8789" w:type="dxa"/>
          <w:tblInd w:w="57" w:type="dxa"/>
          <w:tblLayout w:type="fixed"/>
          <w:tblCellMar>
            <w:left w:w="57" w:type="dxa"/>
            <w:right w:w="57" w:type="dxa"/>
          </w:tblCellMar>
          <w:tblLook w:val="0000"/>
        </w:tblPrEx>
        <w:trPr>
          <w:cantSplit/>
        </w:trPr>
        <w:tc>
          <w:tcPr>
            <w:tcW w:w="3780" w:type="dxa"/>
            <w:vAlign w:val="bottom"/>
          </w:tcPr>
          <w:p w:rsidR="008D43BD" w:rsidRPr="00A30921" w:rsidP="008D43BD">
            <w:pPr>
              <w:keepNext/>
              <w:keepLines/>
              <w:spacing w:before="50" w:after="50" w:line="240" w:lineRule="exact"/>
              <w:ind w:left="226"/>
              <w:rPr>
                <w:szCs w:val="22"/>
                <w:lang w:eastAsia="en-US"/>
              </w:rPr>
            </w:pPr>
            <w:r w:rsidRPr="00A30921" w:rsidR="00A4080A">
              <w:rPr>
                <w:szCs w:val="22"/>
                <w:lang w:eastAsia="en-US"/>
              </w:rPr>
              <w:t>p-value (Log-rank test*)</w:t>
            </w:r>
          </w:p>
        </w:tc>
        <w:tc>
          <w:tcPr>
            <w:tcW w:w="5009" w:type="dxa"/>
            <w:gridSpan w:val="2"/>
            <w:vAlign w:val="bottom"/>
          </w:tcPr>
          <w:p w:rsidR="008D43BD" w:rsidRPr="00A30921" w:rsidP="008D43BD">
            <w:pPr>
              <w:keepNext/>
              <w:keepLines/>
              <w:spacing w:before="50" w:after="50" w:line="240" w:lineRule="exact"/>
              <w:jc w:val="center"/>
              <w:rPr>
                <w:szCs w:val="22"/>
                <w:lang w:eastAsia="en-US"/>
              </w:rPr>
            </w:pPr>
            <w:r w:rsidRPr="00A30921" w:rsidR="00A4080A">
              <w:rPr>
                <w:szCs w:val="22"/>
                <w:lang w:eastAsia="en-US"/>
              </w:rPr>
              <w:t>&lt;0.0001</w:t>
            </w:r>
          </w:p>
        </w:tc>
      </w:tr>
      <w:tr w:rsidTr="008D43BD">
        <w:tblPrEx>
          <w:tblW w:w="8789" w:type="dxa"/>
          <w:tblInd w:w="57" w:type="dxa"/>
          <w:tblLayout w:type="fixed"/>
          <w:tblCellMar>
            <w:left w:w="57" w:type="dxa"/>
            <w:right w:w="57" w:type="dxa"/>
          </w:tblCellMar>
          <w:tblLook w:val="0000"/>
        </w:tblPrEx>
        <w:trPr>
          <w:cantSplit/>
        </w:trPr>
        <w:tc>
          <w:tcPr>
            <w:tcW w:w="3780" w:type="dxa"/>
            <w:vAlign w:val="bottom"/>
          </w:tcPr>
          <w:p w:rsidR="008D43BD" w:rsidRPr="00A30921" w:rsidP="008D43BD">
            <w:pPr>
              <w:keepNext/>
              <w:keepLines/>
              <w:spacing w:before="50" w:after="50" w:line="240" w:lineRule="exact"/>
              <w:rPr>
                <w:b/>
                <w:szCs w:val="22"/>
                <w:lang w:eastAsia="en-US"/>
              </w:rPr>
            </w:pPr>
            <w:r w:rsidRPr="00A30921" w:rsidR="00A4080A">
              <w:rPr>
                <w:b/>
                <w:szCs w:val="22"/>
                <w:lang w:eastAsia="en-US"/>
              </w:rPr>
              <w:t>Objective response rate (ORR)</w:t>
            </w:r>
          </w:p>
        </w:tc>
        <w:tc>
          <w:tcPr>
            <w:tcW w:w="5009" w:type="dxa"/>
            <w:gridSpan w:val="2"/>
            <w:vAlign w:val="bottom"/>
          </w:tcPr>
          <w:p w:rsidR="008D43BD" w:rsidRPr="00A30921" w:rsidP="008D43BD">
            <w:pPr>
              <w:keepNext/>
              <w:keepLines/>
              <w:spacing w:before="50" w:after="50" w:line="240" w:lineRule="exact"/>
              <w:jc w:val="center"/>
              <w:rPr>
                <w:b/>
                <w:szCs w:val="22"/>
              </w:rPr>
            </w:pPr>
          </w:p>
        </w:tc>
      </w:tr>
      <w:tr w:rsidTr="008D43BD">
        <w:tblPrEx>
          <w:tblW w:w="8789" w:type="dxa"/>
          <w:tblInd w:w="57" w:type="dxa"/>
          <w:tblLayout w:type="fixed"/>
          <w:tblCellMar>
            <w:left w:w="57" w:type="dxa"/>
            <w:right w:w="57" w:type="dxa"/>
          </w:tblCellMar>
          <w:tblLook w:val="0000"/>
        </w:tblPrEx>
        <w:trPr>
          <w:cantSplit/>
        </w:trPr>
        <w:tc>
          <w:tcPr>
            <w:tcW w:w="3780" w:type="dxa"/>
            <w:vAlign w:val="bottom"/>
          </w:tcPr>
          <w:p w:rsidR="008D43BD" w:rsidRPr="00A30921" w:rsidP="008D43BD">
            <w:pPr>
              <w:keepNext/>
              <w:keepLines/>
              <w:spacing w:before="50" w:after="50" w:line="240" w:lineRule="exact"/>
              <w:rPr>
                <w:b/>
                <w:szCs w:val="22"/>
                <w:lang w:eastAsia="en-US"/>
              </w:rPr>
            </w:pPr>
            <w:r w:rsidRPr="00A30921" w:rsidR="00A4080A">
              <w:rPr>
                <w:b/>
                <w:i/>
                <w:szCs w:val="22"/>
                <w:lang w:eastAsia="en-US"/>
              </w:rPr>
              <w:t xml:space="preserve">    </w:t>
            </w:r>
            <w:r w:rsidRPr="00A30921" w:rsidR="00A4080A">
              <w:rPr>
                <w:szCs w:val="22"/>
                <w:lang w:eastAsia="en-US"/>
              </w:rPr>
              <w:t>Patients with measurable disease</w:t>
            </w:r>
          </w:p>
        </w:tc>
        <w:tc>
          <w:tcPr>
            <w:tcW w:w="2790" w:type="dxa"/>
            <w:vAlign w:val="bottom"/>
          </w:tcPr>
          <w:p w:rsidR="008D43BD" w:rsidRPr="00A30921" w:rsidP="008D43BD">
            <w:pPr>
              <w:keepNext/>
              <w:keepLines/>
              <w:spacing w:before="50" w:after="50" w:line="240" w:lineRule="exact"/>
              <w:jc w:val="center"/>
              <w:rPr>
                <w:szCs w:val="22"/>
              </w:rPr>
            </w:pPr>
            <w:r w:rsidRPr="00A30921" w:rsidR="00A4080A">
              <w:rPr>
                <w:szCs w:val="22"/>
              </w:rPr>
              <w:t>389</w:t>
            </w:r>
          </w:p>
        </w:tc>
        <w:tc>
          <w:tcPr>
            <w:tcW w:w="2219" w:type="dxa"/>
            <w:vAlign w:val="bottom"/>
          </w:tcPr>
          <w:p w:rsidR="008D43BD" w:rsidRPr="00A30921" w:rsidP="008D43BD">
            <w:pPr>
              <w:keepNext/>
              <w:keepLines/>
              <w:spacing w:before="50" w:after="50" w:line="240" w:lineRule="exact"/>
              <w:jc w:val="center"/>
              <w:rPr>
                <w:szCs w:val="22"/>
              </w:rPr>
            </w:pPr>
            <w:r w:rsidRPr="00A30921" w:rsidR="00A4080A">
              <w:rPr>
                <w:szCs w:val="22"/>
              </w:rPr>
              <w:t>397</w:t>
            </w:r>
          </w:p>
        </w:tc>
      </w:tr>
      <w:tr w:rsidTr="008D43BD">
        <w:tblPrEx>
          <w:tblW w:w="8789" w:type="dxa"/>
          <w:tblInd w:w="57" w:type="dxa"/>
          <w:tblLayout w:type="fixed"/>
          <w:tblCellMar>
            <w:left w:w="57" w:type="dxa"/>
            <w:right w:w="57" w:type="dxa"/>
          </w:tblCellMar>
          <w:tblLook w:val="0000"/>
        </w:tblPrEx>
        <w:trPr>
          <w:cantSplit/>
        </w:trPr>
        <w:tc>
          <w:tcPr>
            <w:tcW w:w="3780" w:type="dxa"/>
            <w:vAlign w:val="bottom"/>
          </w:tcPr>
          <w:p w:rsidR="008D43BD" w:rsidRPr="00A30921" w:rsidP="008D43BD">
            <w:pPr>
              <w:keepNext/>
              <w:keepLines/>
              <w:spacing w:before="50" w:after="50" w:line="240" w:lineRule="exact"/>
              <w:ind w:left="227"/>
              <w:rPr>
                <w:szCs w:val="22"/>
                <w:lang w:eastAsia="en-US"/>
              </w:rPr>
            </w:pPr>
            <w:r w:rsidRPr="00A30921" w:rsidR="00A4080A">
              <w:rPr>
                <w:szCs w:val="22"/>
                <w:lang w:eastAsia="en-US"/>
              </w:rPr>
              <w:t>Number of patients with OR (%)</w:t>
            </w:r>
          </w:p>
        </w:tc>
        <w:tc>
          <w:tcPr>
            <w:tcW w:w="2790" w:type="dxa"/>
            <w:vAlign w:val="bottom"/>
          </w:tcPr>
          <w:p w:rsidR="008D43BD" w:rsidRPr="00A30921" w:rsidP="008D43BD">
            <w:pPr>
              <w:keepNext/>
              <w:keepLines/>
              <w:spacing w:before="50" w:after="50" w:line="240" w:lineRule="exact"/>
              <w:jc w:val="center"/>
              <w:rPr>
                <w:szCs w:val="22"/>
              </w:rPr>
            </w:pPr>
            <w:r w:rsidRPr="00A30921" w:rsidR="00A4080A">
              <w:rPr>
                <w:szCs w:val="22"/>
              </w:rPr>
              <w:t>120 (30.8%)</w:t>
            </w:r>
          </w:p>
        </w:tc>
        <w:tc>
          <w:tcPr>
            <w:tcW w:w="2219" w:type="dxa"/>
            <w:vAlign w:val="bottom"/>
          </w:tcPr>
          <w:p w:rsidR="008D43BD" w:rsidRPr="00A30921" w:rsidP="008D43BD">
            <w:pPr>
              <w:keepNext/>
              <w:keepLines/>
              <w:spacing w:before="50" w:after="50" w:line="240" w:lineRule="exact"/>
              <w:jc w:val="center"/>
              <w:rPr>
                <w:szCs w:val="22"/>
              </w:rPr>
            </w:pPr>
            <w:r w:rsidRPr="00A30921" w:rsidR="00A4080A">
              <w:rPr>
                <w:szCs w:val="22"/>
              </w:rPr>
              <w:t>173 (43.6%)</w:t>
            </w:r>
          </w:p>
        </w:tc>
      </w:tr>
      <w:tr w:rsidTr="008D43BD">
        <w:tblPrEx>
          <w:tblW w:w="8789" w:type="dxa"/>
          <w:tblInd w:w="57" w:type="dxa"/>
          <w:tblLayout w:type="fixed"/>
          <w:tblCellMar>
            <w:left w:w="108" w:type="dxa"/>
            <w:right w:w="108" w:type="dxa"/>
          </w:tblCellMar>
          <w:tblLook w:val="0000"/>
        </w:tblPrEx>
        <w:tc>
          <w:tcPr>
            <w:tcW w:w="3780" w:type="dxa"/>
          </w:tcPr>
          <w:p w:rsidR="008D43BD" w:rsidRPr="00A30921" w:rsidP="008D43BD">
            <w:pPr>
              <w:keepNext/>
              <w:keepLines/>
              <w:spacing w:before="50" w:after="50" w:line="240" w:lineRule="exact"/>
              <w:ind w:left="226" w:hanging="50"/>
              <w:rPr>
                <w:szCs w:val="22"/>
                <w:lang w:eastAsia="en-US"/>
              </w:rPr>
            </w:pPr>
            <w:r w:rsidRPr="00A30921" w:rsidR="00A4080A">
              <w:rPr>
                <w:szCs w:val="22"/>
                <w:lang w:eastAsia="en-US"/>
              </w:rPr>
              <w:t>Difference (95% CI)</w:t>
            </w:r>
          </w:p>
        </w:tc>
        <w:tc>
          <w:tcPr>
            <w:tcW w:w="5009" w:type="dxa"/>
            <w:gridSpan w:val="2"/>
          </w:tcPr>
          <w:p w:rsidR="008D43BD" w:rsidRPr="00A30921" w:rsidP="008D43BD">
            <w:pPr>
              <w:keepNext/>
              <w:keepLines/>
              <w:spacing w:before="50" w:after="50" w:line="240" w:lineRule="exact"/>
              <w:jc w:val="center"/>
              <w:rPr>
                <w:b/>
                <w:szCs w:val="22"/>
              </w:rPr>
            </w:pPr>
            <w:r w:rsidRPr="00A30921" w:rsidR="00A4080A">
              <w:rPr>
                <w:szCs w:val="22"/>
                <w:lang w:eastAsia="en-US"/>
              </w:rPr>
              <w:t>12.7% (6.0, 19.4)</w:t>
            </w:r>
          </w:p>
        </w:tc>
      </w:tr>
      <w:tr w:rsidTr="008D43BD">
        <w:tblPrEx>
          <w:tblW w:w="8789" w:type="dxa"/>
          <w:tblInd w:w="57" w:type="dxa"/>
          <w:tblLayout w:type="fixed"/>
          <w:tblCellMar>
            <w:left w:w="108" w:type="dxa"/>
            <w:right w:w="108" w:type="dxa"/>
          </w:tblCellMar>
          <w:tblLook w:val="0000"/>
        </w:tblPrEx>
        <w:tc>
          <w:tcPr>
            <w:tcW w:w="3780" w:type="dxa"/>
          </w:tcPr>
          <w:p w:rsidR="008D43BD" w:rsidRPr="00A30921" w:rsidP="008D43BD">
            <w:pPr>
              <w:keepNext/>
              <w:keepLines/>
              <w:spacing w:before="50" w:after="50" w:line="240" w:lineRule="exact"/>
              <w:ind w:left="226" w:hanging="50"/>
              <w:rPr>
                <w:szCs w:val="22"/>
                <w:lang w:eastAsia="en-US"/>
              </w:rPr>
            </w:pPr>
            <w:r w:rsidRPr="00A30921" w:rsidR="00A4080A">
              <w:rPr>
                <w:szCs w:val="22"/>
                <w:lang w:eastAsia="en-US"/>
              </w:rPr>
              <w:t>p-value (Mantel-Haenszel chi-squared test*)</w:t>
            </w:r>
          </w:p>
        </w:tc>
        <w:tc>
          <w:tcPr>
            <w:tcW w:w="5009" w:type="dxa"/>
            <w:gridSpan w:val="2"/>
          </w:tcPr>
          <w:p w:rsidR="008D43BD" w:rsidRPr="00A30921" w:rsidP="008D43BD">
            <w:pPr>
              <w:keepNext/>
              <w:keepLines/>
              <w:spacing w:before="50" w:after="50" w:line="240" w:lineRule="exact"/>
              <w:jc w:val="center"/>
              <w:rPr>
                <w:szCs w:val="22"/>
                <w:lang w:eastAsia="en-US"/>
              </w:rPr>
            </w:pPr>
            <w:r w:rsidRPr="00A30921" w:rsidR="00A4080A">
              <w:rPr>
                <w:szCs w:val="22"/>
                <w:lang w:eastAsia="en-US"/>
              </w:rPr>
              <w:t>0.0002</w:t>
            </w:r>
          </w:p>
        </w:tc>
      </w:tr>
      <w:tr w:rsidTr="008D43BD">
        <w:tblPrEx>
          <w:tblW w:w="8789" w:type="dxa"/>
          <w:tblInd w:w="57" w:type="dxa"/>
          <w:tblLayout w:type="fixed"/>
          <w:tblCellMar>
            <w:left w:w="108" w:type="dxa"/>
            <w:right w:w="108" w:type="dxa"/>
          </w:tblCellMar>
          <w:tblLook w:val="0000"/>
        </w:tblPrEx>
        <w:tc>
          <w:tcPr>
            <w:tcW w:w="3780" w:type="dxa"/>
          </w:tcPr>
          <w:p w:rsidR="008D43BD" w:rsidRPr="00A30921" w:rsidP="008D43BD">
            <w:pPr>
              <w:keepNext/>
              <w:keepLines/>
              <w:spacing w:before="50" w:after="50" w:line="240" w:lineRule="exact"/>
              <w:rPr>
                <w:b/>
                <w:szCs w:val="22"/>
              </w:rPr>
            </w:pPr>
            <w:r w:rsidRPr="00A30921" w:rsidR="00A4080A">
              <w:rPr>
                <w:b/>
                <w:szCs w:val="22"/>
              </w:rPr>
              <w:t>Duration of objective response (months)</w:t>
            </w:r>
          </w:p>
        </w:tc>
        <w:tc>
          <w:tcPr>
            <w:tcW w:w="5009" w:type="dxa"/>
            <w:gridSpan w:val="2"/>
          </w:tcPr>
          <w:p w:rsidR="008D43BD" w:rsidRPr="00A30921" w:rsidP="008D43BD">
            <w:pPr>
              <w:keepNext/>
              <w:keepLines/>
              <w:spacing w:before="50" w:after="50" w:line="240" w:lineRule="exact"/>
              <w:jc w:val="center"/>
              <w:rPr>
                <w:b/>
                <w:szCs w:val="22"/>
              </w:rPr>
            </w:pPr>
          </w:p>
        </w:tc>
      </w:tr>
      <w:tr w:rsidTr="008D43BD">
        <w:tblPrEx>
          <w:tblW w:w="8789" w:type="dxa"/>
          <w:tblInd w:w="57" w:type="dxa"/>
          <w:tblLayout w:type="fixed"/>
          <w:tblCellMar>
            <w:left w:w="108" w:type="dxa"/>
            <w:right w:w="108" w:type="dxa"/>
          </w:tblCellMar>
          <w:tblLook w:val="0000"/>
        </w:tblPrEx>
        <w:tc>
          <w:tcPr>
            <w:tcW w:w="3780" w:type="dxa"/>
          </w:tcPr>
          <w:p w:rsidR="008D43BD" w:rsidRPr="00A30921" w:rsidP="008D43BD">
            <w:pPr>
              <w:keepNext/>
              <w:keepLines/>
              <w:spacing w:before="50" w:after="50" w:line="240" w:lineRule="exact"/>
              <w:ind w:firstLine="176"/>
              <w:rPr>
                <w:szCs w:val="22"/>
              </w:rPr>
            </w:pPr>
            <w:r w:rsidRPr="00A30921" w:rsidR="00A4080A">
              <w:rPr>
                <w:szCs w:val="22"/>
              </w:rPr>
              <w:t>Number of patients with OR</w:t>
            </w:r>
          </w:p>
        </w:tc>
        <w:tc>
          <w:tcPr>
            <w:tcW w:w="2790" w:type="dxa"/>
          </w:tcPr>
          <w:p w:rsidR="008D43BD" w:rsidRPr="00A30921" w:rsidP="008D43BD">
            <w:pPr>
              <w:keepNext/>
              <w:keepLines/>
              <w:spacing w:before="50" w:after="50" w:line="240" w:lineRule="exact"/>
              <w:jc w:val="center"/>
              <w:rPr>
                <w:szCs w:val="22"/>
              </w:rPr>
            </w:pPr>
            <w:r w:rsidRPr="00A30921" w:rsidR="00A4080A">
              <w:rPr>
                <w:szCs w:val="22"/>
              </w:rPr>
              <w:t>120</w:t>
            </w:r>
          </w:p>
        </w:tc>
        <w:tc>
          <w:tcPr>
            <w:tcW w:w="2219" w:type="dxa"/>
          </w:tcPr>
          <w:p w:rsidR="008D43BD" w:rsidRPr="00A30921" w:rsidP="008D43BD">
            <w:pPr>
              <w:keepNext/>
              <w:keepLines/>
              <w:spacing w:before="50" w:after="50" w:line="240" w:lineRule="exact"/>
              <w:jc w:val="center"/>
              <w:rPr>
                <w:szCs w:val="22"/>
              </w:rPr>
            </w:pPr>
            <w:r w:rsidRPr="00A30921" w:rsidR="00A4080A">
              <w:rPr>
                <w:szCs w:val="22"/>
              </w:rPr>
              <w:t>173</w:t>
            </w:r>
          </w:p>
        </w:tc>
      </w:tr>
      <w:tr w:rsidTr="008D43BD">
        <w:tblPrEx>
          <w:tblW w:w="8789" w:type="dxa"/>
          <w:tblInd w:w="57" w:type="dxa"/>
          <w:tblLayout w:type="fixed"/>
          <w:tblCellMar>
            <w:left w:w="108" w:type="dxa"/>
            <w:right w:w="108" w:type="dxa"/>
          </w:tblCellMar>
          <w:tblLook w:val="0000"/>
        </w:tblPrEx>
        <w:tc>
          <w:tcPr>
            <w:tcW w:w="3780" w:type="dxa"/>
          </w:tcPr>
          <w:p w:rsidR="008D43BD" w:rsidRPr="00A30921" w:rsidP="008D43BD">
            <w:pPr>
              <w:keepNext/>
              <w:keepLines/>
              <w:spacing w:before="50" w:after="50" w:line="240" w:lineRule="exact"/>
              <w:ind w:left="226" w:hanging="50"/>
              <w:rPr>
                <w:szCs w:val="22"/>
                <w:lang w:eastAsia="en-US"/>
              </w:rPr>
            </w:pPr>
            <w:r w:rsidRPr="00A30921" w:rsidR="00A4080A">
              <w:rPr>
                <w:szCs w:val="22"/>
              </w:rPr>
              <w:t>Median 95% CI</w:t>
            </w:r>
          </w:p>
        </w:tc>
        <w:tc>
          <w:tcPr>
            <w:tcW w:w="2790" w:type="dxa"/>
          </w:tcPr>
          <w:p w:rsidR="008D43BD" w:rsidRPr="00A30921" w:rsidP="008D43BD">
            <w:pPr>
              <w:keepNext/>
              <w:keepLines/>
              <w:spacing w:before="50" w:after="50" w:line="240" w:lineRule="exact"/>
              <w:jc w:val="center"/>
              <w:rPr>
                <w:szCs w:val="22"/>
              </w:rPr>
            </w:pPr>
            <w:r w:rsidRPr="00A30921" w:rsidR="00A4080A">
              <w:rPr>
                <w:szCs w:val="22"/>
                <w:lang w:eastAsia="en-US"/>
              </w:rPr>
              <w:t xml:space="preserve">6.5 (5.5, 7.2) </w:t>
            </w:r>
          </w:p>
        </w:tc>
        <w:tc>
          <w:tcPr>
            <w:tcW w:w="2219" w:type="dxa"/>
          </w:tcPr>
          <w:p w:rsidR="008D43BD" w:rsidRPr="00A30921" w:rsidP="008D43BD">
            <w:pPr>
              <w:keepNext/>
              <w:keepLines/>
              <w:spacing w:before="50" w:after="50" w:line="240" w:lineRule="exact"/>
              <w:jc w:val="center"/>
              <w:rPr>
                <w:szCs w:val="22"/>
              </w:rPr>
            </w:pPr>
            <w:r w:rsidRPr="00A30921" w:rsidR="00A4080A">
              <w:rPr>
                <w:szCs w:val="22"/>
                <w:lang w:eastAsia="en-US"/>
              </w:rPr>
              <w:t>12.6 (8.4, 20.8)</w:t>
            </w:r>
          </w:p>
        </w:tc>
      </w:tr>
    </w:tbl>
    <w:p w:rsidR="008D43BD" w:rsidRPr="00A30921" w:rsidP="008D43BD">
      <w:pPr>
        <w:keepNext/>
        <w:keepLines/>
        <w:ind w:left="227"/>
        <w:rPr>
          <w:szCs w:val="22"/>
        </w:rPr>
      </w:pPr>
      <w:r w:rsidRPr="00A30921" w:rsidR="00A4080A">
        <w:rPr>
          <w:szCs w:val="22"/>
        </w:rPr>
        <w:t>OS: overall survival; PFS: progression-free survival; ORR: objective response rate; OR: objective response; IRC: independent review committee; HR: hazard ratios; CI: confidence interval</w:t>
      </w:r>
    </w:p>
    <w:p w:rsidR="008D43BD" w:rsidRPr="00A30921" w:rsidP="008D43BD">
      <w:pPr>
        <w:ind w:left="227" w:hanging="142"/>
        <w:rPr>
          <w:szCs w:val="22"/>
        </w:rPr>
      </w:pPr>
      <w:r w:rsidRPr="00A30921" w:rsidR="00A4080A">
        <w:rPr>
          <w:szCs w:val="22"/>
          <w:lang w:eastAsia="en-US"/>
        </w:rPr>
        <w:t>*</w:t>
      </w:r>
      <w:r w:rsidRPr="00A30921" w:rsidR="00A4080A">
        <w:rPr>
          <w:szCs w:val="22"/>
        </w:rPr>
        <w:t xml:space="preserve"> Stratified by: world region (United States, Western Europe, other), number of prior chemotherapeutic regimens for locally advanced or metastatic disease (0-1 </w:t>
      </w:r>
      <w:r w:rsidRPr="00A30921" w:rsidR="00A4080A">
        <w:rPr>
          <w:i/>
          <w:szCs w:val="22"/>
        </w:rPr>
        <w:t>vs.</w:t>
      </w:r>
      <w:r w:rsidRPr="00A30921" w:rsidR="00A4080A">
        <w:rPr>
          <w:szCs w:val="22"/>
        </w:rPr>
        <w:t xml:space="preserve"> &gt; 1), and visceral </w:t>
      </w:r>
      <w:r w:rsidRPr="00A30921" w:rsidR="00A4080A">
        <w:rPr>
          <w:i/>
          <w:szCs w:val="22"/>
        </w:rPr>
        <w:t>vs.</w:t>
      </w:r>
      <w:r w:rsidRPr="00A30921" w:rsidR="00A4080A">
        <w:rPr>
          <w:szCs w:val="22"/>
        </w:rPr>
        <w:t xml:space="preserve"> non-visceral disease.</w:t>
      </w:r>
    </w:p>
    <w:p w:rsidR="008D43BD" w:rsidRPr="00A30921" w:rsidP="008D43BD">
      <w:pPr>
        <w:ind w:left="227" w:hanging="227"/>
        <w:rPr>
          <w:szCs w:val="22"/>
        </w:rPr>
      </w:pPr>
      <w:r w:rsidRPr="00A30921" w:rsidR="00A4080A">
        <w:rPr>
          <w:szCs w:val="22"/>
        </w:rPr>
        <w:t>** The interim analysis for OS was conducted when 331 events were observed. Since the efficacy boundary was crossed at this analysis, this is considered the definitive analysis.</w:t>
      </w:r>
    </w:p>
    <w:p w:rsidR="008D43BD" w:rsidRPr="00A30921" w:rsidP="008D43BD"/>
    <w:p w:rsidR="008D43BD" w:rsidP="008D43BD">
      <w:pPr>
        <w:rPr>
          <w:szCs w:val="22"/>
        </w:rPr>
      </w:pPr>
      <w:r w:rsidRPr="00A30921" w:rsidR="00A4080A">
        <w:rPr>
          <w:szCs w:val="22"/>
        </w:rPr>
        <w:t xml:space="preserve">A treatment benefit was seen in the subgroup of patients who had relapsed within 6 months of completing adjuvant treatment and had not received any prior systemic anti-cancer therapy in the metastatic setting (n=118); hazard ratios for PFS and OS were 0.51 (95% CI: 0.30, 0.85) and 0.61 (95% CI: 0.32, 1.16), respectively. The median PFS and OS for the trastuzumab emtansine group were 10.8 months and not reached, respectively, compared with 5.7 months and 27.9 months, respectively, for the lapatinib plus capecitabine group. </w:t>
      </w:r>
    </w:p>
    <w:p w:rsidR="008D43BD" w:rsidRPr="00A30921" w:rsidP="008D43BD">
      <w:pPr>
        <w:keepNext/>
        <w:rPr>
          <w:szCs w:val="22"/>
        </w:rPr>
      </w:pPr>
    </w:p>
    <w:p w:rsidR="008D43BD" w:rsidRPr="00A30921" w:rsidP="008D43BD">
      <w:pPr>
        <w:keepNext/>
        <w:keepLines/>
        <w:rPr>
          <w:b/>
          <w:szCs w:val="22"/>
        </w:rPr>
      </w:pPr>
      <w:r w:rsidRPr="001E07C9" w:rsidR="00A4080A">
        <w:rPr>
          <w:b/>
          <w:szCs w:val="22"/>
        </w:rPr>
        <w:t>Figure </w:t>
      </w:r>
      <w:r w:rsidRPr="001E07C9" w:rsidR="004B1796">
        <w:rPr>
          <w:b/>
          <w:szCs w:val="22"/>
        </w:rPr>
        <w:t>2</w:t>
      </w:r>
      <w:r w:rsidRPr="001E07C9" w:rsidR="00A4080A">
        <w:rPr>
          <w:b/>
          <w:szCs w:val="22"/>
        </w:rPr>
        <w:tab/>
        <w:t>Kaplan-meier curve of IRC-assessed progression-free survival</w:t>
      </w:r>
    </w:p>
    <w:p w:rsidR="008D43BD" w:rsidRPr="00A30921" w:rsidP="008D43BD">
      <w:pPr>
        <w:keepNext/>
        <w:keepLines/>
        <w:rPr>
          <w:szCs w:val="22"/>
        </w:rPr>
      </w:pPr>
    </w:p>
    <w:p w:rsidR="008D43BD" w:rsidRPr="00A30921" w:rsidP="008D43BD">
      <w:pPr>
        <w:keepNext/>
        <w:rPr>
          <w:lang w:eastAsia="en-US"/>
        </w:rPr>
      </w:pPr>
      <w:r>
        <w:rPr>
          <w:noProof/>
          <w:lang w:eastAsia="en-US"/>
        </w:rPr>
        <w:pict>
          <v:shape id="Picture 1" o:spid="_x0000_i1026" type="#_x0000_t75" style="width:453.77pt;height:288.68pt;visibility:visible" filled="f" stroked="f">
            <v:imagedata r:id="rId16" o:title=""/>
            <o:lock v:ext="edit" aspectratio="t"/>
          </v:shape>
        </w:pict>
      </w:r>
    </w:p>
    <w:p w:rsidR="008D43BD" w:rsidRPr="00A30921" w:rsidP="008D43BD"/>
    <w:p w:rsidR="008D43BD" w:rsidRPr="00A30921" w:rsidP="008D43BD">
      <w:pPr>
        <w:keepNext/>
        <w:rPr>
          <w:b/>
          <w:szCs w:val="22"/>
        </w:rPr>
      </w:pPr>
      <w:r w:rsidRPr="004550DB" w:rsidR="00A4080A">
        <w:rPr>
          <w:b/>
          <w:szCs w:val="22"/>
        </w:rPr>
        <w:t>Figure </w:t>
      </w:r>
      <w:r w:rsidRPr="004550DB" w:rsidR="004B1796">
        <w:rPr>
          <w:b/>
          <w:szCs w:val="22"/>
        </w:rPr>
        <w:t>3</w:t>
      </w:r>
      <w:r w:rsidRPr="004550DB" w:rsidR="00A4080A">
        <w:rPr>
          <w:b/>
          <w:szCs w:val="22"/>
        </w:rPr>
        <w:tab/>
        <w:t>Kaplan-meier curve of overall survival</w:t>
      </w:r>
    </w:p>
    <w:p w:rsidR="008D43BD" w:rsidRPr="00A30921" w:rsidP="008D43BD">
      <w:pPr>
        <w:keepNext/>
        <w:rPr>
          <w:b/>
          <w:szCs w:val="22"/>
        </w:rPr>
      </w:pPr>
    </w:p>
    <w:p w:rsidR="008D43BD" w:rsidRPr="00A30921" w:rsidP="008D43BD">
      <w:pPr>
        <w:keepNext/>
        <w:rPr>
          <w:szCs w:val="22"/>
          <w:lang w:eastAsia="en-US"/>
        </w:rPr>
      </w:pPr>
      <w:r>
        <w:rPr>
          <w:noProof/>
          <w:szCs w:val="22"/>
          <w:lang w:eastAsia="en-US"/>
        </w:rPr>
        <w:pict>
          <v:shape id="Picture 2" o:spid="_x0000_i1027" type="#_x0000_t75" style="width:453.32pt;height:289.81pt;visibility:visible" filled="f" stroked="f">
            <v:imagedata r:id="rId17" o:title=""/>
            <o:lock v:ext="edit" aspectratio="t"/>
          </v:shape>
        </w:pict>
      </w:r>
    </w:p>
    <w:p w:rsidR="008D43BD" w:rsidRPr="00A30921" w:rsidP="008D43BD">
      <w:pPr>
        <w:ind w:left="567" w:hanging="567"/>
        <w:rPr>
          <w:szCs w:val="22"/>
        </w:rPr>
      </w:pPr>
    </w:p>
    <w:p w:rsidR="008D43BD" w:rsidRPr="00A30921" w:rsidP="008D43BD">
      <w:pPr>
        <w:rPr>
          <w:szCs w:val="22"/>
        </w:rPr>
      </w:pPr>
      <w:r w:rsidRPr="00A30921" w:rsidR="00A4080A">
        <w:rPr>
          <w:szCs w:val="22"/>
        </w:rPr>
        <w:t>In study TDM4370g/BO21977, consistent treatment benefit of trastuzumab emtansine was seen in the majority of pre</w:t>
      </w:r>
      <w:r w:rsidRPr="00A30921" w:rsidR="00A4080A">
        <w:rPr>
          <w:szCs w:val="22"/>
        </w:rPr>
        <w:noBreakHyphen/>
        <w:t xml:space="preserve">specified subgroups evaluated, supporting the robustness of the overall result. In the subgroup of patients with hormone receptor-negative disease (n=426), the hazard ratios for PFS and OS were 0.56 (95% CI: 0.44, 0.72) and 0.75 (95% CI: 0.54, 1.03), respectively.  In the subgroup of patients with hormone receptor-positive disease (n=545), the hazard ratios for PFS and OS were 0.72 (95% CI: 0.58, 0.91) and 0.62 (95% CI: 0.46, 0.85), respectively.  </w:t>
      </w:r>
    </w:p>
    <w:p w:rsidR="008D43BD" w:rsidRPr="00A30921" w:rsidP="008D43BD">
      <w:pPr>
        <w:rPr>
          <w:szCs w:val="22"/>
        </w:rPr>
      </w:pPr>
    </w:p>
    <w:p w:rsidR="008D43BD" w:rsidP="008D43BD">
      <w:pPr>
        <w:rPr>
          <w:szCs w:val="22"/>
        </w:rPr>
      </w:pPr>
      <w:r w:rsidRPr="00A30921" w:rsidR="00A4080A">
        <w:rPr>
          <w:szCs w:val="22"/>
        </w:rPr>
        <w:t xml:space="preserve">In the subgroup </w:t>
      </w:r>
      <w:r w:rsidRPr="00257156" w:rsidR="00A4080A">
        <w:rPr>
          <w:szCs w:val="22"/>
        </w:rPr>
        <w:t>of patients with non-measurable disease (n=205), based on IRC assessments, the hazard ratios for PFS and OS were 0.91 (95% CI: 0.59, 1.42) and 0.96 (95</w:t>
      </w:r>
      <w:r w:rsidRPr="00257156" w:rsidR="00A4080A">
        <w:rPr>
          <w:szCs w:val="22"/>
        </w:rPr>
        <w:t>% CI: 0.54, 1.68), respectively. In patients ≥ 65 years old (n=138 across both treatment arms) the hazard ratios for progression-free survival (PFS) and Overall Survival (OS) were 1.06 (95% CI: 0.68, 1.66) and 1.05 (95% CI: 0.58, 1.91), respectively. In pa</w:t>
      </w:r>
      <w:r w:rsidRPr="00257156" w:rsidR="00A4080A">
        <w:rPr>
          <w:szCs w:val="22"/>
        </w:rPr>
        <w:t>tients 65</w:t>
      </w:r>
      <w:r w:rsidRPr="00A30921" w:rsidR="00A4080A">
        <w:rPr>
          <w:szCs w:val="22"/>
        </w:rPr>
        <w:t xml:space="preserve"> to 74 years old (n=113), based on IRC assessments, the hazard ratios for PFS and OS were 0.88 (95% CI: 0.53, 1.45) and 0.74 (95% CI: 0.37, 1.47), respectively.  For patients 75 years or above, based on IRC assessments, the hazard ratios for PFS and OS were 3.51 (95% CI: 1.22, 10.13) and 3.45 (95% CI: 0.94, 12.65), respectively. The subgroup of patients 75 years or above did not demonstrate a benefit for PFS or OS, but was too small (n=25) to draw any definitive conclusions. </w:t>
      </w:r>
    </w:p>
    <w:p w:rsidR="008D43BD" w:rsidP="008D43BD">
      <w:pPr>
        <w:rPr>
          <w:szCs w:val="22"/>
        </w:rPr>
      </w:pPr>
    </w:p>
    <w:p w:rsidR="008D43BD" w:rsidRPr="001C233F" w:rsidP="008D43BD">
      <w:pPr>
        <w:rPr>
          <w:szCs w:val="22"/>
        </w:rPr>
      </w:pPr>
      <w:r w:rsidRPr="00F574CC" w:rsidR="00A4080A">
        <w:rPr>
          <w:szCs w:val="22"/>
        </w:rPr>
        <w:t>In the descriptive follow-up overall survival analysis, the hazard ratio was 0.75 (95% CI 0.64, 0.88). The median duration of overall survival was 29.9 months in the trastuzumab emtansine arm compared with 25.9 months in the lapatinib plus capecitabine arm. At the time of the descriptive follow-up overall survival analysis, a total of 27.4% of the patients had crossed over from the lapatinib plus capecitabine arm to the trastuzumab emtansine arm. In a sensitivity analysis censoring patients at the time of cross-over, the hazard ratio was 0.69 (95% CI 0.59, 0.82). The results of this descriptive follow-up analysis are consistent with the confirmatory OS analysis.</w:t>
      </w:r>
    </w:p>
    <w:p w:rsidR="008D43BD" w:rsidP="008D43BD">
      <w:pPr>
        <w:rPr>
          <w:b/>
          <w:szCs w:val="22"/>
        </w:rPr>
      </w:pPr>
    </w:p>
    <w:p w:rsidR="008D43BD" w:rsidRPr="00405F86" w:rsidP="008D43BD">
      <w:pPr>
        <w:rPr>
          <w:i/>
          <w:szCs w:val="22"/>
          <w:u w:val="single"/>
        </w:rPr>
      </w:pPr>
      <w:r w:rsidRPr="00405F86" w:rsidR="00A4080A">
        <w:rPr>
          <w:i/>
          <w:szCs w:val="22"/>
          <w:u w:val="single"/>
        </w:rPr>
        <w:t>TDM4450g</w:t>
      </w:r>
    </w:p>
    <w:p w:rsidR="008D43BD" w:rsidRPr="00A30921" w:rsidP="008D43BD">
      <w:pPr>
        <w:rPr>
          <w:szCs w:val="22"/>
        </w:rPr>
      </w:pPr>
      <w:r w:rsidRPr="00A30921" w:rsidR="00A4080A">
        <w:rPr>
          <w:szCs w:val="22"/>
        </w:rPr>
        <w:t>A randomised, multicentre, open</w:t>
      </w:r>
      <w:r w:rsidRPr="00A30921" w:rsidR="00A4080A">
        <w:rPr>
          <w:szCs w:val="22"/>
        </w:rPr>
        <w:noBreakHyphen/>
        <w:t>label phase II study evaluated the effects of trastuzumab emtansine versus trastuzumab plus docetaxel in patients with HER2</w:t>
      </w:r>
      <w:r w:rsidRPr="00A30921" w:rsidR="00A4080A">
        <w:rPr>
          <w:szCs w:val="22"/>
        </w:rPr>
        <w:noBreakHyphen/>
        <w:t>positive MBC who had not received prior chemotherapy for metastatic disease. Patients were randomised to receive trastuzumab emtansine 3.6 mg/kg intravenously every 3 weeks (n = 67) or trastuzumab 8 mg/kg intravenous loading dose followed by 6 mg/kg intravenously every 3 weeks plus docetaxel 75</w:t>
      </w:r>
      <w:r w:rsidRPr="00A30921" w:rsidR="00A4080A">
        <w:rPr>
          <w:szCs w:val="22"/>
        </w:rPr>
        <w:noBreakHyphen/>
        <w:t>100 mg/m</w:t>
      </w:r>
      <w:r w:rsidRPr="00A30921" w:rsidR="00A4080A">
        <w:rPr>
          <w:szCs w:val="22"/>
          <w:vertAlign w:val="superscript"/>
        </w:rPr>
        <w:t>2</w:t>
      </w:r>
      <w:r w:rsidRPr="00A30921" w:rsidR="00A4080A">
        <w:rPr>
          <w:szCs w:val="22"/>
        </w:rPr>
        <w:t xml:space="preserve"> intravenously every 3 weeks (n = 70).</w:t>
      </w:r>
    </w:p>
    <w:p w:rsidR="008D43BD" w:rsidRPr="00A30921" w:rsidP="008D43BD">
      <w:pPr>
        <w:rPr>
          <w:szCs w:val="22"/>
        </w:rPr>
      </w:pPr>
    </w:p>
    <w:p w:rsidR="008D43BD" w:rsidRPr="00A30921" w:rsidP="008D43BD">
      <w:pPr>
        <w:rPr>
          <w:szCs w:val="22"/>
        </w:rPr>
      </w:pPr>
      <w:r w:rsidRPr="00A30921" w:rsidR="00A4080A">
        <w:rPr>
          <w:szCs w:val="22"/>
        </w:rPr>
        <w:t>The primary endpoint was investigator assessed Progression</w:t>
      </w:r>
      <w:r w:rsidRPr="00A30921" w:rsidR="00A4080A">
        <w:rPr>
          <w:szCs w:val="22"/>
        </w:rPr>
        <w:noBreakHyphen/>
        <w:t>Free Survival (PFS). The median PFS was 9.2 months in the trastuzumab plus docetaxel arm and 14.2 months in the trastuzumab emtansine arm (hazard ratio, 0.59; p = 0.035), with a median follow</w:t>
      </w:r>
      <w:r w:rsidRPr="00A30921" w:rsidR="00A4080A">
        <w:rPr>
          <w:szCs w:val="22"/>
        </w:rPr>
        <w:noBreakHyphen/>
        <w:t xml:space="preserve">up of approximately 14 months in both arms. The objective response rate (ORR) was 58.0% with trastuzumab plus docetaxel and 64.2% with trastuzumab emtansine. The median duration of response was not reached with trastuzumab emtansine </w:t>
      </w:r>
      <w:r w:rsidRPr="00A30921" w:rsidR="00A4080A">
        <w:rPr>
          <w:i/>
          <w:szCs w:val="22"/>
        </w:rPr>
        <w:t>vs.</w:t>
      </w:r>
      <w:r w:rsidRPr="00A30921" w:rsidR="00A4080A">
        <w:rPr>
          <w:szCs w:val="22"/>
        </w:rPr>
        <w:t xml:space="preserve"> 9.5 months in the control arm.</w:t>
      </w:r>
    </w:p>
    <w:p w:rsidR="008D43BD" w:rsidP="008D43BD">
      <w:pPr>
        <w:keepNext/>
        <w:jc w:val="both"/>
        <w:rPr>
          <w:b/>
          <w:szCs w:val="22"/>
        </w:rPr>
      </w:pPr>
    </w:p>
    <w:p w:rsidR="008D43BD" w:rsidRPr="00405F86" w:rsidP="008D43BD">
      <w:pPr>
        <w:keepNext/>
        <w:jc w:val="both"/>
        <w:rPr>
          <w:i/>
          <w:szCs w:val="22"/>
          <w:u w:val="single"/>
        </w:rPr>
      </w:pPr>
      <w:r w:rsidRPr="00405F86" w:rsidR="00A4080A">
        <w:rPr>
          <w:i/>
          <w:szCs w:val="22"/>
          <w:u w:val="single"/>
        </w:rPr>
        <w:t xml:space="preserve">TDM4374g </w:t>
      </w:r>
    </w:p>
    <w:p w:rsidR="008D43BD" w:rsidRPr="00A30921" w:rsidP="008D43BD">
      <w:pPr>
        <w:keepNext/>
        <w:rPr>
          <w:szCs w:val="22"/>
        </w:rPr>
      </w:pPr>
      <w:r w:rsidRPr="00A30921" w:rsidR="00A4080A">
        <w:rPr>
          <w:szCs w:val="22"/>
        </w:rPr>
        <w:t>A Phase II, single</w:t>
      </w:r>
      <w:r w:rsidRPr="00A30921" w:rsidR="00A4080A">
        <w:rPr>
          <w:szCs w:val="22"/>
        </w:rPr>
        <w:noBreakHyphen/>
        <w:t>arm, open</w:t>
      </w:r>
      <w:r w:rsidRPr="00A30921" w:rsidR="00A4080A">
        <w:rPr>
          <w:szCs w:val="22"/>
        </w:rPr>
        <w:noBreakHyphen/>
        <w:t>label study evaluated the effects of trastuzumab emtansine in patients with HER2</w:t>
      </w:r>
      <w:r w:rsidRPr="00A30921" w:rsidR="00A4080A">
        <w:rPr>
          <w:szCs w:val="22"/>
        </w:rPr>
        <w:noBreakHyphen/>
        <w:t>positive incurable, LABC or MBC. All patients were previously treated with HER2</w:t>
      </w:r>
      <w:r w:rsidRPr="00A30921" w:rsidR="00A4080A">
        <w:rPr>
          <w:szCs w:val="22"/>
        </w:rPr>
        <w:noBreakHyphen/>
        <w:t>directed therapies (trastuzumab and lapatinib), and chemotherapy (anthracycline, taxane, and capecitabine) in the neoadjuvant, adjuvant, locally advanced, or metastatic setting. The median number of anti</w:t>
      </w:r>
      <w:r w:rsidRPr="00A30921" w:rsidR="00A4080A">
        <w:rPr>
          <w:szCs w:val="22"/>
        </w:rPr>
        <w:noBreakHyphen/>
        <w:t>cancer agents that patients had received in any setting was 8.5 (range, 5</w:t>
      </w:r>
      <w:r w:rsidRPr="00A30921" w:rsidR="00A4080A">
        <w:rPr>
          <w:szCs w:val="22"/>
        </w:rPr>
        <w:noBreakHyphen/>
        <w:t>19) and in the metastatic setting was 7.0 (range, 3</w:t>
      </w:r>
      <w:r w:rsidRPr="00A30921" w:rsidR="00A4080A">
        <w:rPr>
          <w:szCs w:val="22"/>
        </w:rPr>
        <w:noBreakHyphen/>
        <w:t xml:space="preserve">17), including all agents intended for the treatment of breast cancer. </w:t>
      </w:r>
    </w:p>
    <w:p w:rsidR="008D43BD" w:rsidRPr="00A30921" w:rsidP="008D43BD">
      <w:pPr>
        <w:rPr>
          <w:szCs w:val="22"/>
        </w:rPr>
      </w:pPr>
    </w:p>
    <w:p w:rsidR="008D43BD" w:rsidRPr="00A30921" w:rsidP="008D43BD">
      <w:pPr>
        <w:rPr>
          <w:szCs w:val="22"/>
        </w:rPr>
      </w:pPr>
      <w:r w:rsidRPr="00A30921" w:rsidR="00A4080A">
        <w:rPr>
          <w:szCs w:val="22"/>
        </w:rPr>
        <w:t xml:space="preserve">Patients (n = 110) received 3.6 mg/kg of trastuzumab emtansine intravenously every 3 weeks until disease progression or unacceptable toxicity. </w:t>
      </w:r>
    </w:p>
    <w:p w:rsidR="008D43BD" w:rsidRPr="00A30921" w:rsidP="008D43BD">
      <w:pPr>
        <w:rPr>
          <w:szCs w:val="22"/>
        </w:rPr>
      </w:pPr>
    </w:p>
    <w:p w:rsidR="008D43BD" w:rsidRPr="00A30921" w:rsidP="008D43BD">
      <w:pPr>
        <w:rPr>
          <w:szCs w:val="22"/>
        </w:rPr>
      </w:pPr>
      <w:r w:rsidRPr="00A30921" w:rsidR="00A4080A">
        <w:rPr>
          <w:szCs w:val="22"/>
        </w:rPr>
        <w:t>The key efficacy analyses were ORR based on independent radiologic review and duration of objective response. The ORR was 32.7% (95% CI: 24.1, 42.1), n = 36 responders, by both IRC and investigator review. The median duration of response by IRC was not reached (95% CI, 4.6 months to not estimable).</w:t>
      </w:r>
    </w:p>
    <w:p w:rsidR="008D43BD" w:rsidRPr="00A30921" w:rsidP="008D43BD">
      <w:pPr>
        <w:rPr>
          <w:i/>
          <w:szCs w:val="22"/>
        </w:rPr>
      </w:pPr>
    </w:p>
    <w:p w:rsidR="008D43BD" w:rsidP="008D43BD">
      <w:pPr>
        <w:keepNext/>
        <w:keepLines/>
        <w:jc w:val="both"/>
        <w:rPr>
          <w:szCs w:val="22"/>
          <w:u w:val="single"/>
        </w:rPr>
      </w:pPr>
      <w:r w:rsidRPr="00405F86" w:rsidR="00A4080A">
        <w:rPr>
          <w:szCs w:val="22"/>
          <w:u w:val="single"/>
        </w:rPr>
        <w:t>Paediatric population</w:t>
      </w:r>
    </w:p>
    <w:p w:rsidR="008D43BD" w:rsidRPr="00405F86" w:rsidP="008D43BD">
      <w:pPr>
        <w:keepNext/>
        <w:keepLines/>
        <w:jc w:val="both"/>
        <w:rPr>
          <w:szCs w:val="22"/>
          <w:u w:val="single"/>
        </w:rPr>
      </w:pPr>
    </w:p>
    <w:p w:rsidR="008D43BD" w:rsidRPr="00A30921" w:rsidP="008D43BD">
      <w:pPr>
        <w:rPr>
          <w:szCs w:val="22"/>
        </w:rPr>
      </w:pPr>
      <w:r w:rsidRPr="00A30921" w:rsidR="00A4080A">
        <w:rPr>
          <w:szCs w:val="22"/>
        </w:rPr>
        <w:t>The European Medicines Agency has waived the obligation to submit the results of studies with trastuzumab emtansine in all subsets of the paediatric population in breast cancer (see section 4.2 for information on paediatric use).</w:t>
      </w:r>
    </w:p>
    <w:p w:rsidR="008D43BD" w:rsidRPr="00A30921" w:rsidP="008D43BD">
      <w:pPr>
        <w:rPr>
          <w:szCs w:val="22"/>
        </w:rPr>
      </w:pPr>
    </w:p>
    <w:p w:rsidR="008D43BD" w:rsidRPr="00A30921" w:rsidP="008D43BD">
      <w:pPr>
        <w:keepNext/>
        <w:keepLines/>
        <w:rPr>
          <w:szCs w:val="22"/>
        </w:rPr>
      </w:pPr>
      <w:r w:rsidRPr="00A30921" w:rsidR="00A4080A">
        <w:rPr>
          <w:b/>
          <w:szCs w:val="22"/>
        </w:rPr>
        <w:t>5.2</w:t>
        <w:tab/>
        <w:t>Pharmacokinetic properties</w:t>
      </w:r>
    </w:p>
    <w:p w:rsidR="008D43BD" w:rsidRPr="00A30921" w:rsidP="008D43BD">
      <w:pPr>
        <w:keepNext/>
        <w:keepLines/>
        <w:jc w:val="both"/>
        <w:rPr>
          <w:szCs w:val="22"/>
        </w:rPr>
      </w:pPr>
    </w:p>
    <w:p w:rsidR="008D43BD" w:rsidRPr="006F38C9" w:rsidP="008D43BD">
      <w:pPr>
        <w:keepNext/>
        <w:keepLines/>
        <w:jc w:val="both"/>
        <w:rPr>
          <w:szCs w:val="22"/>
        </w:rPr>
      </w:pPr>
      <w:r w:rsidRPr="006F38C9" w:rsidR="00A4080A">
        <w:rPr>
          <w:szCs w:val="22"/>
        </w:rPr>
        <w:t>The population pharmacokinetic analysis suggested no difference in trastuzumab emtansine exposure based on disease status (adjuvant vs. metastatic setting).</w:t>
      </w:r>
    </w:p>
    <w:p w:rsidR="008D43BD" w:rsidP="008D43BD">
      <w:pPr>
        <w:keepNext/>
        <w:keepLines/>
        <w:jc w:val="both"/>
        <w:rPr>
          <w:szCs w:val="22"/>
          <w:u w:val="single"/>
        </w:rPr>
      </w:pPr>
    </w:p>
    <w:p w:rsidR="008D43BD" w:rsidRPr="00A30921" w:rsidP="008D43BD">
      <w:pPr>
        <w:keepNext/>
        <w:keepLines/>
        <w:jc w:val="both"/>
        <w:rPr>
          <w:szCs w:val="22"/>
          <w:u w:val="single"/>
        </w:rPr>
      </w:pPr>
      <w:r w:rsidRPr="00A30921" w:rsidR="00A4080A">
        <w:rPr>
          <w:szCs w:val="22"/>
          <w:u w:val="single"/>
        </w:rPr>
        <w:t xml:space="preserve">Absorption </w:t>
      </w:r>
    </w:p>
    <w:p w:rsidR="008D43BD" w:rsidRPr="00A30921" w:rsidP="008D43BD">
      <w:pPr>
        <w:keepNext/>
        <w:keepLines/>
        <w:jc w:val="both"/>
        <w:rPr>
          <w:szCs w:val="22"/>
        </w:rPr>
      </w:pPr>
      <w:r w:rsidRPr="00A30921" w:rsidR="00A4080A">
        <w:rPr>
          <w:szCs w:val="22"/>
        </w:rPr>
        <w:t xml:space="preserve">Trastuzumab emtansine is administered intravenously. There have been no studies performed with other routes of administration. </w:t>
      </w:r>
    </w:p>
    <w:p w:rsidR="008D43BD" w:rsidRPr="00A30921" w:rsidP="008D43BD">
      <w:pPr>
        <w:jc w:val="both"/>
        <w:rPr>
          <w:szCs w:val="22"/>
        </w:rPr>
      </w:pPr>
    </w:p>
    <w:p w:rsidR="008D43BD" w:rsidRPr="00A30921" w:rsidP="008D43BD">
      <w:pPr>
        <w:keepNext/>
        <w:keepLines/>
        <w:jc w:val="both"/>
        <w:rPr>
          <w:szCs w:val="22"/>
          <w:u w:val="single"/>
        </w:rPr>
      </w:pPr>
      <w:r w:rsidRPr="00A30921" w:rsidR="00A4080A">
        <w:rPr>
          <w:szCs w:val="22"/>
          <w:u w:val="single"/>
        </w:rPr>
        <w:t xml:space="preserve">Distribution </w:t>
      </w:r>
    </w:p>
    <w:p w:rsidR="008D43BD" w:rsidRPr="00A30921" w:rsidP="008D43BD">
      <w:pPr>
        <w:rPr>
          <w:szCs w:val="22"/>
        </w:rPr>
      </w:pPr>
      <w:r w:rsidRPr="00A30921" w:rsidR="00A4080A">
        <w:rPr>
          <w:szCs w:val="22"/>
        </w:rPr>
        <w:t xml:space="preserve">Patients in </w:t>
      </w:r>
      <w:r w:rsidR="003851B4">
        <w:rPr>
          <w:szCs w:val="22"/>
        </w:rPr>
        <w:t xml:space="preserve">Study </w:t>
      </w:r>
      <w:r w:rsidRPr="00A30921" w:rsidR="00A4080A">
        <w:rPr>
          <w:szCs w:val="22"/>
        </w:rPr>
        <w:t>TDM4370g/BO21977</w:t>
      </w:r>
      <w:r w:rsidR="00A4080A">
        <w:rPr>
          <w:szCs w:val="22"/>
        </w:rPr>
        <w:t xml:space="preserve"> </w:t>
      </w:r>
      <w:r w:rsidR="00A4080A">
        <w:t>and Study BO29738</w:t>
      </w:r>
      <w:r w:rsidRPr="00A30921" w:rsidR="00A4080A">
        <w:rPr>
          <w:szCs w:val="22"/>
        </w:rPr>
        <w:t xml:space="preserve"> who received 3.6 mg/kg of trastuzumab emtansine intravenously every 3 weeks had a mean</w:t>
      </w:r>
      <w:r w:rsidR="00625293">
        <w:rPr>
          <w:szCs w:val="22"/>
        </w:rPr>
        <w:t xml:space="preserve"> Cycle 1</w:t>
      </w:r>
      <w:r w:rsidRPr="00A30921" w:rsidR="00A4080A">
        <w:rPr>
          <w:szCs w:val="22"/>
        </w:rPr>
        <w:t xml:space="preserve"> maximum serum concentration (C</w:t>
      </w:r>
      <w:r w:rsidRPr="00A30921" w:rsidR="00A4080A">
        <w:rPr>
          <w:szCs w:val="22"/>
          <w:vertAlign w:val="subscript"/>
        </w:rPr>
        <w:t>max</w:t>
      </w:r>
      <w:r w:rsidRPr="00A30921" w:rsidR="00A4080A">
        <w:rPr>
          <w:szCs w:val="22"/>
        </w:rPr>
        <w:t>) of trastuzumab emtansine of 83.4 (± 16.5) </w:t>
      </w:r>
      <w:r w:rsidRPr="00A30921" w:rsidR="00A4080A">
        <w:rPr>
          <w:rFonts w:ascii="Symbol" w:hAnsi="Symbol"/>
          <w:szCs w:val="22"/>
        </w:rPr>
        <w:sym w:font="Symbol" w:char="F06D"/>
      </w:r>
      <w:r w:rsidRPr="00A30921" w:rsidR="00A4080A">
        <w:rPr>
          <w:szCs w:val="22"/>
        </w:rPr>
        <w:t>g/mL</w:t>
      </w:r>
      <w:r w:rsidR="00A4080A">
        <w:rPr>
          <w:szCs w:val="22"/>
        </w:rPr>
        <w:t xml:space="preserve"> </w:t>
      </w:r>
      <w:r w:rsidRPr="006A6BDE" w:rsidR="00A4080A">
        <w:t xml:space="preserve">and 72.6 (± 24.3) </w:t>
      </w:r>
      <w:r w:rsidRPr="00A30921" w:rsidR="00A4080A">
        <w:rPr>
          <w:rFonts w:ascii="Symbol" w:hAnsi="Symbol"/>
          <w:szCs w:val="22"/>
        </w:rPr>
        <w:sym w:font="Symbol" w:char="F06D"/>
      </w:r>
      <w:r w:rsidRPr="006A6BDE" w:rsidR="00A4080A">
        <w:t>g/mL, respectively</w:t>
      </w:r>
      <w:r w:rsidRPr="00A30921" w:rsidR="00A4080A">
        <w:rPr>
          <w:szCs w:val="22"/>
        </w:rPr>
        <w:t xml:space="preserve">. Based on population PK analysis, following intravenous administration, the central volume of distribution of trastuzumab emtansine was (3.13 L) and approximated that of plasma volume. </w:t>
      </w:r>
    </w:p>
    <w:p w:rsidR="008D43BD" w:rsidRPr="00A30921" w:rsidP="008D43BD">
      <w:pPr>
        <w:jc w:val="both"/>
        <w:rPr>
          <w:i/>
          <w:szCs w:val="22"/>
        </w:rPr>
      </w:pPr>
    </w:p>
    <w:p w:rsidR="008D43BD" w:rsidRPr="00A30921" w:rsidP="008D43BD">
      <w:pPr>
        <w:jc w:val="both"/>
        <w:rPr>
          <w:szCs w:val="22"/>
          <w:u w:val="single"/>
          <w:lang w:val="de-DE"/>
        </w:rPr>
      </w:pPr>
      <w:r w:rsidRPr="00A30921" w:rsidR="00A4080A">
        <w:rPr>
          <w:szCs w:val="22"/>
          <w:u w:val="single"/>
          <w:lang w:val="de-DE"/>
        </w:rPr>
        <w:t>Biotransformation (trastuzumab emtansine and DM1)</w:t>
      </w:r>
    </w:p>
    <w:p w:rsidR="008D43BD" w:rsidRPr="00A30921" w:rsidP="008D43BD">
      <w:pPr>
        <w:rPr>
          <w:szCs w:val="22"/>
        </w:rPr>
      </w:pPr>
      <w:r w:rsidRPr="00A30921" w:rsidR="00A4080A">
        <w:rPr>
          <w:szCs w:val="22"/>
        </w:rPr>
        <w:t xml:space="preserve">Trastuzumab emtansine is expected to undergo deconjugation and catabolism by means of proteolysis in cellular lysosomes. </w:t>
      </w:r>
    </w:p>
    <w:p w:rsidR="008D43BD" w:rsidRPr="00A30921" w:rsidP="008D43BD">
      <w:pPr>
        <w:rPr>
          <w:b/>
          <w:noProof/>
          <w:szCs w:val="22"/>
          <w:u w:val="single"/>
        </w:rPr>
      </w:pPr>
    </w:p>
    <w:p w:rsidR="008D43BD" w:rsidRPr="00A30921" w:rsidP="008D43BD">
      <w:pPr>
        <w:rPr>
          <w:szCs w:val="22"/>
        </w:rPr>
      </w:pPr>
      <w:r w:rsidRPr="00A30921" w:rsidR="00A4080A">
        <w:rPr>
          <w:i/>
          <w:szCs w:val="22"/>
        </w:rPr>
        <w:t>In vitro</w:t>
      </w:r>
      <w:r w:rsidRPr="00A30921" w:rsidR="00A4080A">
        <w:rPr>
          <w:szCs w:val="22"/>
        </w:rPr>
        <w:t xml:space="preserve"> metabolism studies in human liver microsomes suggest that DM1, a small molecule component of trastuzumab emtansine, is metabolised mainly by CYP3A4 and to a lesser extent by CYP3A5. DM1 did not inhibit major CYP450 enzymes in vitro.  In human plasma, trastuzumab emtansine catabolites MCC-DM1, Lys-MCC-DM1, and DM1 were detected at low levels.</w:t>
      </w:r>
      <w:r w:rsidRPr="00A30921" w:rsidR="00A4080A">
        <w:rPr>
          <w:i/>
          <w:szCs w:val="22"/>
        </w:rPr>
        <w:t xml:space="preserve">  In vitro,</w:t>
      </w:r>
      <w:r w:rsidRPr="00A30921" w:rsidR="00A4080A">
        <w:rPr>
          <w:szCs w:val="22"/>
        </w:rPr>
        <w:t xml:space="preserve"> DM1 was a substrate of P-glycoprotein (P-gp).</w:t>
      </w:r>
    </w:p>
    <w:p w:rsidR="008D43BD" w:rsidRPr="00A30921" w:rsidP="008D43BD">
      <w:pPr>
        <w:rPr>
          <w:szCs w:val="22"/>
        </w:rPr>
      </w:pPr>
    </w:p>
    <w:p w:rsidR="008D43BD" w:rsidRPr="00A30921" w:rsidP="008D43BD">
      <w:pPr>
        <w:keepNext/>
        <w:keepLines/>
        <w:rPr>
          <w:szCs w:val="22"/>
          <w:u w:val="single"/>
        </w:rPr>
      </w:pPr>
      <w:r w:rsidRPr="00A30921" w:rsidR="00A4080A">
        <w:rPr>
          <w:szCs w:val="22"/>
          <w:u w:val="single"/>
        </w:rPr>
        <w:t>Elimination</w:t>
      </w:r>
    </w:p>
    <w:p w:rsidR="008D43BD" w:rsidRPr="005F62B2" w:rsidP="008D43BD">
      <w:pPr>
        <w:keepNext/>
        <w:keepLines/>
        <w:rPr>
          <w:szCs w:val="22"/>
        </w:rPr>
      </w:pPr>
      <w:r w:rsidRPr="00A30921" w:rsidR="00A4080A">
        <w:rPr>
          <w:szCs w:val="22"/>
        </w:rPr>
        <w:t>Based on population pharmacokinetic (PK) analysis, following intravenous administration of trastuzumab emtansine in patients with HER2</w:t>
      </w:r>
      <w:r w:rsidRPr="00A30921" w:rsidR="00A4080A">
        <w:rPr>
          <w:szCs w:val="22"/>
        </w:rPr>
        <w:noBreakHyphen/>
        <w:t>positive metastatic breast cancer, the clearance of trastuzumab emtansine was 0.68 L/day and the elimination half</w:t>
      </w:r>
      <w:r w:rsidRPr="00A30921" w:rsidR="00A4080A">
        <w:rPr>
          <w:szCs w:val="22"/>
        </w:rPr>
        <w:noBreakHyphen/>
        <w:t>life (t</w:t>
      </w:r>
      <w:r w:rsidRPr="00A30921" w:rsidR="00A4080A">
        <w:rPr>
          <w:szCs w:val="22"/>
          <w:vertAlign w:val="subscript"/>
        </w:rPr>
        <w:t>1/2</w:t>
      </w:r>
      <w:r w:rsidRPr="00A30921" w:rsidR="00A4080A">
        <w:rPr>
          <w:szCs w:val="22"/>
        </w:rPr>
        <w:t>) was approximately 4 days. No accumulation of trastuzumab</w:t>
      </w:r>
      <w:r w:rsidRPr="005F62B2" w:rsidR="00A4080A">
        <w:rPr>
          <w:szCs w:val="22"/>
        </w:rPr>
        <w:t xml:space="preserve"> emtansine was observed after repeated dosing of intravenous infusion every 3 weeks.</w:t>
      </w:r>
    </w:p>
    <w:p w:rsidR="008D43BD" w:rsidRPr="005F62B2" w:rsidP="008D43BD">
      <w:pPr>
        <w:rPr>
          <w:szCs w:val="22"/>
        </w:rPr>
      </w:pPr>
    </w:p>
    <w:p w:rsidR="008D43BD" w:rsidRPr="00A30921" w:rsidP="008D43BD">
      <w:pPr>
        <w:rPr>
          <w:szCs w:val="22"/>
        </w:rPr>
      </w:pPr>
      <w:r w:rsidRPr="005F62B2" w:rsidR="00A4080A">
        <w:rPr>
          <w:szCs w:val="22"/>
        </w:rPr>
        <w:t>Based on population PK analysis, body weight, albumin, sum of longest diameter of target lesions by Response Evaluation Criteria In Solid Tumors</w:t>
      </w:r>
      <w:r w:rsidRPr="005F62B2" w:rsidR="00A4080A">
        <w:rPr>
          <w:i/>
          <w:szCs w:val="22"/>
        </w:rPr>
        <w:t xml:space="preserve"> </w:t>
      </w:r>
      <w:r w:rsidRPr="005F62B2" w:rsidR="00A4080A">
        <w:rPr>
          <w:szCs w:val="22"/>
        </w:rPr>
        <w:t xml:space="preserve">(RECIST), HER2 shed extracellular domain (ECD), baseline trastuzumab concentrations, and aspartate aminotransferase (AST) were identified as statistically significant covariates for trastuzumab emtansine PK parameters. However, the magnitude of effect of these covariates on trastuzumab emtansine exposure suggests that these covariates are unlikely to have any clinically meaningful effect </w:t>
      </w:r>
      <w:r w:rsidRPr="00A30921" w:rsidR="00A4080A">
        <w:rPr>
          <w:szCs w:val="22"/>
        </w:rPr>
        <w:t>on trastuzumab emtansine exposure. In addition, exploratory analysis showed that the impact of covariates (i.e., renal function, race and age) on the pharmacokinetics of total trastuzumab and DM1 was limited and was not clinically relevant. In nonclinical studies, trastuzumab emtansine catabolites including DM1, Lys</w:t>
      </w:r>
      <w:r w:rsidRPr="00A30921" w:rsidR="00A4080A">
        <w:rPr>
          <w:szCs w:val="22"/>
        </w:rPr>
        <w:noBreakHyphen/>
        <w:t>MCC</w:t>
      </w:r>
      <w:r w:rsidRPr="00A30921" w:rsidR="00A4080A">
        <w:rPr>
          <w:szCs w:val="22"/>
        </w:rPr>
        <w:noBreakHyphen/>
        <w:t>DM1, and MCC</w:t>
      </w:r>
      <w:r w:rsidRPr="00A30921" w:rsidR="00A4080A">
        <w:rPr>
          <w:szCs w:val="22"/>
        </w:rPr>
        <w:noBreakHyphen/>
        <w:t>DM1 are mainly excreted in the bile with minimal elimination in urine.</w:t>
      </w:r>
    </w:p>
    <w:p w:rsidR="008D43BD" w:rsidRPr="00A30921" w:rsidP="008D43BD">
      <w:pPr>
        <w:rPr>
          <w:i/>
          <w:szCs w:val="22"/>
        </w:rPr>
      </w:pPr>
    </w:p>
    <w:p w:rsidR="008D43BD" w:rsidRPr="00A30921" w:rsidP="008D43BD">
      <w:pPr>
        <w:rPr>
          <w:szCs w:val="22"/>
          <w:u w:val="single"/>
        </w:rPr>
      </w:pPr>
      <w:r w:rsidRPr="00A30921" w:rsidR="00A4080A">
        <w:rPr>
          <w:szCs w:val="22"/>
          <w:u w:val="single"/>
        </w:rPr>
        <w:t>Linearity/non-linearity</w:t>
      </w:r>
    </w:p>
    <w:p w:rsidR="008D43BD" w:rsidRPr="00A30921" w:rsidP="008D43BD">
      <w:pPr>
        <w:rPr>
          <w:szCs w:val="22"/>
        </w:rPr>
      </w:pPr>
      <w:r w:rsidRPr="00A30921" w:rsidR="00A4080A">
        <w:rPr>
          <w:szCs w:val="22"/>
        </w:rPr>
        <w:t>Trastuzumab emtansine when administered intravenously every 3 weeks exhibited linear PK across doses ranging from 2.4 to 4.8 mg/kg; patients who received doses less than or equal to 1.2 mg/kg had faster clearance.</w:t>
      </w:r>
    </w:p>
    <w:p w:rsidR="008D43BD" w:rsidRPr="00A30921" w:rsidP="008D43BD">
      <w:pPr>
        <w:rPr>
          <w:i/>
          <w:szCs w:val="22"/>
        </w:rPr>
      </w:pPr>
    </w:p>
    <w:p w:rsidR="008D43BD" w:rsidRPr="00A30921" w:rsidP="008D43BD">
      <w:pPr>
        <w:rPr>
          <w:szCs w:val="22"/>
          <w:u w:val="single"/>
        </w:rPr>
      </w:pPr>
      <w:r w:rsidRPr="00A30921" w:rsidR="00A4080A">
        <w:rPr>
          <w:szCs w:val="22"/>
          <w:u w:val="single"/>
        </w:rPr>
        <w:t xml:space="preserve">Elderly patients  </w:t>
      </w:r>
    </w:p>
    <w:p w:rsidR="008D43BD" w:rsidRPr="00A30921" w:rsidP="008D43BD">
      <w:pPr>
        <w:rPr>
          <w:szCs w:val="22"/>
        </w:rPr>
      </w:pPr>
      <w:r w:rsidRPr="00A30921" w:rsidR="00A4080A">
        <w:rPr>
          <w:szCs w:val="22"/>
        </w:rPr>
        <w:t>The population PK analysis showed that age did not affect the PK of trastuzumab emtansine. No significant difference was observed in the PK of trastuzumab emtansine among patients &lt; 65 years (n = 577), patients between 65</w:t>
      </w:r>
      <w:r w:rsidRPr="00A30921" w:rsidR="00A4080A">
        <w:rPr>
          <w:szCs w:val="22"/>
        </w:rPr>
        <w:noBreakHyphen/>
        <w:t>75 years (n = 78) and patients &gt; 75 years (n = 16).</w:t>
      </w:r>
    </w:p>
    <w:p w:rsidR="008D43BD" w:rsidRPr="00A30921" w:rsidP="008D43BD">
      <w:pPr>
        <w:jc w:val="both"/>
        <w:rPr>
          <w:szCs w:val="22"/>
        </w:rPr>
      </w:pPr>
    </w:p>
    <w:p w:rsidR="008D43BD" w:rsidRPr="00060691" w:rsidP="008D43BD">
      <w:pPr>
        <w:keepNext/>
        <w:keepLines/>
        <w:jc w:val="both"/>
        <w:rPr>
          <w:szCs w:val="22"/>
          <w:u w:val="single"/>
        </w:rPr>
      </w:pPr>
      <w:r w:rsidRPr="00060691" w:rsidR="00A4080A">
        <w:rPr>
          <w:szCs w:val="22"/>
          <w:u w:val="single"/>
        </w:rPr>
        <w:t xml:space="preserve">Renal impairment </w:t>
      </w:r>
    </w:p>
    <w:p w:rsidR="008D43BD" w:rsidRPr="00060691" w:rsidP="008D43BD">
      <w:pPr>
        <w:rPr>
          <w:szCs w:val="22"/>
        </w:rPr>
      </w:pPr>
      <w:r w:rsidRPr="00060691" w:rsidR="00A4080A">
        <w:rPr>
          <w:szCs w:val="22"/>
        </w:rPr>
        <w:t>No formal PK study has been conducted in patients with renal impairment. The population PK analysis showed that creatinine clearance does not affect the PK of trastuzumab emtansine. Pharmacokinetics of trastuzumab emtansine in patients with mild (creatinine clearance CLcr 60 to 89 mL/min, n = 254) or moderate (CLcr 30 to 59 mL/min, n = 53) renal impairment were similar to those in patients with normal renal function (CLcr </w:t>
      </w:r>
      <w:r w:rsidRPr="00060691" w:rsidR="00A4080A">
        <w:rPr>
          <w:rFonts w:ascii="Symbol" w:hAnsi="Symbol"/>
          <w:szCs w:val="22"/>
        </w:rPr>
        <w:sym w:font="Symbol" w:char="F0B3"/>
      </w:r>
      <w:r w:rsidRPr="00060691" w:rsidR="00A4080A">
        <w:rPr>
          <w:szCs w:val="22"/>
        </w:rPr>
        <w:t> 90 mL/min, n = 361). Pharmacokinetic data in patients with severe renal impairment (CLcr 15 to 29 mL/min) are limited (n = 1), therefore no dosage recommendations can be made.</w:t>
      </w:r>
    </w:p>
    <w:p w:rsidR="008D43BD" w:rsidRPr="00060691" w:rsidP="008D43BD">
      <w:pPr>
        <w:jc w:val="both"/>
        <w:rPr>
          <w:b/>
          <w:szCs w:val="22"/>
          <w:u w:val="single"/>
        </w:rPr>
      </w:pPr>
    </w:p>
    <w:p w:rsidR="008D43BD" w:rsidRPr="00060691" w:rsidP="008D43BD">
      <w:pPr>
        <w:jc w:val="both"/>
        <w:rPr>
          <w:szCs w:val="22"/>
          <w:u w:val="single"/>
        </w:rPr>
      </w:pPr>
      <w:r w:rsidRPr="00060691" w:rsidR="00A4080A">
        <w:rPr>
          <w:szCs w:val="22"/>
          <w:u w:val="single"/>
        </w:rPr>
        <w:t xml:space="preserve">Hepatic impairment </w:t>
      </w:r>
    </w:p>
    <w:p w:rsidR="008D43BD" w:rsidRPr="00060691" w:rsidP="008D43BD">
      <w:r w:rsidRPr="00060691" w:rsidR="00A4080A">
        <w:t xml:space="preserve">The liver is a primary organ for eliminating DM1 and DM1-containing catabolites. The pharmacokinetics of trastuzumab emtansine and DM1-containing catabolites were evaluated after the administration of 3.6 mg/kg of trastuzumab emtansine to metastatic HER2+ breast cancer patients with normal hepatic function (n=10), mild (Child-Pugh A; n=10) and moderate (Child-Pugh B; n=8) hepatic impairment. </w:t>
      </w:r>
    </w:p>
    <w:p w:rsidR="008D43BD" w:rsidRPr="00060691" w:rsidP="008D43BD"/>
    <w:p w:rsidR="008D43BD" w:rsidRPr="00060691" w:rsidP="008D43BD">
      <w:r w:rsidR="00A4080A">
        <w:t xml:space="preserve">- </w:t>
      </w:r>
      <w:r w:rsidRPr="00060691" w:rsidR="00A4080A">
        <w:t>Plasma concentrations of DM1 and DM1-containing catabolites (Lys-MCC-DM1 and MCC-DM1) were low and comparable between patients with and without hepatic impairment.</w:t>
      </w:r>
    </w:p>
    <w:p w:rsidR="008D43BD" w:rsidRPr="00060691" w:rsidP="008D43BD"/>
    <w:p w:rsidR="008D43BD" w:rsidRPr="00060691" w:rsidP="008D43BD">
      <w:r w:rsidR="00A4080A">
        <w:t xml:space="preserve">- </w:t>
      </w:r>
      <w:r w:rsidRPr="00060691" w:rsidR="00A4080A">
        <w:t xml:space="preserve">Systemic exposures (AUC) of trastuzumab emtansine at Cycle 1 in patients with mild and moderate hepatic impairment were approximately 38% and 67% lower than that of patients with normal hepatic function, respectively. Trastuzumab emtansine exposure (AUC) at Cycle 3 after repeated dosing in patients with mild or moderate hepatic dysfunction was within the range observed in patients with normal hepatic function.  </w:t>
      </w:r>
    </w:p>
    <w:p w:rsidR="008D43BD" w:rsidRPr="00060691" w:rsidP="008D43BD"/>
    <w:p w:rsidR="008D43BD" w:rsidRPr="009A128E" w:rsidP="008D43BD">
      <w:r w:rsidR="00A4080A">
        <w:rPr>
          <w:iCs/>
        </w:rPr>
        <w:t>No formal pharmacokinetic study has been conducted and no population PK data was collected in patients with severe hepatic impairment</w:t>
      </w:r>
      <w:r w:rsidRPr="00060691" w:rsidR="00A4080A">
        <w:t xml:space="preserve"> (Child-Pugh class C).</w:t>
      </w:r>
    </w:p>
    <w:p w:rsidR="008D43BD" w:rsidRPr="00A30921" w:rsidP="008D43BD">
      <w:pPr>
        <w:jc w:val="both"/>
        <w:rPr>
          <w:szCs w:val="22"/>
        </w:rPr>
      </w:pPr>
    </w:p>
    <w:p w:rsidR="008D43BD" w:rsidRPr="00A30921" w:rsidP="008D43BD">
      <w:pPr>
        <w:keepNext/>
        <w:keepLines/>
        <w:rPr>
          <w:szCs w:val="22"/>
          <w:u w:val="single"/>
        </w:rPr>
      </w:pPr>
      <w:r w:rsidRPr="00A30921" w:rsidR="00A4080A">
        <w:rPr>
          <w:szCs w:val="22"/>
          <w:u w:val="single"/>
        </w:rPr>
        <w:t>Other special populations</w:t>
      </w:r>
    </w:p>
    <w:p w:rsidR="008D43BD" w:rsidRPr="005F62B2" w:rsidP="008D43BD">
      <w:pPr>
        <w:keepNext/>
        <w:keepLines/>
        <w:rPr>
          <w:szCs w:val="22"/>
        </w:rPr>
      </w:pPr>
      <w:r w:rsidRPr="00A30921" w:rsidR="00A4080A">
        <w:rPr>
          <w:szCs w:val="22"/>
        </w:rPr>
        <w:t>The population PK analysis showed that race did not appear to influence the PK of trastuzumab emtansine. Because most of the patients in trastuzumab emtansine</w:t>
      </w:r>
      <w:r w:rsidRPr="005F62B2" w:rsidR="00A4080A">
        <w:rPr>
          <w:szCs w:val="22"/>
        </w:rPr>
        <w:t xml:space="preserve"> clinical studies were females, the effect of gender on the PK of trastuzumab emtansine was not formally evaluated.</w:t>
      </w:r>
    </w:p>
    <w:p w:rsidR="008D43BD" w:rsidRPr="00123D7D" w:rsidP="008D43BD">
      <w:pPr>
        <w:rPr>
          <w:szCs w:val="22"/>
        </w:rPr>
      </w:pPr>
    </w:p>
    <w:p w:rsidR="008D43BD" w:rsidRPr="005F62B2" w:rsidP="008D43BD">
      <w:pPr>
        <w:ind w:left="567" w:hanging="567"/>
        <w:outlineLvl w:val="0"/>
        <w:rPr>
          <w:szCs w:val="22"/>
        </w:rPr>
      </w:pPr>
      <w:r w:rsidRPr="005F62B2" w:rsidR="00A4080A">
        <w:rPr>
          <w:b/>
          <w:szCs w:val="22"/>
        </w:rPr>
        <w:t>5.3</w:t>
        <w:tab/>
        <w:t>Preclinical safety data</w:t>
      </w:r>
    </w:p>
    <w:p w:rsidR="008D43BD" w:rsidRPr="005F62B2" w:rsidP="008D43BD">
      <w:pPr>
        <w:jc w:val="both"/>
        <w:rPr>
          <w:szCs w:val="22"/>
        </w:rPr>
      </w:pPr>
    </w:p>
    <w:p w:rsidR="008D43BD" w:rsidP="008D43BD">
      <w:pPr>
        <w:jc w:val="both"/>
        <w:rPr>
          <w:szCs w:val="22"/>
          <w:u w:val="single"/>
        </w:rPr>
      </w:pPr>
      <w:r w:rsidRPr="00405F86" w:rsidR="00A4080A">
        <w:rPr>
          <w:szCs w:val="22"/>
          <w:u w:val="single"/>
        </w:rPr>
        <w:t>Animal toxicology and/or pharmacology</w:t>
      </w:r>
    </w:p>
    <w:p w:rsidR="008D43BD" w:rsidRPr="00405F86" w:rsidP="008D43BD">
      <w:pPr>
        <w:jc w:val="both"/>
        <w:rPr>
          <w:szCs w:val="22"/>
          <w:u w:val="single"/>
        </w:rPr>
      </w:pPr>
    </w:p>
    <w:p w:rsidR="008D43BD" w:rsidRPr="005F62B2" w:rsidP="008D43BD">
      <w:pPr>
        <w:rPr>
          <w:szCs w:val="22"/>
        </w:rPr>
      </w:pPr>
      <w:r w:rsidRPr="005F62B2" w:rsidR="00A4080A">
        <w:rPr>
          <w:szCs w:val="22"/>
        </w:rPr>
        <w:t>Administration of trastuzumab emtansine was well tolerated in rats an</w:t>
      </w:r>
      <w:r w:rsidR="00A4080A">
        <w:rPr>
          <w:szCs w:val="22"/>
        </w:rPr>
        <w:t xml:space="preserve">d monkeys at doses up to 20 and </w:t>
      </w:r>
      <w:r w:rsidRPr="005F62B2" w:rsidR="00A4080A">
        <w:rPr>
          <w:szCs w:val="22"/>
        </w:rPr>
        <w:t>10 mg/kg, respectively, corresponding to 2040 </w:t>
      </w:r>
      <w:r w:rsidRPr="005F62B2" w:rsidR="00A4080A">
        <w:rPr>
          <w:rFonts w:ascii="Symbol" w:hAnsi="Symbol"/>
          <w:szCs w:val="22"/>
        </w:rPr>
        <w:sym w:font="Symbol" w:char="F06D"/>
      </w:r>
      <w:r w:rsidRPr="005F62B2" w:rsidR="00A4080A">
        <w:rPr>
          <w:szCs w:val="22"/>
        </w:rPr>
        <w:t>g DM1/m</w:t>
      </w:r>
      <w:r w:rsidRPr="005F62B2" w:rsidR="00A4080A">
        <w:rPr>
          <w:szCs w:val="22"/>
          <w:vertAlign w:val="superscript"/>
        </w:rPr>
        <w:t>2</w:t>
      </w:r>
      <w:r w:rsidRPr="005F62B2" w:rsidR="00A4080A">
        <w:rPr>
          <w:szCs w:val="22"/>
        </w:rPr>
        <w:t xml:space="preserve"> in both species, which is approximately equivalent to the clinical dose of trastuzumab emtansine in patients.  In the GLP toxicity studies, with the exception of irreversible peripheral axonal toxicit</w:t>
      </w:r>
      <w:r w:rsidR="00A4080A">
        <w:rPr>
          <w:szCs w:val="22"/>
        </w:rPr>
        <w:t xml:space="preserve">y (observed only in monkeys at </w:t>
      </w:r>
      <w:r w:rsidRPr="005F62B2" w:rsidR="00A4080A">
        <w:rPr>
          <w:rFonts w:ascii="Symbol" w:hAnsi="Symbol"/>
          <w:szCs w:val="22"/>
        </w:rPr>
        <w:sym w:font="Symbol" w:char="F0B3"/>
      </w:r>
      <w:r w:rsidRPr="005F62B2" w:rsidR="00A4080A">
        <w:rPr>
          <w:szCs w:val="22"/>
        </w:rPr>
        <w:t xml:space="preserve"> 10 mg/kg) and reproductive organ toxicity (observed only in rats at 60 mg/kg), partially or completely reversible dose dependent toxicities were identified in both animal models. Principal toxicities included liver (liver enzyme elevations) at </w:t>
      </w:r>
      <w:r w:rsidRPr="005F62B2" w:rsidR="00A4080A">
        <w:rPr>
          <w:rFonts w:ascii="Symbol" w:hAnsi="Symbol"/>
          <w:szCs w:val="22"/>
        </w:rPr>
        <w:sym w:font="Symbol" w:char="F0B3"/>
      </w:r>
      <w:r w:rsidR="00A4080A">
        <w:rPr>
          <w:szCs w:val="22"/>
        </w:rPr>
        <w:t xml:space="preserve"> 20 mg/kg and </w:t>
      </w:r>
      <w:r w:rsidRPr="005F62B2" w:rsidR="00A4080A">
        <w:rPr>
          <w:rFonts w:ascii="Symbol" w:hAnsi="Symbol"/>
          <w:szCs w:val="22"/>
        </w:rPr>
        <w:sym w:font="Symbol" w:char="F0B3"/>
      </w:r>
      <w:r w:rsidRPr="005F62B2" w:rsidR="00A4080A">
        <w:rPr>
          <w:szCs w:val="22"/>
        </w:rPr>
        <w:t> 10 mg/kg, bone marrow (reduced platelet and white bl</w:t>
      </w:r>
      <w:r w:rsidR="00A4080A">
        <w:rPr>
          <w:szCs w:val="22"/>
        </w:rPr>
        <w:t xml:space="preserve">ood cell count)/hematologic at </w:t>
      </w:r>
      <w:r w:rsidRPr="005F62B2" w:rsidR="00A4080A">
        <w:rPr>
          <w:rFonts w:ascii="Symbol" w:hAnsi="Symbol"/>
          <w:szCs w:val="22"/>
        </w:rPr>
        <w:sym w:font="Symbol" w:char="F0B3"/>
      </w:r>
      <w:r w:rsidR="00A4080A">
        <w:rPr>
          <w:szCs w:val="22"/>
        </w:rPr>
        <w:t xml:space="preserve"> 20 mg/kg and </w:t>
      </w:r>
      <w:r w:rsidRPr="005F62B2" w:rsidR="00A4080A">
        <w:rPr>
          <w:rFonts w:ascii="Symbol" w:hAnsi="Symbol"/>
          <w:szCs w:val="22"/>
        </w:rPr>
        <w:sym w:font="Symbol" w:char="F0B3"/>
      </w:r>
      <w:r w:rsidRPr="005F62B2" w:rsidR="00A4080A">
        <w:rPr>
          <w:szCs w:val="22"/>
        </w:rPr>
        <w:t xml:space="preserve"> 10 mg/kg, and lymphoid organs at </w:t>
      </w:r>
      <w:r w:rsidRPr="005F62B2" w:rsidR="00A4080A">
        <w:rPr>
          <w:rFonts w:ascii="Symbol" w:hAnsi="Symbol"/>
          <w:szCs w:val="22"/>
        </w:rPr>
        <w:sym w:font="Symbol" w:char="F0B3"/>
      </w:r>
      <w:r w:rsidR="00A4080A">
        <w:rPr>
          <w:szCs w:val="22"/>
        </w:rPr>
        <w:t xml:space="preserve"> 20 mg/kg </w:t>
      </w:r>
      <w:r w:rsidRPr="005F62B2" w:rsidR="00A4080A">
        <w:rPr>
          <w:szCs w:val="22"/>
        </w:rPr>
        <w:t>and </w:t>
      </w:r>
      <w:r w:rsidRPr="005F62B2" w:rsidR="00A4080A">
        <w:rPr>
          <w:rFonts w:ascii="Symbol" w:hAnsi="Symbol"/>
          <w:szCs w:val="22"/>
        </w:rPr>
        <w:sym w:font="Symbol" w:char="F0B3"/>
      </w:r>
      <w:r w:rsidRPr="005F62B2" w:rsidR="00A4080A">
        <w:rPr>
          <w:szCs w:val="22"/>
        </w:rPr>
        <w:t> 3</w:t>
      </w:r>
      <w:r w:rsidR="00A4080A">
        <w:rPr>
          <w:szCs w:val="22"/>
        </w:rPr>
        <w:t> </w:t>
      </w:r>
      <w:r w:rsidRPr="005F62B2" w:rsidR="00A4080A">
        <w:rPr>
          <w:szCs w:val="22"/>
        </w:rPr>
        <w:t>mg/kg,  in rat and monkey, respectively.</w:t>
      </w:r>
    </w:p>
    <w:p w:rsidR="008D43BD" w:rsidRPr="005F62B2" w:rsidP="008D43BD">
      <w:pPr>
        <w:jc w:val="both"/>
        <w:rPr>
          <w:i/>
          <w:szCs w:val="22"/>
        </w:rPr>
      </w:pPr>
    </w:p>
    <w:p w:rsidR="008D43BD" w:rsidP="008D43BD">
      <w:pPr>
        <w:jc w:val="both"/>
        <w:rPr>
          <w:szCs w:val="22"/>
          <w:u w:val="single"/>
        </w:rPr>
      </w:pPr>
      <w:r w:rsidRPr="00405F86" w:rsidR="00A4080A">
        <w:rPr>
          <w:szCs w:val="22"/>
          <w:u w:val="single"/>
        </w:rPr>
        <w:t>Mutagenicity</w:t>
      </w:r>
    </w:p>
    <w:p w:rsidR="008D43BD" w:rsidRPr="00405F86" w:rsidP="008D43BD">
      <w:pPr>
        <w:jc w:val="both"/>
        <w:rPr>
          <w:szCs w:val="22"/>
          <w:u w:val="single"/>
        </w:rPr>
      </w:pPr>
    </w:p>
    <w:p w:rsidR="008D43BD" w:rsidRPr="005F62B2" w:rsidP="008D43BD">
      <w:pPr>
        <w:rPr>
          <w:szCs w:val="22"/>
        </w:rPr>
      </w:pPr>
      <w:r w:rsidRPr="005F62B2" w:rsidR="00A4080A">
        <w:rPr>
          <w:szCs w:val="22"/>
        </w:rPr>
        <w:t xml:space="preserve">DM1 was aneugenic or clastogenic in an </w:t>
      </w:r>
      <w:r w:rsidRPr="005F62B2" w:rsidR="00A4080A">
        <w:rPr>
          <w:i/>
          <w:szCs w:val="22"/>
        </w:rPr>
        <w:t>in vivo</w:t>
      </w:r>
      <w:r w:rsidRPr="005F62B2" w:rsidR="00A4080A">
        <w:rPr>
          <w:szCs w:val="22"/>
        </w:rPr>
        <w:t xml:space="preserve"> single-dose rat bone marrow micronucleus assay at exposures that were comparable to mean maximum concentrations of DM1 measured in humans administered trastuzumab emtansine. DM1 was not mutagenic in an </w:t>
      </w:r>
      <w:r w:rsidRPr="005F62B2" w:rsidR="00A4080A">
        <w:rPr>
          <w:i/>
          <w:szCs w:val="22"/>
        </w:rPr>
        <w:t>in vitro</w:t>
      </w:r>
      <w:r w:rsidRPr="005F62B2" w:rsidR="00A4080A">
        <w:rPr>
          <w:szCs w:val="22"/>
        </w:rPr>
        <w:t xml:space="preserve"> bacterial reverse mutation (Ames) assay.  </w:t>
      </w:r>
    </w:p>
    <w:p w:rsidR="008D43BD" w:rsidRPr="005F62B2" w:rsidP="008D43BD">
      <w:pPr>
        <w:jc w:val="both"/>
        <w:rPr>
          <w:b/>
          <w:szCs w:val="22"/>
          <w:u w:val="single"/>
        </w:rPr>
      </w:pPr>
    </w:p>
    <w:p w:rsidR="008D43BD" w:rsidP="008D43BD">
      <w:pPr>
        <w:keepNext/>
        <w:keepLines/>
        <w:jc w:val="both"/>
        <w:rPr>
          <w:szCs w:val="22"/>
          <w:u w:val="single"/>
        </w:rPr>
      </w:pPr>
      <w:r w:rsidRPr="00405F86" w:rsidR="00A4080A">
        <w:rPr>
          <w:szCs w:val="22"/>
          <w:u w:val="single"/>
        </w:rPr>
        <w:t>Impairment of fertility and teratogenicity</w:t>
      </w:r>
    </w:p>
    <w:p w:rsidR="008D43BD" w:rsidRPr="00405F86" w:rsidP="008D43BD">
      <w:pPr>
        <w:keepNext/>
        <w:keepLines/>
        <w:jc w:val="both"/>
        <w:rPr>
          <w:szCs w:val="22"/>
          <w:u w:val="single"/>
        </w:rPr>
      </w:pPr>
    </w:p>
    <w:p w:rsidR="008D43BD" w:rsidRPr="005F62B2" w:rsidP="008D43BD">
      <w:pPr>
        <w:rPr>
          <w:szCs w:val="22"/>
        </w:rPr>
      </w:pPr>
      <w:r w:rsidR="00A4080A">
        <w:t xml:space="preserve">No fertility studies in animals have been performed to evaluate the effect of </w:t>
      </w:r>
      <w:r w:rsidRPr="005F62B2" w:rsidR="00A4080A">
        <w:rPr>
          <w:szCs w:val="22"/>
        </w:rPr>
        <w:t>trastuzumab emtansine. However, based on results from general animal toxicity studies, adverse effects on fertility can be expected.</w:t>
      </w:r>
    </w:p>
    <w:p w:rsidR="008D43BD" w:rsidRPr="005F62B2" w:rsidP="008D43BD">
      <w:pPr>
        <w:rPr>
          <w:szCs w:val="22"/>
        </w:rPr>
      </w:pPr>
    </w:p>
    <w:p w:rsidR="008D43BD" w:rsidRPr="005F62B2" w:rsidP="008D43BD">
      <w:pPr>
        <w:rPr>
          <w:szCs w:val="22"/>
        </w:rPr>
      </w:pPr>
      <w:r w:rsidRPr="005F62B2" w:rsidR="00A4080A">
        <w:rPr>
          <w:szCs w:val="22"/>
        </w:rPr>
        <w:t>Dedicated embryo</w:t>
      </w:r>
      <w:r w:rsidRPr="005F62B2" w:rsidR="00A4080A">
        <w:rPr>
          <w:szCs w:val="22"/>
        </w:rPr>
        <w:noBreakHyphen/>
        <w:t>foetal development studies have not been conducted in animals with trastuzumab emtansine. Developmental toxicity of trastuzumab has been identified in the clinical setting although it was not predicted in the non</w:t>
      </w:r>
      <w:r w:rsidRPr="005F62B2" w:rsidR="00A4080A">
        <w:rPr>
          <w:szCs w:val="22"/>
        </w:rPr>
        <w:noBreakHyphen/>
        <w:t>clinical program. In addition, developmental toxicity of maytansine has been identified in non</w:t>
      </w:r>
      <w:r w:rsidRPr="005F62B2" w:rsidR="00A4080A">
        <w:rPr>
          <w:szCs w:val="22"/>
        </w:rPr>
        <w:noBreakHyphen/>
        <w:t>clinical studies which suggests that DM1, the microtubule</w:t>
      </w:r>
      <w:r w:rsidRPr="005F62B2" w:rsidR="00A4080A">
        <w:rPr>
          <w:szCs w:val="22"/>
        </w:rPr>
        <w:noBreakHyphen/>
        <w:t>inhibiting cytotoxic maytansinoid component of trastuzumab emtansine, will be similarly teratogenic and potentially embryotoxic.</w:t>
      </w:r>
    </w:p>
    <w:p w:rsidR="008D43BD" w:rsidRPr="005F62B2" w:rsidP="008D43BD">
      <w:pPr>
        <w:jc w:val="both"/>
        <w:rPr>
          <w:szCs w:val="22"/>
        </w:rPr>
      </w:pPr>
    </w:p>
    <w:p w:rsidR="008D43BD" w:rsidRPr="005F62B2" w:rsidP="008D43BD">
      <w:pPr>
        <w:jc w:val="both"/>
        <w:rPr>
          <w:szCs w:val="22"/>
        </w:rPr>
      </w:pPr>
    </w:p>
    <w:p w:rsidR="008D43BD" w:rsidRPr="005F62B2" w:rsidP="008D43BD">
      <w:pPr>
        <w:ind w:left="567" w:hanging="567"/>
        <w:rPr>
          <w:b/>
          <w:szCs w:val="22"/>
        </w:rPr>
      </w:pPr>
      <w:r w:rsidRPr="005F62B2" w:rsidR="00A4080A">
        <w:rPr>
          <w:b/>
          <w:szCs w:val="22"/>
        </w:rPr>
        <w:t>6.</w:t>
        <w:tab/>
        <w:t>PHARMACEUTICAL PARTICULARS</w:t>
      </w:r>
    </w:p>
    <w:p w:rsidR="008D43BD" w:rsidRPr="005F62B2" w:rsidP="008D43BD">
      <w:pPr>
        <w:ind w:left="567" w:hanging="567"/>
        <w:rPr>
          <w:b/>
          <w:szCs w:val="22"/>
        </w:rPr>
      </w:pPr>
    </w:p>
    <w:p w:rsidR="008D43BD" w:rsidRPr="005F62B2" w:rsidP="008D43BD">
      <w:pPr>
        <w:ind w:left="567" w:hanging="567"/>
        <w:outlineLvl w:val="0"/>
        <w:rPr>
          <w:szCs w:val="22"/>
        </w:rPr>
      </w:pPr>
      <w:r w:rsidRPr="005F62B2" w:rsidR="00A4080A">
        <w:rPr>
          <w:b/>
          <w:szCs w:val="22"/>
        </w:rPr>
        <w:t>6.1</w:t>
        <w:tab/>
        <w:t>List of excipients</w:t>
      </w:r>
    </w:p>
    <w:p w:rsidR="008D43BD" w:rsidRPr="005F62B2" w:rsidP="008D43BD">
      <w:pPr>
        <w:jc w:val="both"/>
        <w:rPr>
          <w:szCs w:val="22"/>
        </w:rPr>
      </w:pPr>
    </w:p>
    <w:p w:rsidR="008D43BD" w:rsidRPr="005F62B2" w:rsidP="008D43BD">
      <w:pPr>
        <w:jc w:val="both"/>
        <w:rPr>
          <w:szCs w:val="22"/>
        </w:rPr>
      </w:pPr>
      <w:r w:rsidRPr="005F62B2" w:rsidR="00A4080A">
        <w:rPr>
          <w:szCs w:val="22"/>
        </w:rPr>
        <w:t>Succinic acid</w:t>
      </w:r>
    </w:p>
    <w:p w:rsidR="008D43BD" w:rsidRPr="005F62B2" w:rsidP="008D43BD">
      <w:pPr>
        <w:jc w:val="both"/>
        <w:rPr>
          <w:szCs w:val="22"/>
        </w:rPr>
      </w:pPr>
      <w:r w:rsidRPr="005F62B2" w:rsidR="00A4080A">
        <w:rPr>
          <w:szCs w:val="22"/>
        </w:rPr>
        <w:t>Sodium hydroxide</w:t>
      </w:r>
    </w:p>
    <w:p w:rsidR="008D43BD" w:rsidRPr="005F62B2" w:rsidP="008D43BD">
      <w:pPr>
        <w:jc w:val="both"/>
        <w:rPr>
          <w:szCs w:val="22"/>
        </w:rPr>
      </w:pPr>
      <w:r w:rsidRPr="005F62B2" w:rsidR="00A4080A">
        <w:rPr>
          <w:szCs w:val="22"/>
        </w:rPr>
        <w:t>Sucrose</w:t>
      </w:r>
    </w:p>
    <w:p w:rsidR="008D43BD" w:rsidRPr="005F62B2" w:rsidP="008D43BD">
      <w:pPr>
        <w:jc w:val="both"/>
        <w:rPr>
          <w:szCs w:val="22"/>
        </w:rPr>
      </w:pPr>
      <w:r w:rsidRPr="005F62B2" w:rsidR="00A4080A">
        <w:rPr>
          <w:szCs w:val="22"/>
        </w:rPr>
        <w:t>Polysorbate 20</w:t>
      </w:r>
    </w:p>
    <w:p w:rsidR="008D43BD" w:rsidRPr="005F62B2" w:rsidP="008D43BD">
      <w:pPr>
        <w:jc w:val="both"/>
        <w:rPr>
          <w:szCs w:val="22"/>
        </w:rPr>
      </w:pPr>
    </w:p>
    <w:p w:rsidR="008D43BD" w:rsidRPr="005F62B2" w:rsidP="008D43BD">
      <w:pPr>
        <w:ind w:left="567" w:hanging="567"/>
        <w:outlineLvl w:val="0"/>
        <w:rPr>
          <w:szCs w:val="22"/>
        </w:rPr>
      </w:pPr>
      <w:r w:rsidRPr="005F62B2" w:rsidR="00A4080A">
        <w:rPr>
          <w:b/>
          <w:szCs w:val="22"/>
        </w:rPr>
        <w:t>6.2</w:t>
        <w:tab/>
        <w:t>Incompatibilities</w:t>
      </w:r>
    </w:p>
    <w:p w:rsidR="008D43BD" w:rsidRPr="005F62B2" w:rsidP="008D43BD">
      <w:pPr>
        <w:jc w:val="both"/>
        <w:rPr>
          <w:szCs w:val="22"/>
        </w:rPr>
      </w:pPr>
    </w:p>
    <w:p w:rsidR="008D43BD" w:rsidRPr="005F62B2" w:rsidP="008D43BD">
      <w:pPr>
        <w:rPr>
          <w:szCs w:val="22"/>
        </w:rPr>
      </w:pPr>
      <w:r w:rsidRPr="005F62B2" w:rsidR="00A4080A">
        <w:rPr>
          <w:szCs w:val="22"/>
        </w:rPr>
        <w:t>This medicinal product must not be mixed or diluted with other medicinal products except those mentioned in section 6.6.</w:t>
      </w:r>
    </w:p>
    <w:p w:rsidR="008D43BD" w:rsidRPr="005F62B2" w:rsidP="008D43BD">
      <w:pPr>
        <w:rPr>
          <w:szCs w:val="22"/>
        </w:rPr>
      </w:pPr>
    </w:p>
    <w:p w:rsidR="008D43BD" w:rsidRPr="005F62B2" w:rsidP="008D43BD">
      <w:pPr>
        <w:rPr>
          <w:szCs w:val="22"/>
        </w:rPr>
      </w:pPr>
      <w:r w:rsidRPr="005F62B2" w:rsidR="00A4080A">
        <w:rPr>
          <w:szCs w:val="22"/>
        </w:rPr>
        <w:t>Glucose (5%) solution should not be used for reconstitution or dilution since it causes aggregation of the protein.</w:t>
      </w:r>
    </w:p>
    <w:p w:rsidR="008D43BD" w:rsidRPr="00123D7D" w:rsidP="008D43BD">
      <w:pPr>
        <w:rPr>
          <w:szCs w:val="22"/>
        </w:rPr>
      </w:pPr>
    </w:p>
    <w:p w:rsidR="008D43BD" w:rsidRPr="005F62B2" w:rsidP="008D43BD">
      <w:pPr>
        <w:keepNext/>
        <w:keepLines/>
        <w:ind w:left="567" w:hanging="567"/>
        <w:outlineLvl w:val="0"/>
        <w:rPr>
          <w:szCs w:val="22"/>
        </w:rPr>
      </w:pPr>
      <w:r w:rsidRPr="005F62B2" w:rsidR="00A4080A">
        <w:rPr>
          <w:b/>
          <w:szCs w:val="22"/>
        </w:rPr>
        <w:t>6.3</w:t>
        <w:tab/>
        <w:t>Shelf life</w:t>
      </w:r>
    </w:p>
    <w:p w:rsidR="008D43BD" w:rsidRPr="005F62B2" w:rsidP="008D43BD">
      <w:pPr>
        <w:keepNext/>
        <w:keepLines/>
        <w:rPr>
          <w:szCs w:val="22"/>
        </w:rPr>
      </w:pPr>
    </w:p>
    <w:p w:rsidR="008D43BD" w:rsidRPr="00405F86" w:rsidP="008D43BD">
      <w:pPr>
        <w:keepNext/>
        <w:keepLines/>
        <w:rPr>
          <w:szCs w:val="22"/>
          <w:u w:val="single"/>
        </w:rPr>
      </w:pPr>
      <w:r w:rsidRPr="00405F86" w:rsidR="00A4080A">
        <w:rPr>
          <w:szCs w:val="22"/>
          <w:u w:val="single"/>
        </w:rPr>
        <w:t>Unopened vial</w:t>
      </w:r>
    </w:p>
    <w:p w:rsidR="008D43BD" w:rsidP="008D43BD">
      <w:pPr>
        <w:keepNext/>
        <w:keepLines/>
        <w:rPr>
          <w:szCs w:val="22"/>
        </w:rPr>
      </w:pPr>
    </w:p>
    <w:p w:rsidR="008D43BD" w:rsidRPr="005F62B2" w:rsidP="008D43BD">
      <w:pPr>
        <w:keepNext/>
        <w:keepLines/>
        <w:rPr>
          <w:szCs w:val="22"/>
        </w:rPr>
      </w:pPr>
      <w:r w:rsidRPr="005F62B2" w:rsidR="00A4080A">
        <w:rPr>
          <w:szCs w:val="22"/>
        </w:rPr>
        <w:t>3 years.</w:t>
      </w:r>
    </w:p>
    <w:p w:rsidR="008D43BD" w:rsidRPr="005F62B2" w:rsidP="008D43BD">
      <w:pPr>
        <w:keepNext/>
        <w:keepLines/>
        <w:rPr>
          <w:szCs w:val="22"/>
        </w:rPr>
      </w:pPr>
    </w:p>
    <w:p w:rsidR="008D43BD" w:rsidP="008D43BD">
      <w:pPr>
        <w:keepNext/>
        <w:keepLines/>
        <w:rPr>
          <w:szCs w:val="22"/>
          <w:u w:val="single"/>
        </w:rPr>
      </w:pPr>
      <w:r w:rsidR="00A4080A">
        <w:rPr>
          <w:szCs w:val="22"/>
          <w:u w:val="single"/>
        </w:rPr>
        <w:t>R</w:t>
      </w:r>
      <w:r w:rsidRPr="00405F86" w:rsidR="00A4080A">
        <w:rPr>
          <w:szCs w:val="22"/>
          <w:u w:val="single"/>
        </w:rPr>
        <w:t>econstituted solution</w:t>
      </w:r>
    </w:p>
    <w:p w:rsidR="008D43BD" w:rsidRPr="00405F86" w:rsidP="008D43BD">
      <w:pPr>
        <w:keepNext/>
        <w:keepLines/>
        <w:rPr>
          <w:szCs w:val="22"/>
          <w:u w:val="single"/>
        </w:rPr>
      </w:pPr>
      <w:r w:rsidRPr="00405F86" w:rsidR="00A4080A">
        <w:rPr>
          <w:szCs w:val="22"/>
          <w:u w:val="single"/>
        </w:rPr>
        <w:t xml:space="preserve"> </w:t>
      </w:r>
    </w:p>
    <w:p w:rsidR="008D43BD" w:rsidRPr="005F62B2" w:rsidP="008D43BD">
      <w:pPr>
        <w:keepNext/>
        <w:keepLines/>
        <w:rPr>
          <w:szCs w:val="22"/>
        </w:rPr>
      </w:pPr>
      <w:r w:rsidRPr="005F62B2" w:rsidR="00A4080A">
        <w:rPr>
          <w:szCs w:val="22"/>
        </w:rPr>
        <w:t>Chemical and physical in</w:t>
      </w:r>
      <w:r w:rsidRPr="005F62B2" w:rsidR="00A4080A">
        <w:rPr>
          <w:szCs w:val="22"/>
        </w:rPr>
        <w:noBreakHyphen/>
        <w:t>use stability of the reconstituted solution has been demonstrated for up to 24 hours at 2°C to 8°C. From a microbiological point of view, the product should be used immediately. If not used immediately, the reconstituted vials can be stored for up to 24 hours at 2°C to 8°C, provided it was reconstituted under controlled and validated aseptic conditions, and must be discarded thereafter.</w:t>
      </w:r>
    </w:p>
    <w:p w:rsidR="008D43BD" w:rsidRPr="005F62B2" w:rsidP="008D43BD">
      <w:pPr>
        <w:rPr>
          <w:szCs w:val="22"/>
        </w:rPr>
      </w:pPr>
    </w:p>
    <w:p w:rsidR="008D43BD" w:rsidP="008D43BD">
      <w:pPr>
        <w:rPr>
          <w:szCs w:val="22"/>
          <w:u w:val="single"/>
        </w:rPr>
      </w:pPr>
      <w:r w:rsidRPr="00405F86" w:rsidR="00A4080A">
        <w:rPr>
          <w:szCs w:val="22"/>
          <w:u w:val="single"/>
        </w:rPr>
        <w:t xml:space="preserve">Diluted solution </w:t>
      </w:r>
    </w:p>
    <w:p w:rsidR="008D43BD" w:rsidRPr="00F0126E" w:rsidP="008D43BD">
      <w:pPr>
        <w:rPr>
          <w:i/>
          <w:szCs w:val="22"/>
        </w:rPr>
      </w:pPr>
    </w:p>
    <w:p w:rsidR="008D43BD" w:rsidRPr="00F0126E" w:rsidP="008D43BD">
      <w:r w:rsidRPr="00F0126E" w:rsidR="00A4080A">
        <w:t>The reconstituted Kadcyla soluti</w:t>
      </w:r>
      <w:r w:rsidRPr="00F574CC" w:rsidR="00A4080A">
        <w:t>on diluted in infusion bags conta</w:t>
      </w:r>
      <w:r w:rsidRPr="00F0126E" w:rsidR="00A4080A">
        <w:t>ining sodium chloride 9 mg/</w:t>
      </w:r>
      <w:r w:rsidRPr="00174B40" w:rsidR="00A4080A">
        <w:t>mL (0.9%) solution for infusion, or so</w:t>
      </w:r>
      <w:r w:rsidRPr="00405F86" w:rsidR="00A4080A">
        <w:t>dium chloride 4.5 mg/mL (0.45%) solution</w:t>
      </w:r>
      <w:r w:rsidRPr="00F0126E" w:rsidR="00A4080A">
        <w:t xml:space="preserve"> for infusion, is stable for up to 24 hours at 2°C to 8°C, provided it was prepared under controlled and validated aseptic conditions. Particulates may be observed on storage if diluted in 0.9% sodium chloride (see section 6.6).</w:t>
      </w:r>
    </w:p>
    <w:p w:rsidR="008D43BD" w:rsidRPr="00123D7D" w:rsidP="008D43BD">
      <w:pPr>
        <w:rPr>
          <w:szCs w:val="22"/>
        </w:rPr>
      </w:pPr>
    </w:p>
    <w:p w:rsidR="008D43BD" w:rsidRPr="005F62B2" w:rsidP="008D43BD">
      <w:pPr>
        <w:ind w:left="567" w:hanging="567"/>
        <w:outlineLvl w:val="0"/>
        <w:rPr>
          <w:b/>
          <w:szCs w:val="22"/>
        </w:rPr>
      </w:pPr>
      <w:r w:rsidRPr="005F62B2" w:rsidR="00A4080A">
        <w:rPr>
          <w:b/>
          <w:szCs w:val="22"/>
        </w:rPr>
        <w:t>6.4</w:t>
        <w:tab/>
        <w:t>Special precautions for storage</w:t>
      </w:r>
    </w:p>
    <w:p w:rsidR="008D43BD" w:rsidRPr="005F62B2" w:rsidP="008D43BD">
      <w:pPr>
        <w:rPr>
          <w:szCs w:val="22"/>
        </w:rPr>
      </w:pPr>
    </w:p>
    <w:p w:rsidR="008D43BD" w:rsidRPr="005F62B2" w:rsidP="008D43BD">
      <w:pPr>
        <w:rPr>
          <w:szCs w:val="22"/>
        </w:rPr>
      </w:pPr>
      <w:r w:rsidRPr="005F62B2" w:rsidR="00A4080A">
        <w:rPr>
          <w:szCs w:val="22"/>
        </w:rPr>
        <w:t>Store in a refrigerator (2</w:t>
      </w:r>
      <w:r w:rsidRPr="005F62B2" w:rsidR="00A4080A">
        <w:rPr>
          <w:rFonts w:ascii="Symbol" w:hAnsi="Symbol"/>
          <w:szCs w:val="22"/>
        </w:rPr>
        <w:sym w:font="Symbol" w:char="F0B0"/>
      </w:r>
      <w:r w:rsidRPr="005F62B2" w:rsidR="00A4080A">
        <w:rPr>
          <w:szCs w:val="22"/>
        </w:rPr>
        <w:t>C – 8</w:t>
      </w:r>
      <w:r w:rsidRPr="005F62B2" w:rsidR="00A4080A">
        <w:rPr>
          <w:rFonts w:ascii="Symbol" w:hAnsi="Symbol"/>
          <w:szCs w:val="22"/>
        </w:rPr>
        <w:sym w:font="Symbol" w:char="F0B0"/>
      </w:r>
      <w:r w:rsidRPr="005F62B2" w:rsidR="00A4080A">
        <w:rPr>
          <w:szCs w:val="22"/>
        </w:rPr>
        <w:t>C).</w:t>
      </w:r>
    </w:p>
    <w:p w:rsidR="008D43BD" w:rsidRPr="005F62B2" w:rsidP="008D43BD">
      <w:pPr>
        <w:rPr>
          <w:szCs w:val="22"/>
        </w:rPr>
      </w:pPr>
    </w:p>
    <w:p w:rsidR="008D43BD" w:rsidRPr="005F62B2" w:rsidP="008D43BD">
      <w:pPr>
        <w:rPr>
          <w:szCs w:val="22"/>
        </w:rPr>
      </w:pPr>
      <w:r w:rsidRPr="005F62B2" w:rsidR="00A4080A">
        <w:rPr>
          <w:szCs w:val="22"/>
        </w:rPr>
        <w:t>For storage conditions after reconstitution and dilution of the medicinal product, see section 6.3.</w:t>
      </w:r>
    </w:p>
    <w:p w:rsidR="008D43BD" w:rsidRPr="00123D7D" w:rsidP="008D43BD">
      <w:pPr>
        <w:rPr>
          <w:szCs w:val="22"/>
        </w:rPr>
      </w:pPr>
    </w:p>
    <w:p w:rsidR="008D43BD" w:rsidRPr="005F62B2" w:rsidP="008D43BD">
      <w:pPr>
        <w:ind w:left="567" w:hanging="567"/>
        <w:outlineLvl w:val="0"/>
        <w:rPr>
          <w:b/>
          <w:szCs w:val="22"/>
        </w:rPr>
      </w:pPr>
      <w:r w:rsidRPr="005F62B2" w:rsidR="00A4080A">
        <w:rPr>
          <w:b/>
          <w:szCs w:val="22"/>
        </w:rPr>
        <w:t>6.5</w:t>
        <w:tab/>
        <w:t xml:space="preserve">Nature and contents of container </w:t>
      </w:r>
    </w:p>
    <w:p w:rsidR="008D43BD" w:rsidRPr="005F62B2" w:rsidP="008D43BD">
      <w:pPr>
        <w:rPr>
          <w:szCs w:val="22"/>
        </w:rPr>
      </w:pPr>
    </w:p>
    <w:p w:rsidR="008D43BD" w:rsidRPr="00405F86" w:rsidP="008D43BD">
      <w:pPr>
        <w:rPr>
          <w:szCs w:val="22"/>
          <w:u w:val="single"/>
        </w:rPr>
      </w:pPr>
      <w:r w:rsidRPr="00405F86" w:rsidR="00A4080A">
        <w:rPr>
          <w:szCs w:val="22"/>
          <w:u w:val="single"/>
        </w:rPr>
        <w:t>Kadcyla 100 mg powder for concentrate for solution for infusion</w:t>
      </w:r>
    </w:p>
    <w:p w:rsidR="008D43BD" w:rsidP="008D43BD">
      <w:pPr>
        <w:rPr>
          <w:szCs w:val="22"/>
        </w:rPr>
      </w:pPr>
    </w:p>
    <w:p w:rsidR="008D43BD" w:rsidRPr="00405F86" w:rsidP="008D43BD">
      <w:pPr>
        <w:rPr>
          <w:szCs w:val="22"/>
        </w:rPr>
      </w:pPr>
      <w:r w:rsidRPr="005F62B2" w:rsidR="00A4080A">
        <w:rPr>
          <w:szCs w:val="22"/>
        </w:rPr>
        <w:t xml:space="preserve">Kadcyla is provided in </w:t>
      </w:r>
      <w:r w:rsidRPr="00174B40" w:rsidR="00A4080A">
        <w:rPr>
          <w:szCs w:val="22"/>
        </w:rPr>
        <w:t>15 mL (100 mg) Type 1 glass vial closed with a grey-butyl rubber stopper coated with fluoro</w:t>
      </w:r>
      <w:r w:rsidRPr="00174B40" w:rsidR="00A4080A">
        <w:rPr>
          <w:szCs w:val="22"/>
        </w:rPr>
        <w:noBreakHyphen/>
        <w:t>resin laminate</w:t>
      </w:r>
      <w:r w:rsidRPr="00405F86" w:rsidR="00A4080A">
        <w:rPr>
          <w:szCs w:val="22"/>
        </w:rPr>
        <w:t xml:space="preserve">, and sealed with an aluminium seal with a white plastic flip-off cap. </w:t>
      </w:r>
    </w:p>
    <w:p w:rsidR="008D43BD" w:rsidRPr="00405F86" w:rsidP="008D43BD">
      <w:pPr>
        <w:rPr>
          <w:szCs w:val="22"/>
        </w:rPr>
      </w:pPr>
    </w:p>
    <w:p w:rsidR="008D43BD" w:rsidRPr="00405F86" w:rsidP="008D43BD">
      <w:pPr>
        <w:rPr>
          <w:szCs w:val="22"/>
        </w:rPr>
      </w:pPr>
      <w:r w:rsidRPr="00405F86" w:rsidR="00A4080A">
        <w:rPr>
          <w:szCs w:val="22"/>
        </w:rPr>
        <w:t>Pack of 1 vial.</w:t>
      </w:r>
    </w:p>
    <w:p w:rsidR="008D43BD" w:rsidRPr="00405F86" w:rsidP="008D43BD">
      <w:pPr>
        <w:rPr>
          <w:szCs w:val="22"/>
        </w:rPr>
      </w:pPr>
    </w:p>
    <w:p w:rsidR="008D43BD" w:rsidRPr="00405F86" w:rsidP="008D43BD">
      <w:pPr>
        <w:rPr>
          <w:szCs w:val="22"/>
          <w:u w:val="single"/>
        </w:rPr>
      </w:pPr>
      <w:r w:rsidRPr="00405F86" w:rsidR="00A4080A">
        <w:rPr>
          <w:szCs w:val="22"/>
          <w:u w:val="single"/>
        </w:rPr>
        <w:t>Kadcyla 160 mg powder for concentrate for solution for infusion</w:t>
      </w:r>
    </w:p>
    <w:p w:rsidR="008D43BD" w:rsidRPr="00174B40" w:rsidP="008D43BD">
      <w:pPr>
        <w:rPr>
          <w:szCs w:val="22"/>
        </w:rPr>
      </w:pPr>
    </w:p>
    <w:p w:rsidR="008D43BD" w:rsidP="008D43BD">
      <w:pPr>
        <w:rPr>
          <w:szCs w:val="22"/>
        </w:rPr>
      </w:pPr>
      <w:r w:rsidRPr="00405F86" w:rsidR="00A4080A">
        <w:rPr>
          <w:szCs w:val="22"/>
        </w:rPr>
        <w:t>Kadcyla is provided in 20 mL (160 mg) Type 1 glass vial closed with a grey-butyl rubber stopper coated with fluoro resin laminate</w:t>
      </w:r>
      <w:r w:rsidRPr="00FA0223" w:rsidR="00A4080A">
        <w:rPr>
          <w:szCs w:val="22"/>
        </w:rPr>
        <w:t>, and sealed with an aluminium seal with a purple plastic flip-off cap.</w:t>
      </w:r>
    </w:p>
    <w:p w:rsidR="008D43BD" w:rsidP="008D43BD">
      <w:pPr>
        <w:rPr>
          <w:szCs w:val="22"/>
        </w:rPr>
      </w:pPr>
    </w:p>
    <w:p w:rsidR="008D43BD" w:rsidP="008D43BD">
      <w:pPr>
        <w:rPr>
          <w:szCs w:val="22"/>
        </w:rPr>
      </w:pPr>
      <w:r w:rsidRPr="00FA0223" w:rsidR="00A4080A">
        <w:rPr>
          <w:szCs w:val="22"/>
        </w:rPr>
        <w:t>Pack of 1 vial.</w:t>
      </w:r>
    </w:p>
    <w:p w:rsidR="008D43BD" w:rsidRPr="005F62B2" w:rsidP="008D43BD">
      <w:pPr>
        <w:rPr>
          <w:szCs w:val="22"/>
        </w:rPr>
      </w:pPr>
    </w:p>
    <w:p w:rsidR="008D43BD" w:rsidRPr="005F62B2" w:rsidP="008D43BD">
      <w:pPr>
        <w:ind w:left="567" w:hanging="567"/>
        <w:outlineLvl w:val="0"/>
        <w:rPr>
          <w:szCs w:val="22"/>
        </w:rPr>
      </w:pPr>
      <w:r w:rsidRPr="005F62B2" w:rsidR="00A4080A">
        <w:rPr>
          <w:b/>
          <w:szCs w:val="22"/>
        </w:rPr>
        <w:t>6.6</w:t>
        <w:tab/>
        <w:t>Special precautions for disposal and other handling</w:t>
      </w:r>
    </w:p>
    <w:p w:rsidR="008D43BD" w:rsidRPr="005F62B2" w:rsidP="008D43BD">
      <w:pPr>
        <w:rPr>
          <w:b/>
          <w:szCs w:val="22"/>
        </w:rPr>
      </w:pPr>
    </w:p>
    <w:p w:rsidR="008D43BD" w:rsidRPr="005F62B2" w:rsidP="008D43BD">
      <w:pPr>
        <w:rPr>
          <w:szCs w:val="22"/>
        </w:rPr>
      </w:pPr>
      <w:r w:rsidRPr="005F62B2" w:rsidR="00A4080A">
        <w:rPr>
          <w:szCs w:val="22"/>
        </w:rPr>
        <w:t>Appropriate aseptic technique should be used. Appropriate procedures for the preparation of chemotherapeutic medicinal products should be used.</w:t>
      </w:r>
    </w:p>
    <w:p w:rsidR="008D43BD" w:rsidRPr="00A30921" w:rsidP="008D43BD"/>
    <w:p w:rsidR="008D43BD" w:rsidRPr="00A30921" w:rsidP="008D43BD">
      <w:pPr>
        <w:rPr>
          <w:szCs w:val="22"/>
        </w:rPr>
      </w:pPr>
      <w:r w:rsidRPr="00A30921" w:rsidR="00A4080A">
        <w:t>The reconstituted Kadcyla solution should be diluted in polyvinyl chloride (PVC) or latex</w:t>
      </w:r>
      <w:r w:rsidRPr="00A30921" w:rsidR="00A4080A">
        <w:noBreakHyphen/>
        <w:t>free PVC</w:t>
      </w:r>
      <w:r w:rsidRPr="00A30921" w:rsidR="00A4080A">
        <w:noBreakHyphen/>
        <w:t>free polyolefin infusion bags.</w:t>
      </w:r>
    </w:p>
    <w:p w:rsidR="008D43BD" w:rsidRPr="00A30921" w:rsidP="008D43BD">
      <w:pPr>
        <w:rPr>
          <w:szCs w:val="22"/>
        </w:rPr>
      </w:pPr>
    </w:p>
    <w:p w:rsidR="008D43BD" w:rsidRPr="00A30921" w:rsidP="008D43BD">
      <w:pPr>
        <w:rPr>
          <w:szCs w:val="22"/>
        </w:rPr>
      </w:pPr>
      <w:r w:rsidRPr="00A30921" w:rsidR="00A4080A">
        <w:rPr>
          <w:szCs w:val="22"/>
        </w:rPr>
        <w:t xml:space="preserve">The use of </w:t>
      </w:r>
      <w:r w:rsidR="00A4080A">
        <w:rPr>
          <w:szCs w:val="22"/>
        </w:rPr>
        <w:t xml:space="preserve">0.20 or </w:t>
      </w:r>
      <w:r w:rsidRPr="00A30921" w:rsidR="00A4080A">
        <w:rPr>
          <w:szCs w:val="22"/>
        </w:rPr>
        <w:t>0.22 micron in-line polyethersulfone (PES) filter is required for the infusion when the concentrate for infusion is diluted with sodium chloride 9 mg/</w:t>
      </w:r>
      <w:r w:rsidRPr="00174B40" w:rsidR="00A4080A">
        <w:rPr>
          <w:szCs w:val="22"/>
        </w:rPr>
        <w:t>mL</w:t>
      </w:r>
      <w:r w:rsidRPr="00A30921" w:rsidR="00A4080A">
        <w:rPr>
          <w:szCs w:val="22"/>
        </w:rPr>
        <w:t xml:space="preserve"> (0.9%) solution for infusion. </w:t>
      </w:r>
    </w:p>
    <w:p w:rsidR="008D43BD" w:rsidRPr="00A30921" w:rsidP="008D43BD">
      <w:pPr>
        <w:jc w:val="both"/>
        <w:rPr>
          <w:szCs w:val="22"/>
        </w:rPr>
      </w:pPr>
    </w:p>
    <w:p w:rsidR="008D43BD" w:rsidRPr="00405F86" w:rsidP="008D43BD">
      <w:pPr>
        <w:rPr>
          <w:szCs w:val="22"/>
        </w:rPr>
      </w:pPr>
      <w:r w:rsidRPr="00405F86" w:rsidR="00A4080A">
        <w:rPr>
          <w:szCs w:val="22"/>
        </w:rPr>
        <w:t xml:space="preserve">In order to prevent </w:t>
      </w:r>
      <w:r w:rsidR="00A4080A">
        <w:rPr>
          <w:szCs w:val="22"/>
        </w:rPr>
        <w:t xml:space="preserve">medicinal product </w:t>
      </w:r>
      <w:r w:rsidRPr="00405F86" w:rsidR="00A4080A">
        <w:rPr>
          <w:szCs w:val="22"/>
        </w:rPr>
        <w:t>errors it is important to check the vial labels to ensure that the medicinal product being prepared is Kadcyla (trastuzumab emtansine) and not Herceptin (trastuzumab).</w:t>
      </w:r>
    </w:p>
    <w:p w:rsidR="008D43BD" w:rsidRPr="005F62B2" w:rsidP="008D43BD">
      <w:pPr>
        <w:jc w:val="both"/>
        <w:rPr>
          <w:szCs w:val="22"/>
        </w:rPr>
      </w:pPr>
    </w:p>
    <w:p w:rsidR="008D43BD" w:rsidP="008D43BD">
      <w:pPr>
        <w:keepNext/>
        <w:keepLines/>
        <w:jc w:val="both"/>
        <w:rPr>
          <w:szCs w:val="22"/>
          <w:u w:val="single"/>
        </w:rPr>
      </w:pPr>
      <w:r w:rsidRPr="00405F86" w:rsidR="00A4080A">
        <w:rPr>
          <w:szCs w:val="22"/>
          <w:u w:val="single"/>
        </w:rPr>
        <w:t>Instructions for reconstitution</w:t>
      </w:r>
    </w:p>
    <w:p w:rsidR="008D43BD" w:rsidRPr="00405F86" w:rsidP="008D43BD">
      <w:pPr>
        <w:keepNext/>
        <w:keepLines/>
        <w:jc w:val="both"/>
        <w:rPr>
          <w:szCs w:val="22"/>
          <w:u w:val="single"/>
        </w:rPr>
      </w:pPr>
    </w:p>
    <w:p w:rsidR="008D43BD" w:rsidRPr="005F62B2" w:rsidP="008D43BD">
      <w:pPr>
        <w:keepNext/>
        <w:keepLines/>
        <w:ind w:left="357" w:hanging="357"/>
        <w:jc w:val="both"/>
        <w:rPr>
          <w:i/>
          <w:szCs w:val="22"/>
        </w:rPr>
      </w:pPr>
      <w:r w:rsidRPr="002D59C9" w:rsidR="00A4080A">
        <w:rPr>
          <w:rFonts w:ascii="Symbol" w:hAnsi="Symbol"/>
          <w:szCs w:val="22"/>
          <w:lang w:val="es-ES"/>
        </w:rPr>
        <w:sym w:font="Symbol" w:char="F0B7"/>
      </w:r>
      <w:r w:rsidRPr="00FF5E1A" w:rsidR="00A4080A">
        <w:rPr>
          <w:szCs w:val="24"/>
        </w:rPr>
        <w:tab/>
      </w:r>
      <w:r w:rsidRPr="005F62B2" w:rsidR="00A4080A">
        <w:rPr>
          <w:szCs w:val="22"/>
        </w:rPr>
        <w:t xml:space="preserve">100 mg trastuzumab emtansine vial: Using a sterile syringe, slowly inject 5 mL of sterile water for injection into the vial. </w:t>
      </w:r>
    </w:p>
    <w:p w:rsidR="008D43BD" w:rsidRPr="00CF5B1D" w:rsidP="008D43BD">
      <w:pPr>
        <w:keepNext/>
        <w:keepLines/>
        <w:ind w:left="357" w:hanging="357"/>
        <w:jc w:val="both"/>
        <w:rPr>
          <w:szCs w:val="22"/>
        </w:rPr>
      </w:pPr>
      <w:r w:rsidRPr="002D59C9" w:rsidR="00A4080A">
        <w:rPr>
          <w:rFonts w:ascii="Symbol" w:hAnsi="Symbol"/>
          <w:szCs w:val="22"/>
          <w:lang w:val="es-ES"/>
        </w:rPr>
        <w:sym w:font="Symbol" w:char="F0B7"/>
      </w:r>
      <w:r w:rsidRPr="00FF5E1A" w:rsidR="00A4080A">
        <w:rPr>
          <w:szCs w:val="24"/>
        </w:rPr>
        <w:tab/>
      </w:r>
      <w:r w:rsidRPr="00CF5B1D" w:rsidR="00A4080A">
        <w:rPr>
          <w:szCs w:val="22"/>
        </w:rPr>
        <w:t xml:space="preserve">160 mg trastuzumab emtansine vial: Using a sterile syringe, slowly inject 8 mL of sterile water for injection into the vial. </w:t>
      </w:r>
    </w:p>
    <w:p w:rsidR="008D43BD" w:rsidRPr="00CF5B1D" w:rsidP="008D43BD">
      <w:pPr>
        <w:keepNext/>
        <w:keepLines/>
        <w:ind w:left="357" w:hanging="357"/>
        <w:jc w:val="both"/>
        <w:rPr>
          <w:szCs w:val="22"/>
        </w:rPr>
      </w:pPr>
      <w:r w:rsidRPr="002D59C9" w:rsidR="00A4080A">
        <w:rPr>
          <w:rFonts w:ascii="Symbol" w:hAnsi="Symbol"/>
          <w:szCs w:val="22"/>
          <w:lang w:val="es-ES"/>
        </w:rPr>
        <w:sym w:font="Symbol" w:char="F0B7"/>
      </w:r>
      <w:r w:rsidRPr="00FF5E1A" w:rsidR="00A4080A">
        <w:rPr>
          <w:szCs w:val="24"/>
        </w:rPr>
        <w:tab/>
      </w:r>
      <w:r w:rsidRPr="00CF5B1D" w:rsidR="00A4080A">
        <w:rPr>
          <w:szCs w:val="22"/>
        </w:rPr>
        <w:t xml:space="preserve">Swirl the vial gently until completely dissolved. Do not shake. </w:t>
      </w:r>
    </w:p>
    <w:p w:rsidR="008D43BD" w:rsidRPr="00CF5B1D" w:rsidP="008D43BD">
      <w:pPr>
        <w:rPr>
          <w:szCs w:val="22"/>
        </w:rPr>
      </w:pPr>
    </w:p>
    <w:p w:rsidR="008D43BD" w:rsidRPr="00CF5B1D" w:rsidP="008D43BD">
      <w:pPr>
        <w:rPr>
          <w:szCs w:val="22"/>
        </w:rPr>
      </w:pPr>
      <w:r w:rsidRPr="00CF5B1D" w:rsidR="00A4080A">
        <w:rPr>
          <w:szCs w:val="22"/>
        </w:rPr>
        <w:t>Reconstituted solution should be inspected visually for particulate matter and discolouration prior to administration. The reconstituted solution should be free of visible particulates, clear to slightly opalescent. The colour of the reconstituted solution should be colourless to pale brown. Do not use if the reconstituted solution contains visible particulates, or is cloudy or discoloured.</w:t>
      </w:r>
    </w:p>
    <w:p w:rsidR="008D43BD" w:rsidRPr="00CF5B1D" w:rsidP="008D43BD">
      <w:pPr>
        <w:rPr>
          <w:szCs w:val="22"/>
        </w:rPr>
      </w:pPr>
    </w:p>
    <w:p w:rsidR="008D43BD" w:rsidP="008D43BD">
      <w:pPr>
        <w:rPr>
          <w:szCs w:val="22"/>
          <w:u w:val="single"/>
        </w:rPr>
      </w:pPr>
      <w:r w:rsidRPr="00405F86" w:rsidR="00A4080A">
        <w:rPr>
          <w:szCs w:val="22"/>
          <w:u w:val="single"/>
        </w:rPr>
        <w:t>Instructions for dilution</w:t>
      </w:r>
    </w:p>
    <w:p w:rsidR="008D43BD" w:rsidRPr="00405F86" w:rsidP="008D43BD">
      <w:pPr>
        <w:rPr>
          <w:szCs w:val="22"/>
          <w:u w:val="single"/>
        </w:rPr>
      </w:pPr>
    </w:p>
    <w:p w:rsidR="008D43BD" w:rsidRPr="005F62B2" w:rsidP="008D43BD">
      <w:pPr>
        <w:rPr>
          <w:szCs w:val="22"/>
        </w:rPr>
      </w:pPr>
      <w:r w:rsidRPr="005F62B2" w:rsidR="00A4080A">
        <w:rPr>
          <w:szCs w:val="22"/>
        </w:rPr>
        <w:t>Determine the volume of the reconstituted solution required based on a dose of 3.6 mg trastuzumab emtansine/kg body weight (see section 4.2):</w:t>
      </w:r>
    </w:p>
    <w:p w:rsidR="008D43BD" w:rsidRPr="005F62B2" w:rsidP="008D43BD">
      <w:pPr>
        <w:rPr>
          <w:szCs w:val="22"/>
        </w:rPr>
      </w:pPr>
    </w:p>
    <w:p w:rsidR="008D43BD" w:rsidRPr="005F62B2" w:rsidP="008D43BD">
      <w:pPr>
        <w:keepNext/>
        <w:rPr>
          <w:szCs w:val="22"/>
        </w:rPr>
      </w:pPr>
      <w:r w:rsidRPr="005F62B2" w:rsidR="00A4080A">
        <w:rPr>
          <w:b/>
          <w:szCs w:val="22"/>
        </w:rPr>
        <w:t>Volume</w:t>
      </w:r>
      <w:r w:rsidRPr="005F62B2" w:rsidR="00A4080A">
        <w:rPr>
          <w:szCs w:val="22"/>
        </w:rPr>
        <w:t xml:space="preserve"> (mL) = </w:t>
      </w:r>
      <w:r w:rsidRPr="005F62B2" w:rsidR="00A4080A">
        <w:rPr>
          <w:i/>
          <w:szCs w:val="22"/>
          <w:u w:val="single"/>
        </w:rPr>
        <w:t>Total dose to be administered</w:t>
      </w:r>
      <w:r w:rsidRPr="005F62B2" w:rsidR="00A4080A">
        <w:rPr>
          <w:szCs w:val="22"/>
          <w:u w:val="single"/>
        </w:rPr>
        <w:t xml:space="preserve"> (</w:t>
      </w:r>
      <w:r w:rsidRPr="005F62B2" w:rsidR="00A4080A">
        <w:rPr>
          <w:b/>
          <w:szCs w:val="22"/>
          <w:u w:val="single"/>
        </w:rPr>
        <w:t>body weight</w:t>
      </w:r>
      <w:r w:rsidRPr="005F62B2" w:rsidR="00A4080A">
        <w:rPr>
          <w:szCs w:val="22"/>
          <w:u w:val="single"/>
        </w:rPr>
        <w:t xml:space="preserve"> (kg) x </w:t>
      </w:r>
      <w:r w:rsidRPr="005F62B2" w:rsidR="00A4080A">
        <w:rPr>
          <w:b/>
          <w:szCs w:val="22"/>
          <w:u w:val="single"/>
        </w:rPr>
        <w:t>dose</w:t>
      </w:r>
      <w:r w:rsidRPr="005F62B2" w:rsidR="00A4080A">
        <w:rPr>
          <w:szCs w:val="22"/>
          <w:u w:val="single"/>
        </w:rPr>
        <w:t xml:space="preserve"> (mg/kg))</w:t>
      </w:r>
      <w:r w:rsidRPr="005F62B2" w:rsidR="00A4080A">
        <w:rPr>
          <w:szCs w:val="22"/>
        </w:rPr>
        <w:t xml:space="preserve"> </w:t>
      </w:r>
    </w:p>
    <w:p w:rsidR="008D43BD" w:rsidRPr="005F62B2" w:rsidP="008D43BD">
      <w:pPr>
        <w:keepNext/>
        <w:tabs>
          <w:tab w:val="left" w:pos="1418"/>
        </w:tabs>
        <w:rPr>
          <w:szCs w:val="22"/>
        </w:rPr>
      </w:pPr>
      <w:r w:rsidRPr="005F62B2" w:rsidR="00A4080A">
        <w:rPr>
          <w:szCs w:val="22"/>
        </w:rPr>
        <w:tab/>
        <w:t xml:space="preserve">          </w:t>
      </w:r>
      <w:r w:rsidRPr="005F62B2" w:rsidR="00A4080A">
        <w:rPr>
          <w:b/>
          <w:szCs w:val="22"/>
        </w:rPr>
        <w:t>20</w:t>
      </w:r>
      <w:r w:rsidRPr="005F62B2" w:rsidR="00A4080A">
        <w:rPr>
          <w:szCs w:val="22"/>
        </w:rPr>
        <w:t xml:space="preserve"> (mg/mL, concentration of reconstituted solution)</w:t>
      </w:r>
    </w:p>
    <w:p w:rsidR="008D43BD" w:rsidRPr="005F62B2" w:rsidP="008D43BD">
      <w:pPr>
        <w:rPr>
          <w:b/>
          <w:szCs w:val="22"/>
          <w:u w:val="single"/>
        </w:rPr>
      </w:pPr>
    </w:p>
    <w:p w:rsidR="008D43BD" w:rsidP="008D43BD">
      <w:pPr>
        <w:rPr>
          <w:szCs w:val="22"/>
        </w:rPr>
      </w:pPr>
      <w:r w:rsidRPr="005F62B2" w:rsidR="00A4080A">
        <w:rPr>
          <w:szCs w:val="22"/>
        </w:rPr>
        <w:t>The appropriate amount of solution should be withdrawn from the vial and added to an infusion bag containing 250 mL of sodium chloride 4.5 mg/</w:t>
      </w:r>
      <w:r w:rsidRPr="00174B40" w:rsidR="00A4080A">
        <w:rPr>
          <w:szCs w:val="22"/>
        </w:rPr>
        <w:t>mL</w:t>
      </w:r>
      <w:r w:rsidRPr="005F62B2" w:rsidR="00A4080A">
        <w:rPr>
          <w:szCs w:val="22"/>
        </w:rPr>
        <w:t xml:space="preserve"> (0.45%) solution for infusion or sodium chloride 9 mg/</w:t>
      </w:r>
      <w:r w:rsidRPr="00174B40" w:rsidR="00A4080A">
        <w:rPr>
          <w:szCs w:val="22"/>
        </w:rPr>
        <w:t>mL (0.9%) solution for infusion. Glucose (5%) solution should not be used (see section 6.2). Sodium chloride 4.5 mg/</w:t>
      </w:r>
      <w:r w:rsidRPr="00405F86" w:rsidR="00A4080A">
        <w:rPr>
          <w:szCs w:val="22"/>
        </w:rPr>
        <w:t>mL (0.45%) solution for infusion may be used without a polyethersulfo</w:t>
      </w:r>
      <w:r w:rsidRPr="00405F86" w:rsidR="00A4080A">
        <w:rPr>
          <w:szCs w:val="22"/>
        </w:rPr>
        <w:t>ne (PES) 0.20 or 0.22</w:t>
      </w:r>
      <w:r w:rsidRPr="00405F86" w:rsidR="00A4080A">
        <w:rPr>
          <w:szCs w:val="22"/>
        </w:rPr>
        <w:noBreakHyphen/>
        <w:t>μm in</w:t>
      </w:r>
      <w:r w:rsidRPr="00405F86" w:rsidR="00A4080A">
        <w:rPr>
          <w:szCs w:val="22"/>
        </w:rPr>
        <w:noBreakHyphen/>
        <w:t>line filter. If sodium chloride 9 mg/mL (0.9%) solution for infusion is used for infusion, a 0.20 or 0.22 micron in-line polyethersulfone (PES) filter</w:t>
      </w:r>
      <w:r w:rsidRPr="005F62B2" w:rsidR="00A4080A">
        <w:rPr>
          <w:szCs w:val="22"/>
        </w:rPr>
        <w:t xml:space="preserve"> is required. Once the infusion is prepared it should be administered immediat</w:t>
      </w:r>
      <w:r w:rsidRPr="005F62B2" w:rsidR="00A4080A">
        <w:rPr>
          <w:szCs w:val="22"/>
        </w:rPr>
        <w:t>ely. Do not freeze or shake the infusion during storage</w:t>
      </w:r>
      <w:r w:rsidR="00A4080A">
        <w:rPr>
          <w:szCs w:val="22"/>
        </w:rPr>
        <w:t xml:space="preserve">. </w:t>
      </w:r>
    </w:p>
    <w:p w:rsidR="008D43BD" w:rsidRPr="005F62B2" w:rsidP="008D43BD">
      <w:pPr>
        <w:rPr>
          <w:i/>
          <w:szCs w:val="22"/>
        </w:rPr>
      </w:pPr>
    </w:p>
    <w:p w:rsidR="008D43BD" w:rsidP="008D43BD">
      <w:pPr>
        <w:rPr>
          <w:szCs w:val="22"/>
          <w:u w:val="single"/>
        </w:rPr>
      </w:pPr>
      <w:r w:rsidRPr="00405F86" w:rsidR="00A4080A">
        <w:rPr>
          <w:szCs w:val="22"/>
          <w:u w:val="single"/>
        </w:rPr>
        <w:t>Disposal</w:t>
      </w:r>
    </w:p>
    <w:p w:rsidR="008D43BD" w:rsidRPr="00405F86" w:rsidP="008D43BD">
      <w:pPr>
        <w:rPr>
          <w:szCs w:val="22"/>
          <w:u w:val="single"/>
        </w:rPr>
      </w:pPr>
    </w:p>
    <w:p w:rsidR="008D43BD" w:rsidRPr="005F62B2" w:rsidP="008D43BD">
      <w:pPr>
        <w:rPr>
          <w:szCs w:val="22"/>
        </w:rPr>
      </w:pPr>
      <w:r w:rsidRPr="005F62B2" w:rsidR="00A4080A">
        <w:rPr>
          <w:szCs w:val="22"/>
        </w:rPr>
        <w:t>The reconstituted product contains no preservative and is intended for single use only. Discard any unused portion.</w:t>
      </w:r>
    </w:p>
    <w:p w:rsidR="008D43BD" w:rsidRPr="005F62B2" w:rsidP="008D43BD">
      <w:pPr>
        <w:rPr>
          <w:szCs w:val="22"/>
        </w:rPr>
      </w:pPr>
    </w:p>
    <w:p w:rsidR="008D43BD" w:rsidRPr="005F62B2" w:rsidP="008D43BD">
      <w:pPr>
        <w:rPr>
          <w:szCs w:val="22"/>
        </w:rPr>
      </w:pPr>
      <w:r w:rsidRPr="005F62B2" w:rsidR="00A4080A">
        <w:rPr>
          <w:szCs w:val="22"/>
        </w:rPr>
        <w:t>Any unused medicinal product or waste material should be disposed of in accordance with local requirements.</w:t>
      </w:r>
    </w:p>
    <w:p w:rsidR="008D43BD" w:rsidRPr="005F62B2" w:rsidP="008D43BD">
      <w:pPr>
        <w:rPr>
          <w:szCs w:val="22"/>
        </w:rPr>
      </w:pPr>
    </w:p>
    <w:p w:rsidR="008D43BD" w:rsidRPr="005F62B2" w:rsidP="008D43BD">
      <w:pPr>
        <w:rPr>
          <w:szCs w:val="22"/>
        </w:rPr>
      </w:pPr>
    </w:p>
    <w:p w:rsidR="008D43BD" w:rsidRPr="005F62B2" w:rsidP="008D43BD">
      <w:pPr>
        <w:keepNext/>
        <w:keepLines/>
        <w:ind w:left="567" w:hanging="567"/>
        <w:rPr>
          <w:szCs w:val="22"/>
        </w:rPr>
      </w:pPr>
      <w:r w:rsidRPr="005F62B2" w:rsidR="00A4080A">
        <w:rPr>
          <w:b/>
          <w:szCs w:val="22"/>
        </w:rPr>
        <w:t>7.</w:t>
        <w:tab/>
        <w:t>MARKETING AUTHORISATION HOLDER</w:t>
      </w:r>
    </w:p>
    <w:p w:rsidR="008D43BD" w:rsidRPr="005F62B2" w:rsidP="008D43BD">
      <w:pPr>
        <w:rPr>
          <w:szCs w:val="22"/>
        </w:rPr>
      </w:pPr>
    </w:p>
    <w:p w:rsidR="008D43BD" w:rsidRPr="00442D9B" w:rsidP="008D43BD">
      <w:pPr>
        <w:rPr>
          <w:szCs w:val="22"/>
        </w:rPr>
      </w:pPr>
      <w:r w:rsidRPr="00442D9B" w:rsidR="00A4080A">
        <w:rPr>
          <w:szCs w:val="22"/>
        </w:rPr>
        <w:t xml:space="preserve">Roche Registration GmbH </w:t>
      </w:r>
    </w:p>
    <w:p w:rsidR="008D43BD" w:rsidRPr="00A4080A" w:rsidP="008D43BD">
      <w:pPr>
        <w:rPr>
          <w:szCs w:val="22"/>
          <w:lang w:val="en-029"/>
        </w:rPr>
      </w:pPr>
      <w:r w:rsidRPr="00A4080A" w:rsidR="00A4080A">
        <w:rPr>
          <w:szCs w:val="22"/>
          <w:lang w:val="en-029"/>
        </w:rPr>
        <w:t>Emil-Barell-Strasse 1</w:t>
      </w:r>
    </w:p>
    <w:p w:rsidR="008D43BD" w:rsidRPr="00A4080A" w:rsidP="008D43BD">
      <w:pPr>
        <w:rPr>
          <w:szCs w:val="22"/>
          <w:lang w:val="en-029"/>
        </w:rPr>
      </w:pPr>
      <w:r w:rsidRPr="00A4080A" w:rsidR="00A4080A">
        <w:rPr>
          <w:szCs w:val="22"/>
          <w:lang w:val="en-029"/>
        </w:rPr>
        <w:t>79639 Grenzach-Wyhlen</w:t>
      </w:r>
    </w:p>
    <w:p w:rsidR="008D43BD" w:rsidRPr="00A4080A" w:rsidP="008D43BD">
      <w:pPr>
        <w:rPr>
          <w:szCs w:val="22"/>
          <w:lang w:val="en-029"/>
        </w:rPr>
      </w:pPr>
      <w:r w:rsidRPr="00A4080A" w:rsidR="00A4080A">
        <w:rPr>
          <w:szCs w:val="22"/>
          <w:lang w:val="en-029"/>
        </w:rPr>
        <w:t>Germany</w:t>
      </w:r>
    </w:p>
    <w:p w:rsidR="008D43BD" w:rsidRPr="00A4080A" w:rsidP="008D43BD">
      <w:pPr>
        <w:rPr>
          <w:szCs w:val="22"/>
          <w:lang w:val="en-029"/>
        </w:rPr>
      </w:pPr>
    </w:p>
    <w:p w:rsidR="008D43BD" w:rsidRPr="00A4080A" w:rsidP="008D43BD">
      <w:pPr>
        <w:rPr>
          <w:szCs w:val="22"/>
          <w:lang w:val="en-029"/>
        </w:rPr>
      </w:pPr>
    </w:p>
    <w:p w:rsidR="008D43BD" w:rsidRPr="005F62B2" w:rsidP="008D43BD">
      <w:pPr>
        <w:rPr>
          <w:b/>
          <w:szCs w:val="22"/>
        </w:rPr>
      </w:pPr>
      <w:r w:rsidRPr="005F62B2" w:rsidR="00A4080A">
        <w:rPr>
          <w:b/>
          <w:szCs w:val="22"/>
        </w:rPr>
        <w:t>8.</w:t>
        <w:tab/>
        <w:t>MARKETING AUTHORISATION NUMBER(S)</w:t>
      </w:r>
    </w:p>
    <w:p w:rsidR="008D43BD" w:rsidRPr="005F62B2" w:rsidP="008D43BD">
      <w:pPr>
        <w:rPr>
          <w:szCs w:val="22"/>
        </w:rPr>
      </w:pPr>
    </w:p>
    <w:p w:rsidR="008D43BD" w:rsidP="008D43BD">
      <w:pPr>
        <w:rPr>
          <w:color w:val="000000"/>
        </w:rPr>
      </w:pPr>
      <w:r w:rsidRPr="003615CB" w:rsidR="00A4080A">
        <w:rPr>
          <w:color w:val="000000"/>
        </w:rPr>
        <w:t>EU/1/13/885/001</w:t>
      </w:r>
    </w:p>
    <w:p w:rsidR="008D43BD" w:rsidP="008D43BD">
      <w:pPr>
        <w:rPr>
          <w:color w:val="000000"/>
        </w:rPr>
      </w:pPr>
      <w:r w:rsidRPr="003615CB" w:rsidR="00A4080A">
        <w:rPr>
          <w:color w:val="000000"/>
        </w:rPr>
        <w:t>EU/1/13/885/002</w:t>
      </w:r>
    </w:p>
    <w:p w:rsidR="008D43BD" w:rsidP="008D43BD">
      <w:pPr>
        <w:rPr>
          <w:szCs w:val="22"/>
        </w:rPr>
      </w:pPr>
    </w:p>
    <w:p w:rsidR="008D43BD" w:rsidRPr="005F62B2" w:rsidP="008D43BD">
      <w:pPr>
        <w:rPr>
          <w:szCs w:val="22"/>
        </w:rPr>
      </w:pPr>
    </w:p>
    <w:p w:rsidR="008D43BD" w:rsidRPr="005F62B2" w:rsidP="008D43BD">
      <w:pPr>
        <w:suppressLineNumbers/>
        <w:ind w:left="567" w:hanging="567"/>
        <w:rPr>
          <w:noProof/>
          <w:szCs w:val="22"/>
        </w:rPr>
      </w:pPr>
      <w:r w:rsidRPr="005F62B2" w:rsidR="00A4080A">
        <w:rPr>
          <w:b/>
          <w:noProof/>
          <w:szCs w:val="22"/>
        </w:rPr>
        <w:t>9.</w:t>
        <w:tab/>
        <w:t>DATE OF FIRST AUTHORISATION/RENEWAL OF THE AUTHORISATION</w:t>
      </w:r>
    </w:p>
    <w:p w:rsidR="008D43BD" w:rsidRPr="005F62B2" w:rsidP="008D43BD">
      <w:pPr>
        <w:suppressLineNumbers/>
        <w:rPr>
          <w:i/>
          <w:noProof/>
          <w:szCs w:val="22"/>
        </w:rPr>
      </w:pPr>
    </w:p>
    <w:p w:rsidR="008D43BD" w:rsidP="008D43BD">
      <w:pPr>
        <w:suppressLineNumbers/>
        <w:rPr>
          <w:iCs/>
          <w:noProof/>
          <w:szCs w:val="22"/>
        </w:rPr>
      </w:pPr>
      <w:r w:rsidRPr="00CD2DD8" w:rsidR="00A4080A">
        <w:rPr>
          <w:iCs/>
          <w:noProof/>
          <w:szCs w:val="22"/>
        </w:rPr>
        <w:t>Date of first authorisation: 15 November 2013</w:t>
      </w:r>
    </w:p>
    <w:p w:rsidR="008D43BD" w:rsidRPr="00CD2DD8" w:rsidP="008D43BD">
      <w:pPr>
        <w:suppressLineNumbers/>
        <w:rPr>
          <w:iCs/>
          <w:noProof/>
          <w:szCs w:val="22"/>
        </w:rPr>
      </w:pPr>
      <w:r w:rsidRPr="00442D9B" w:rsidR="00A4080A">
        <w:rPr>
          <w:iCs/>
          <w:noProof/>
          <w:szCs w:val="22"/>
        </w:rPr>
        <w:t>Date of latest renewal:</w:t>
      </w:r>
      <w:r w:rsidR="00A4080A">
        <w:rPr>
          <w:iCs/>
          <w:noProof/>
          <w:szCs w:val="22"/>
        </w:rPr>
        <w:t xml:space="preserve"> 17 September 2018</w:t>
      </w:r>
    </w:p>
    <w:p w:rsidR="008D43BD" w:rsidP="008D43BD">
      <w:pPr>
        <w:suppressLineNumbers/>
        <w:rPr>
          <w:i/>
          <w:noProof/>
          <w:szCs w:val="22"/>
        </w:rPr>
      </w:pPr>
    </w:p>
    <w:p w:rsidR="008D43BD" w:rsidRPr="005F62B2" w:rsidP="008D43BD">
      <w:pPr>
        <w:suppressLineNumbers/>
        <w:rPr>
          <w:i/>
          <w:noProof/>
          <w:szCs w:val="22"/>
        </w:rPr>
      </w:pPr>
    </w:p>
    <w:p w:rsidR="008D43BD" w:rsidRPr="005F62B2" w:rsidP="008D43BD">
      <w:pPr>
        <w:suppressLineNumbers/>
        <w:ind w:left="567" w:hanging="567"/>
        <w:rPr>
          <w:b/>
          <w:noProof/>
          <w:szCs w:val="22"/>
        </w:rPr>
      </w:pPr>
      <w:r w:rsidRPr="005F62B2" w:rsidR="00A4080A">
        <w:rPr>
          <w:b/>
          <w:noProof/>
          <w:szCs w:val="22"/>
        </w:rPr>
        <w:t>10.</w:t>
        <w:tab/>
        <w:t>DATE OF REVISION OF THE TEXT</w:t>
      </w:r>
    </w:p>
    <w:p w:rsidR="008D43BD" w:rsidRPr="005F62B2" w:rsidP="008D43BD">
      <w:pPr>
        <w:suppressLineNumbers/>
        <w:rPr>
          <w:noProof/>
          <w:szCs w:val="22"/>
        </w:rPr>
      </w:pPr>
    </w:p>
    <w:p w:rsidR="008D43BD" w:rsidRPr="005F62B2" w:rsidP="008D43BD">
      <w:pPr>
        <w:numPr>
          <w:ilvl w:val="12"/>
          <w:numId w:val="0"/>
        </w:numPr>
        <w:suppressLineNumbers/>
        <w:ind w:right="-2"/>
        <w:rPr>
          <w:noProof/>
          <w:szCs w:val="22"/>
        </w:rPr>
      </w:pPr>
      <w:r w:rsidRPr="005F62B2" w:rsidR="00A4080A">
        <w:rPr>
          <w:iCs/>
          <w:noProof/>
          <w:szCs w:val="22"/>
        </w:rPr>
        <w:t xml:space="preserve">Detailed information on this medicinal product </w:t>
      </w:r>
      <w:r w:rsidRPr="005F62B2" w:rsidR="00A4080A">
        <w:rPr>
          <w:noProof/>
          <w:szCs w:val="22"/>
        </w:rPr>
        <w:t xml:space="preserve">is available on the website of the European Medicines Agency </w:t>
      </w:r>
      <w:r w:rsidR="00BB453D">
        <w:fldChar w:fldCharType="begin"/>
      </w:r>
      <w:r w:rsidR="00BB453D">
        <w:instrText xml:space="preserve"> HYPERLINK "http://www.ema.europa.eu" </w:instrText>
      </w:r>
      <w:r w:rsidR="00BB453D">
        <w:fldChar w:fldCharType="separate"/>
      </w:r>
      <w:r w:rsidRPr="005F62B2" w:rsidR="00A4080A">
        <w:rPr>
          <w:rStyle w:val="Hyperlink"/>
          <w:szCs w:val="22"/>
        </w:rPr>
        <w:t>http://www.ema.europa.eu</w:t>
      </w:r>
      <w:r w:rsidR="00BB453D">
        <w:rPr>
          <w:rStyle w:val="Hyperlink"/>
          <w:szCs w:val="22"/>
        </w:rPr>
        <w:fldChar w:fldCharType="end"/>
      </w:r>
      <w:r w:rsidRPr="005F62B2" w:rsidR="00A4080A">
        <w:rPr>
          <w:noProof/>
          <w:color w:val="0000FF"/>
          <w:szCs w:val="22"/>
        </w:rPr>
        <w:t>.</w:t>
      </w:r>
    </w:p>
    <w:p w:rsidR="008D43BD" w:rsidRPr="005F62B2" w:rsidP="008D43BD">
      <w:pPr>
        <w:rPr>
          <w:noProof/>
          <w:szCs w:val="22"/>
        </w:rPr>
      </w:pPr>
      <w:r w:rsidRPr="005F62B2" w:rsidR="00A4080A">
        <w:rPr>
          <w:noProof/>
          <w:szCs w:val="22"/>
        </w:rPr>
        <w:br w:type="page"/>
      </w:r>
    </w:p>
    <w:p w:rsidR="008D43BD" w:rsidRPr="005F62B2" w:rsidP="008D43BD">
      <w:pPr>
        <w:rPr>
          <w:noProof/>
          <w:szCs w:val="22"/>
        </w:rPr>
      </w:pPr>
    </w:p>
    <w:p w:rsidR="008D43BD" w:rsidRPr="005F62B2" w:rsidP="008D43BD">
      <w:pPr>
        <w:rPr>
          <w:noProof/>
          <w:szCs w:val="22"/>
        </w:rPr>
      </w:pPr>
    </w:p>
    <w:p w:rsidR="008D43BD" w:rsidP="008D43BD">
      <w:pPr>
        <w:rPr>
          <w:szCs w:val="22"/>
        </w:rPr>
      </w:pPr>
    </w:p>
    <w:p w:rsidR="008D43BD" w:rsidP="008D43BD">
      <w:pPr>
        <w:rPr>
          <w:szCs w:val="22"/>
        </w:rPr>
      </w:pPr>
    </w:p>
    <w:p w:rsidR="008D43BD" w:rsidP="008D43BD">
      <w:pPr>
        <w:rPr>
          <w:szCs w:val="22"/>
        </w:rPr>
      </w:pPr>
    </w:p>
    <w:p w:rsidR="008D43BD" w:rsidRPr="005F62B2" w:rsidP="008D43BD">
      <w:pPr>
        <w:rPr>
          <w:szCs w:val="22"/>
        </w:rPr>
      </w:pPr>
    </w:p>
    <w:p w:rsidR="008D43BD" w:rsidRPr="005F62B2" w:rsidP="008D43BD">
      <w:pPr>
        <w:rPr>
          <w:szCs w:val="22"/>
        </w:rPr>
      </w:pPr>
    </w:p>
    <w:p w:rsidR="008D43BD" w:rsidRPr="0002271E" w:rsidP="008D43BD">
      <w:pPr>
        <w:tabs>
          <w:tab w:val="left" w:pos="567"/>
        </w:tabs>
        <w:spacing w:line="260" w:lineRule="exact"/>
        <w:rPr>
          <w:noProof/>
          <w:szCs w:val="22"/>
          <w:lang w:eastAsia="en-US"/>
        </w:rPr>
      </w:pPr>
    </w:p>
    <w:p w:rsidR="008D43BD" w:rsidRPr="0002271E" w:rsidP="008D43BD">
      <w:pPr>
        <w:tabs>
          <w:tab w:val="left" w:pos="567"/>
        </w:tabs>
        <w:spacing w:line="260" w:lineRule="exact"/>
        <w:rPr>
          <w:noProof/>
          <w:szCs w:val="22"/>
          <w:lang w:eastAsia="en-US"/>
        </w:rPr>
      </w:pPr>
    </w:p>
    <w:p w:rsidR="008D43BD" w:rsidP="008D43BD">
      <w:pPr>
        <w:tabs>
          <w:tab w:val="left" w:pos="567"/>
        </w:tabs>
        <w:spacing w:line="260" w:lineRule="exact"/>
        <w:rPr>
          <w:noProof/>
          <w:szCs w:val="22"/>
          <w:lang w:eastAsia="en-US"/>
        </w:rPr>
      </w:pPr>
    </w:p>
    <w:p w:rsidR="008D43BD" w:rsidP="008D43BD">
      <w:pPr>
        <w:tabs>
          <w:tab w:val="left" w:pos="567"/>
        </w:tabs>
        <w:spacing w:line="260" w:lineRule="exact"/>
        <w:rPr>
          <w:noProof/>
          <w:szCs w:val="22"/>
          <w:lang w:eastAsia="en-US"/>
        </w:rPr>
      </w:pPr>
    </w:p>
    <w:p w:rsidR="008D43BD" w:rsidP="008D43BD">
      <w:pPr>
        <w:tabs>
          <w:tab w:val="left" w:pos="567"/>
        </w:tabs>
        <w:spacing w:line="260" w:lineRule="exact"/>
        <w:rPr>
          <w:noProof/>
          <w:szCs w:val="22"/>
          <w:lang w:eastAsia="en-US"/>
        </w:rPr>
      </w:pPr>
    </w:p>
    <w:p w:rsidR="008D43BD" w:rsidP="008D43BD">
      <w:pPr>
        <w:tabs>
          <w:tab w:val="left" w:pos="567"/>
        </w:tabs>
        <w:spacing w:line="260" w:lineRule="exact"/>
        <w:rPr>
          <w:noProof/>
          <w:szCs w:val="22"/>
          <w:lang w:eastAsia="en-US"/>
        </w:rPr>
      </w:pPr>
    </w:p>
    <w:p w:rsidR="008D43BD" w:rsidP="008D43BD">
      <w:pPr>
        <w:tabs>
          <w:tab w:val="left" w:pos="567"/>
        </w:tabs>
        <w:spacing w:line="260" w:lineRule="exact"/>
        <w:rPr>
          <w:noProof/>
          <w:szCs w:val="22"/>
          <w:lang w:eastAsia="en-US"/>
        </w:rPr>
      </w:pPr>
    </w:p>
    <w:p w:rsidR="008D43BD" w:rsidP="008D43BD">
      <w:pPr>
        <w:tabs>
          <w:tab w:val="left" w:pos="567"/>
        </w:tabs>
        <w:spacing w:line="260" w:lineRule="exact"/>
        <w:rPr>
          <w:noProof/>
          <w:szCs w:val="22"/>
          <w:lang w:eastAsia="en-US"/>
        </w:rPr>
      </w:pPr>
    </w:p>
    <w:p w:rsidR="008D43BD" w:rsidP="008D43BD">
      <w:pPr>
        <w:tabs>
          <w:tab w:val="left" w:pos="567"/>
        </w:tabs>
        <w:spacing w:line="260" w:lineRule="exact"/>
        <w:rPr>
          <w:noProof/>
          <w:szCs w:val="22"/>
          <w:lang w:eastAsia="en-US"/>
        </w:rPr>
      </w:pPr>
    </w:p>
    <w:p w:rsidR="008D43BD" w:rsidP="008D43BD">
      <w:pPr>
        <w:tabs>
          <w:tab w:val="left" w:pos="567"/>
        </w:tabs>
        <w:spacing w:line="260" w:lineRule="exact"/>
        <w:rPr>
          <w:noProof/>
          <w:szCs w:val="22"/>
          <w:lang w:eastAsia="en-US"/>
        </w:rPr>
      </w:pPr>
    </w:p>
    <w:p w:rsidR="008D43BD" w:rsidP="008D43BD">
      <w:pPr>
        <w:tabs>
          <w:tab w:val="left" w:pos="567"/>
        </w:tabs>
        <w:spacing w:line="260" w:lineRule="exact"/>
        <w:rPr>
          <w:noProof/>
          <w:szCs w:val="22"/>
          <w:lang w:eastAsia="en-US"/>
        </w:rPr>
      </w:pPr>
    </w:p>
    <w:p w:rsidR="008D43BD" w:rsidP="008D43BD">
      <w:pPr>
        <w:tabs>
          <w:tab w:val="left" w:pos="567"/>
        </w:tabs>
        <w:spacing w:line="260" w:lineRule="exact"/>
        <w:rPr>
          <w:noProof/>
          <w:szCs w:val="22"/>
          <w:lang w:eastAsia="en-US"/>
        </w:rPr>
      </w:pPr>
    </w:p>
    <w:p w:rsidR="008D43BD" w:rsidP="008D43BD">
      <w:pPr>
        <w:tabs>
          <w:tab w:val="left" w:pos="567"/>
        </w:tabs>
        <w:spacing w:line="260" w:lineRule="exact"/>
        <w:rPr>
          <w:noProof/>
          <w:szCs w:val="22"/>
          <w:lang w:eastAsia="en-US"/>
        </w:rPr>
      </w:pPr>
    </w:p>
    <w:p w:rsidR="008D43BD" w:rsidP="008D43BD">
      <w:pPr>
        <w:tabs>
          <w:tab w:val="left" w:pos="567"/>
        </w:tabs>
        <w:spacing w:line="260" w:lineRule="exact"/>
        <w:rPr>
          <w:noProof/>
          <w:szCs w:val="22"/>
          <w:lang w:eastAsia="en-US"/>
        </w:rPr>
      </w:pPr>
    </w:p>
    <w:p w:rsidR="008D43BD" w:rsidRPr="0002271E" w:rsidP="008D43BD">
      <w:pPr>
        <w:tabs>
          <w:tab w:val="left" w:pos="567"/>
        </w:tabs>
        <w:spacing w:line="260" w:lineRule="exact"/>
        <w:rPr>
          <w:noProof/>
          <w:szCs w:val="22"/>
          <w:lang w:eastAsia="en-US"/>
        </w:rPr>
      </w:pPr>
    </w:p>
    <w:p w:rsidR="008D43BD" w:rsidRPr="0002271E" w:rsidP="008D43BD">
      <w:pPr>
        <w:tabs>
          <w:tab w:val="left" w:pos="567"/>
        </w:tabs>
        <w:spacing w:line="260" w:lineRule="exact"/>
        <w:jc w:val="center"/>
        <w:rPr>
          <w:noProof/>
          <w:szCs w:val="22"/>
          <w:lang w:eastAsia="en-US"/>
        </w:rPr>
      </w:pPr>
      <w:r w:rsidRPr="0002271E" w:rsidR="00A4080A">
        <w:rPr>
          <w:b/>
          <w:noProof/>
          <w:szCs w:val="22"/>
          <w:lang w:eastAsia="en-US"/>
        </w:rPr>
        <w:t>ANNEX II</w:t>
      </w:r>
    </w:p>
    <w:p w:rsidR="008D43BD" w:rsidRPr="0002271E" w:rsidP="008D43BD">
      <w:pPr>
        <w:tabs>
          <w:tab w:val="left" w:pos="567"/>
        </w:tabs>
        <w:spacing w:line="260" w:lineRule="exact"/>
        <w:ind w:right="1416"/>
        <w:rPr>
          <w:noProof/>
          <w:szCs w:val="22"/>
          <w:lang w:eastAsia="en-US"/>
        </w:rPr>
      </w:pPr>
    </w:p>
    <w:p w:rsidR="008D43BD" w:rsidRPr="0002271E" w:rsidP="008D43BD">
      <w:pPr>
        <w:tabs>
          <w:tab w:val="left" w:pos="567"/>
        </w:tabs>
        <w:spacing w:line="260" w:lineRule="exact"/>
        <w:ind w:left="1701" w:right="1416" w:hanging="708"/>
        <w:rPr>
          <w:b/>
          <w:noProof/>
          <w:szCs w:val="22"/>
          <w:lang w:eastAsia="en-US"/>
        </w:rPr>
      </w:pPr>
      <w:r w:rsidR="00A4080A">
        <w:rPr>
          <w:b/>
          <w:noProof/>
          <w:szCs w:val="22"/>
          <w:lang w:eastAsia="en-US"/>
        </w:rPr>
        <w:t>A.</w:t>
        <w:tab/>
        <w:t>MANUFACTURER</w:t>
      </w:r>
      <w:r w:rsidRPr="0002271E" w:rsidR="00A4080A">
        <w:rPr>
          <w:b/>
          <w:noProof/>
          <w:szCs w:val="22"/>
          <w:lang w:eastAsia="en-US"/>
        </w:rPr>
        <w:t xml:space="preserve"> OF TH</w:t>
      </w:r>
      <w:r w:rsidR="00A4080A">
        <w:rPr>
          <w:b/>
          <w:noProof/>
          <w:szCs w:val="22"/>
          <w:lang w:eastAsia="en-US"/>
        </w:rPr>
        <w:t>E BIOLOGICAL ACTIVE SUBSTANCE</w:t>
      </w:r>
      <w:r w:rsidRPr="0002271E" w:rsidR="00A4080A">
        <w:rPr>
          <w:b/>
          <w:noProof/>
          <w:szCs w:val="22"/>
          <w:lang w:eastAsia="en-US"/>
        </w:rPr>
        <w:t xml:space="preserve"> AND MANUFACTURER RESPONSIBLE FOR BATCH RELEASE</w:t>
      </w:r>
    </w:p>
    <w:p w:rsidR="008D43BD" w:rsidRPr="0002271E" w:rsidP="008D43BD">
      <w:pPr>
        <w:tabs>
          <w:tab w:val="left" w:pos="567"/>
        </w:tabs>
        <w:spacing w:line="260" w:lineRule="exact"/>
        <w:ind w:left="567" w:hanging="567"/>
        <w:rPr>
          <w:noProof/>
          <w:szCs w:val="22"/>
          <w:lang w:eastAsia="en-US"/>
        </w:rPr>
      </w:pPr>
    </w:p>
    <w:p w:rsidR="008D43BD" w:rsidRPr="0002271E" w:rsidP="008D43BD">
      <w:pPr>
        <w:tabs>
          <w:tab w:val="left" w:pos="567"/>
        </w:tabs>
        <w:spacing w:line="260" w:lineRule="exact"/>
        <w:ind w:left="1701" w:right="1418" w:hanging="709"/>
        <w:rPr>
          <w:b/>
          <w:noProof/>
          <w:szCs w:val="22"/>
          <w:lang w:eastAsia="en-US"/>
        </w:rPr>
      </w:pPr>
      <w:r w:rsidRPr="0002271E" w:rsidR="00A4080A">
        <w:rPr>
          <w:b/>
          <w:noProof/>
          <w:szCs w:val="22"/>
          <w:lang w:eastAsia="en-US"/>
        </w:rPr>
        <w:t>B.</w:t>
        <w:tab/>
        <w:t>CONDITIONS OR RESTRICTIONS REGARDING SUPPLY AND USE</w:t>
      </w:r>
    </w:p>
    <w:p w:rsidR="008D43BD" w:rsidRPr="0002271E" w:rsidP="008D43BD">
      <w:pPr>
        <w:tabs>
          <w:tab w:val="left" w:pos="567"/>
        </w:tabs>
        <w:spacing w:line="260" w:lineRule="exact"/>
        <w:ind w:left="567" w:hanging="567"/>
        <w:rPr>
          <w:noProof/>
          <w:szCs w:val="22"/>
          <w:lang w:eastAsia="en-US"/>
        </w:rPr>
      </w:pPr>
    </w:p>
    <w:p w:rsidR="008D43BD" w:rsidP="008D43BD">
      <w:pPr>
        <w:tabs>
          <w:tab w:val="left" w:pos="567"/>
        </w:tabs>
        <w:spacing w:line="260" w:lineRule="exact"/>
        <w:ind w:left="1701" w:right="1559" w:hanging="709"/>
        <w:rPr>
          <w:b/>
          <w:noProof/>
          <w:szCs w:val="22"/>
          <w:lang w:eastAsia="en-US"/>
        </w:rPr>
      </w:pPr>
      <w:r w:rsidRPr="0002271E" w:rsidR="00A4080A">
        <w:rPr>
          <w:b/>
          <w:noProof/>
          <w:szCs w:val="22"/>
          <w:lang w:eastAsia="en-US"/>
        </w:rPr>
        <w:t>C.</w:t>
        <w:tab/>
        <w:t>OTHER CONDITIONS AND REQUIREMENTS OF THE MARKETING AUTHORISATION</w:t>
      </w:r>
    </w:p>
    <w:p w:rsidR="008D43BD" w:rsidP="008D43BD">
      <w:pPr>
        <w:tabs>
          <w:tab w:val="left" w:pos="567"/>
        </w:tabs>
        <w:spacing w:line="260" w:lineRule="exact"/>
        <w:ind w:left="1701" w:right="1559" w:hanging="709"/>
        <w:rPr>
          <w:b/>
          <w:noProof/>
          <w:szCs w:val="22"/>
          <w:lang w:eastAsia="en-US"/>
        </w:rPr>
      </w:pPr>
    </w:p>
    <w:p w:rsidR="008D43BD" w:rsidRPr="0002271E" w:rsidP="008D43BD">
      <w:pPr>
        <w:tabs>
          <w:tab w:val="left" w:pos="567"/>
        </w:tabs>
        <w:spacing w:line="260" w:lineRule="exact"/>
        <w:ind w:left="1701" w:right="1559" w:hanging="709"/>
        <w:rPr>
          <w:b/>
          <w:noProof/>
          <w:szCs w:val="22"/>
          <w:lang w:eastAsia="en-US"/>
        </w:rPr>
      </w:pPr>
      <w:r w:rsidRPr="00C87E85" w:rsidR="00A4080A">
        <w:rPr>
          <w:b/>
          <w:noProof/>
          <w:szCs w:val="22"/>
          <w:lang w:eastAsia="en-US"/>
        </w:rPr>
        <w:t>D.</w:t>
        <w:tab/>
      </w:r>
      <w:r w:rsidRPr="00C87E85" w:rsidR="00A4080A">
        <w:rPr>
          <w:b/>
          <w:szCs w:val="22"/>
          <w:lang w:eastAsia="en-US"/>
        </w:rPr>
        <w:t>CONDITIONS OR RESTRICTIONS WITH REGARD TO THE SAFE AND EFFECTIVE USE OF THE MEDICINAL PRODUCT</w:t>
      </w:r>
      <w:r w:rsidRPr="00EF08E2" w:rsidR="00A4080A">
        <w:rPr>
          <w:b/>
          <w:szCs w:val="22"/>
          <w:lang w:eastAsia="en-US"/>
        </w:rPr>
        <w:t xml:space="preserve">  </w:t>
      </w:r>
    </w:p>
    <w:p w:rsidR="008D43BD" w:rsidRPr="0002271E" w:rsidP="008D43BD">
      <w:pPr>
        <w:tabs>
          <w:tab w:val="left" w:pos="567"/>
        </w:tabs>
        <w:spacing w:line="260" w:lineRule="exact"/>
        <w:ind w:right="1558"/>
        <w:rPr>
          <w:b/>
          <w:szCs w:val="22"/>
          <w:lang w:eastAsia="en-US"/>
        </w:rPr>
      </w:pPr>
    </w:p>
    <w:p w:rsidR="008D43BD" w:rsidRPr="0002271E" w:rsidP="008D43BD">
      <w:pPr>
        <w:tabs>
          <w:tab w:val="left" w:pos="567"/>
        </w:tabs>
        <w:spacing w:line="260" w:lineRule="exact"/>
        <w:ind w:right="1416"/>
        <w:rPr>
          <w:b/>
          <w:szCs w:val="22"/>
          <w:lang w:eastAsia="en-US"/>
        </w:rPr>
      </w:pPr>
    </w:p>
    <w:p w:rsidR="008D43BD" w:rsidRPr="00EF08E2" w:rsidP="008D43BD">
      <w:pPr>
        <w:pStyle w:val="AnnexHeading"/>
        <w:rPr>
          <w:noProof/>
          <w:lang w:eastAsia="en-US"/>
        </w:rPr>
      </w:pPr>
      <w:r w:rsidRPr="0002271E" w:rsidR="00A4080A">
        <w:rPr>
          <w:noProof/>
          <w:lang w:eastAsia="en-US"/>
        </w:rPr>
        <w:br w:type="page"/>
      </w:r>
      <w:r w:rsidRPr="00EF08E2" w:rsidR="00A4080A">
        <w:rPr>
          <w:noProof/>
          <w:lang w:eastAsia="en-US"/>
        </w:rPr>
        <w:t>A.</w:t>
        <w:tab/>
        <w:t xml:space="preserve">MANUFACTURER OF THE BIOLOGICAL </w:t>
      </w:r>
      <w:r w:rsidR="00A4080A">
        <w:rPr>
          <w:noProof/>
          <w:lang w:eastAsia="en-US"/>
        </w:rPr>
        <w:t>ACTIVE SUBSTANCE</w:t>
      </w:r>
      <w:r w:rsidRPr="00EF08E2" w:rsidR="00A4080A">
        <w:rPr>
          <w:noProof/>
          <w:lang w:eastAsia="en-US"/>
        </w:rPr>
        <w:t xml:space="preserve"> AND MANUFACTURER RESPONSIBLE FOR BATCH RELEASE</w:t>
      </w:r>
    </w:p>
    <w:p w:rsidR="008D43BD" w:rsidRPr="00EF08E2" w:rsidP="008D43BD">
      <w:pPr>
        <w:tabs>
          <w:tab w:val="left" w:pos="567"/>
        </w:tabs>
        <w:spacing w:line="260" w:lineRule="exact"/>
        <w:ind w:right="1416"/>
        <w:rPr>
          <w:noProof/>
          <w:szCs w:val="22"/>
          <w:lang w:eastAsia="en-US"/>
        </w:rPr>
      </w:pPr>
    </w:p>
    <w:p w:rsidR="008D43BD" w:rsidRPr="007B0637" w:rsidP="008D43BD">
      <w:pPr>
        <w:tabs>
          <w:tab w:val="left" w:pos="567"/>
        </w:tabs>
        <w:spacing w:line="260" w:lineRule="exact"/>
        <w:outlineLvl w:val="0"/>
        <w:rPr>
          <w:noProof/>
          <w:szCs w:val="22"/>
          <w:u w:val="single"/>
          <w:lang w:eastAsia="en-US"/>
        </w:rPr>
      </w:pPr>
      <w:r w:rsidRPr="007B0637" w:rsidR="00A4080A">
        <w:rPr>
          <w:noProof/>
          <w:szCs w:val="22"/>
          <w:u w:val="single"/>
          <w:lang w:eastAsia="en-US"/>
        </w:rPr>
        <w:t>Name an</w:t>
      </w:r>
      <w:r w:rsidR="00A4080A">
        <w:rPr>
          <w:noProof/>
          <w:szCs w:val="22"/>
          <w:u w:val="single"/>
          <w:lang w:eastAsia="en-US"/>
        </w:rPr>
        <w:t>d address of the manufacturer</w:t>
      </w:r>
      <w:r w:rsidRPr="007B0637" w:rsidR="00A4080A">
        <w:rPr>
          <w:noProof/>
          <w:szCs w:val="22"/>
          <w:u w:val="single"/>
          <w:lang w:eastAsia="en-US"/>
        </w:rPr>
        <w:t xml:space="preserve"> of th</w:t>
      </w:r>
      <w:r w:rsidR="00A4080A">
        <w:rPr>
          <w:noProof/>
          <w:szCs w:val="22"/>
          <w:u w:val="single"/>
          <w:lang w:eastAsia="en-US"/>
        </w:rPr>
        <w:t>e biological active substance</w:t>
      </w:r>
    </w:p>
    <w:p w:rsidR="008D43BD" w:rsidRPr="007B0637" w:rsidP="008D43BD">
      <w:pPr>
        <w:tabs>
          <w:tab w:val="left" w:pos="567"/>
        </w:tabs>
        <w:spacing w:line="260" w:lineRule="exact"/>
        <w:ind w:right="1416"/>
        <w:rPr>
          <w:noProof/>
          <w:szCs w:val="22"/>
          <w:lang w:eastAsia="en-US"/>
        </w:rPr>
      </w:pPr>
    </w:p>
    <w:p w:rsidR="008D43BD" w:rsidRPr="0089231D" w:rsidP="008D43BD">
      <w:pPr>
        <w:tabs>
          <w:tab w:val="left" w:pos="567"/>
        </w:tabs>
        <w:spacing w:line="260" w:lineRule="exact"/>
        <w:rPr>
          <w:noProof/>
          <w:szCs w:val="22"/>
          <w:lang w:eastAsia="en-US"/>
        </w:rPr>
      </w:pPr>
      <w:r w:rsidRPr="0089231D" w:rsidR="00A4080A">
        <w:rPr>
          <w:noProof/>
          <w:szCs w:val="22"/>
          <w:lang w:eastAsia="en-US"/>
        </w:rPr>
        <w:t>Lonza Ltd.</w:t>
        <w:br/>
        <w:t>Lonzastrasse</w:t>
        <w:br/>
        <w:t>CH-3930 Visp</w:t>
        <w:br/>
        <w:t>Switzerland</w:t>
      </w:r>
    </w:p>
    <w:p w:rsidR="008D43BD" w:rsidRPr="0089231D" w:rsidP="008D43BD">
      <w:pPr>
        <w:tabs>
          <w:tab w:val="left" w:pos="567"/>
        </w:tabs>
        <w:spacing w:line="260" w:lineRule="exact"/>
        <w:rPr>
          <w:b/>
          <w:bCs/>
          <w:noProof/>
          <w:szCs w:val="22"/>
          <w:lang w:eastAsia="en-US"/>
        </w:rPr>
      </w:pPr>
    </w:p>
    <w:p w:rsidR="008D43BD" w:rsidRPr="007B0637" w:rsidP="008D43BD">
      <w:pPr>
        <w:tabs>
          <w:tab w:val="left" w:pos="567"/>
        </w:tabs>
        <w:spacing w:line="260" w:lineRule="exact"/>
        <w:outlineLvl w:val="0"/>
        <w:rPr>
          <w:noProof/>
          <w:szCs w:val="22"/>
          <w:lang w:eastAsia="en-US"/>
        </w:rPr>
      </w:pPr>
      <w:r w:rsidRPr="007B0637" w:rsidR="00A4080A">
        <w:rPr>
          <w:noProof/>
          <w:szCs w:val="22"/>
          <w:u w:val="single"/>
          <w:lang w:eastAsia="en-US"/>
        </w:rPr>
        <w:t>Name an</w:t>
      </w:r>
      <w:r w:rsidR="00A4080A">
        <w:rPr>
          <w:noProof/>
          <w:szCs w:val="22"/>
          <w:u w:val="single"/>
          <w:lang w:eastAsia="en-US"/>
        </w:rPr>
        <w:t>d address of the manufacturer</w:t>
      </w:r>
      <w:r w:rsidRPr="007B0637" w:rsidR="00A4080A">
        <w:rPr>
          <w:noProof/>
          <w:szCs w:val="22"/>
          <w:u w:val="single"/>
          <w:lang w:eastAsia="en-US"/>
        </w:rPr>
        <w:t xml:space="preserve"> responsible for batch release</w:t>
      </w:r>
    </w:p>
    <w:p w:rsidR="008D43BD" w:rsidRPr="007B0637" w:rsidP="008D43BD">
      <w:pPr>
        <w:tabs>
          <w:tab w:val="left" w:pos="567"/>
        </w:tabs>
        <w:spacing w:line="260" w:lineRule="exact"/>
        <w:rPr>
          <w:noProof/>
          <w:szCs w:val="22"/>
          <w:lang w:eastAsia="en-US"/>
        </w:rPr>
      </w:pPr>
    </w:p>
    <w:p w:rsidR="008D43BD" w:rsidRPr="00CF5B1D" w:rsidP="008D43BD">
      <w:pPr>
        <w:tabs>
          <w:tab w:val="left" w:pos="567"/>
        </w:tabs>
        <w:spacing w:line="260" w:lineRule="exact"/>
        <w:rPr>
          <w:noProof/>
          <w:szCs w:val="22"/>
          <w:lang w:val="de-DE" w:eastAsia="en-US"/>
        </w:rPr>
      </w:pPr>
      <w:r w:rsidRPr="00CF5B1D" w:rsidR="00A4080A">
        <w:rPr>
          <w:noProof/>
          <w:szCs w:val="22"/>
          <w:lang w:val="de-DE" w:eastAsia="en-US"/>
        </w:rPr>
        <w:t>Roche Pharma AG</w:t>
        <w:br/>
        <w:t>Emil-Barell-Strasse 1</w:t>
        <w:br/>
        <w:t>D-79639 Grenzach-Whylen</w:t>
        <w:br/>
        <w:t>Germany</w:t>
      </w:r>
    </w:p>
    <w:p w:rsidR="008D43BD" w:rsidRPr="00CF5B1D" w:rsidP="008D43BD">
      <w:pPr>
        <w:tabs>
          <w:tab w:val="left" w:pos="567"/>
        </w:tabs>
        <w:spacing w:line="260" w:lineRule="exact"/>
        <w:rPr>
          <w:noProof/>
          <w:szCs w:val="22"/>
          <w:lang w:val="de-DE" w:eastAsia="en-US"/>
        </w:rPr>
      </w:pPr>
    </w:p>
    <w:p w:rsidR="008D43BD" w:rsidRPr="00EF08E2" w:rsidP="008D43BD">
      <w:pPr>
        <w:tabs>
          <w:tab w:val="left" w:pos="567"/>
        </w:tabs>
        <w:spacing w:line="260" w:lineRule="exact"/>
        <w:rPr>
          <w:noProof/>
          <w:szCs w:val="22"/>
          <w:lang w:eastAsia="en-US"/>
        </w:rPr>
      </w:pPr>
      <w:r w:rsidRPr="00EF08E2" w:rsidR="00A4080A">
        <w:rPr>
          <w:noProof/>
          <w:szCs w:val="22"/>
          <w:lang w:eastAsia="en-US"/>
        </w:rPr>
        <w:t>The printed package leaflet of the medicinal product must state the name and address of the manufacturer responsible for the release of the concerned batch.</w:t>
      </w:r>
    </w:p>
    <w:p w:rsidR="008D43BD" w:rsidRPr="00EF08E2" w:rsidP="008D43BD">
      <w:pPr>
        <w:tabs>
          <w:tab w:val="left" w:pos="567"/>
        </w:tabs>
        <w:spacing w:line="260" w:lineRule="exact"/>
        <w:rPr>
          <w:noProof/>
          <w:szCs w:val="22"/>
          <w:lang w:eastAsia="en-US"/>
        </w:rPr>
      </w:pPr>
    </w:p>
    <w:p w:rsidR="008D43BD" w:rsidRPr="00EF08E2" w:rsidP="008D43BD">
      <w:pPr>
        <w:tabs>
          <w:tab w:val="left" w:pos="567"/>
        </w:tabs>
        <w:spacing w:line="260" w:lineRule="exact"/>
        <w:rPr>
          <w:noProof/>
          <w:szCs w:val="22"/>
          <w:lang w:eastAsia="en-US"/>
        </w:rPr>
      </w:pPr>
    </w:p>
    <w:p w:rsidR="008D43BD" w:rsidRPr="00470313" w:rsidP="008D43BD">
      <w:pPr>
        <w:pStyle w:val="AnnexHeading"/>
        <w:rPr>
          <w:noProof/>
          <w:lang w:eastAsia="en-US"/>
        </w:rPr>
      </w:pPr>
      <w:bookmarkStart w:id="0" w:name="OLE_LINK2"/>
      <w:r w:rsidRPr="00470313" w:rsidR="00A4080A">
        <w:rPr>
          <w:noProof/>
          <w:lang w:eastAsia="en-US"/>
        </w:rPr>
        <w:t>B.</w:t>
      </w:r>
      <w:bookmarkEnd w:id="0"/>
      <w:r w:rsidRPr="00470313" w:rsidR="00A4080A">
        <w:rPr>
          <w:noProof/>
          <w:lang w:eastAsia="en-US"/>
        </w:rPr>
        <w:tab/>
        <w:t xml:space="preserve">CONDITIONS OR RESTRICTIONS REGARDING SUPPLY AND USE </w:t>
      </w:r>
    </w:p>
    <w:p w:rsidR="008D43BD" w:rsidRPr="00EF08E2" w:rsidP="008D43BD">
      <w:pPr>
        <w:tabs>
          <w:tab w:val="left" w:pos="567"/>
        </w:tabs>
        <w:spacing w:line="260" w:lineRule="exact"/>
        <w:rPr>
          <w:noProof/>
          <w:szCs w:val="22"/>
          <w:lang w:eastAsia="en-US"/>
        </w:rPr>
      </w:pPr>
    </w:p>
    <w:p w:rsidR="008D43BD" w:rsidRPr="00EF08E2" w:rsidP="008D43BD">
      <w:pPr>
        <w:numPr>
          <w:ilvl w:val="12"/>
          <w:numId w:val="0"/>
        </w:numPr>
        <w:tabs>
          <w:tab w:val="left" w:pos="567"/>
        </w:tabs>
        <w:spacing w:line="260" w:lineRule="exact"/>
        <w:rPr>
          <w:noProof/>
          <w:szCs w:val="22"/>
          <w:lang w:eastAsia="en-US"/>
        </w:rPr>
      </w:pPr>
      <w:r w:rsidRPr="00EF08E2" w:rsidR="00A4080A">
        <w:rPr>
          <w:noProof/>
          <w:szCs w:val="22"/>
          <w:lang w:eastAsia="en-US"/>
        </w:rPr>
        <w:t>Medicinal product subject to restricted medical prescription (see Annex I: Summary of Product Characteristics, section 4.2).</w:t>
      </w:r>
    </w:p>
    <w:p w:rsidR="008D43BD" w:rsidRPr="00EF08E2" w:rsidP="008D43BD">
      <w:pPr>
        <w:numPr>
          <w:ilvl w:val="12"/>
          <w:numId w:val="0"/>
        </w:numPr>
        <w:tabs>
          <w:tab w:val="left" w:pos="567"/>
        </w:tabs>
        <w:spacing w:line="260" w:lineRule="exact"/>
        <w:rPr>
          <w:noProof/>
          <w:szCs w:val="22"/>
          <w:lang w:eastAsia="en-US"/>
        </w:rPr>
      </w:pPr>
    </w:p>
    <w:p w:rsidR="008D43BD" w:rsidRPr="00EF08E2" w:rsidP="008D43BD">
      <w:pPr>
        <w:tabs>
          <w:tab w:val="left" w:pos="567"/>
        </w:tabs>
        <w:spacing w:line="260" w:lineRule="exact"/>
        <w:rPr>
          <w:b/>
          <w:bCs/>
          <w:noProof/>
          <w:szCs w:val="22"/>
          <w:lang w:eastAsia="en-US"/>
        </w:rPr>
      </w:pPr>
    </w:p>
    <w:p w:rsidR="008D43BD" w:rsidRPr="00470313" w:rsidP="008D43BD">
      <w:pPr>
        <w:pStyle w:val="AnnexHeading"/>
        <w:rPr>
          <w:noProof/>
          <w:lang w:eastAsia="en-US"/>
        </w:rPr>
      </w:pPr>
      <w:r w:rsidRPr="00470313" w:rsidR="00A4080A">
        <w:rPr>
          <w:noProof/>
          <w:lang w:eastAsia="en-US"/>
        </w:rPr>
        <w:t xml:space="preserve">C. </w:t>
        <w:tab/>
        <w:t>OTHER CONDITIONS AND REQUIREMENTS OF THE MARKETING AUTHORISATION</w:t>
      </w:r>
    </w:p>
    <w:p w:rsidR="008D43BD" w:rsidRPr="00EF08E2" w:rsidP="008D43BD">
      <w:pPr>
        <w:tabs>
          <w:tab w:val="left" w:pos="567"/>
        </w:tabs>
        <w:spacing w:line="260" w:lineRule="exact"/>
        <w:ind w:right="-1"/>
        <w:rPr>
          <w:iCs/>
          <w:noProof/>
          <w:szCs w:val="22"/>
          <w:u w:val="single"/>
          <w:lang w:eastAsia="en-US"/>
        </w:rPr>
      </w:pPr>
    </w:p>
    <w:p w:rsidR="008D43BD" w:rsidRPr="00EF08E2" w:rsidP="008D43BD">
      <w:pPr>
        <w:tabs>
          <w:tab w:val="left" w:pos="567"/>
        </w:tabs>
        <w:spacing w:line="260" w:lineRule="exact"/>
        <w:ind w:left="720" w:hanging="720"/>
        <w:rPr>
          <w:b/>
          <w:szCs w:val="22"/>
          <w:lang w:eastAsia="en-US"/>
        </w:rPr>
      </w:pPr>
      <w:r w:rsidRPr="002D59C9" w:rsidR="00A4080A">
        <w:rPr>
          <w:rFonts w:ascii="Symbol" w:hAnsi="Symbol"/>
          <w:szCs w:val="22"/>
          <w:lang w:val="es-ES"/>
        </w:rPr>
        <w:sym w:font="Symbol" w:char="F0B7"/>
      </w:r>
      <w:r w:rsidRPr="00FF5E1A" w:rsidR="00A4080A">
        <w:rPr>
          <w:szCs w:val="24"/>
        </w:rPr>
        <w:tab/>
      </w:r>
      <w:r w:rsidRPr="00EF08E2" w:rsidR="00A4080A">
        <w:rPr>
          <w:b/>
          <w:szCs w:val="22"/>
          <w:lang w:eastAsia="en-US"/>
        </w:rPr>
        <w:t>Periodic Safety Update Reports</w:t>
      </w:r>
    </w:p>
    <w:p w:rsidR="008D43BD" w:rsidRPr="00EF08E2" w:rsidP="008D43BD">
      <w:pPr>
        <w:tabs>
          <w:tab w:val="left" w:pos="0"/>
          <w:tab w:val="left" w:pos="567"/>
        </w:tabs>
        <w:spacing w:line="260" w:lineRule="exact"/>
        <w:ind w:right="567"/>
        <w:rPr>
          <w:szCs w:val="22"/>
          <w:lang w:eastAsia="en-US"/>
        </w:rPr>
      </w:pPr>
    </w:p>
    <w:p w:rsidR="008D43BD" w:rsidRPr="00EF08E2" w:rsidP="008D43BD">
      <w:pPr>
        <w:tabs>
          <w:tab w:val="left" w:pos="0"/>
          <w:tab w:val="left" w:pos="567"/>
        </w:tabs>
        <w:spacing w:line="260" w:lineRule="exact"/>
        <w:ind w:right="567"/>
        <w:rPr>
          <w:szCs w:val="22"/>
          <w:lang w:eastAsia="en-US"/>
        </w:rPr>
      </w:pPr>
      <w:r w:rsidRPr="00A75B19" w:rsidR="00A4080A">
        <w:rPr>
          <w:szCs w:val="22"/>
          <w:lang w:eastAsia="en-US"/>
        </w:rPr>
        <w:t>The requirements for submission of periodic safety update reports for this medicinal product are set out in the list of Union reference dates (EURD list) provided for under Article 107c(7) of Directive 2001/83</w:t>
      </w:r>
      <w:r w:rsidRPr="00A75B19" w:rsidR="00A4080A">
        <w:rPr>
          <w:noProof/>
          <w:szCs w:val="22"/>
          <w:lang w:eastAsia="en-US"/>
        </w:rPr>
        <w:t>/EC</w:t>
      </w:r>
      <w:r w:rsidRPr="00A75B19" w:rsidR="00A4080A">
        <w:rPr>
          <w:szCs w:val="22"/>
          <w:lang w:eastAsia="en-US"/>
        </w:rPr>
        <w:t xml:space="preserve"> and any subsequent updates published on the European medicines web-portal.</w:t>
      </w:r>
    </w:p>
    <w:p w:rsidR="008D43BD" w:rsidP="008D43BD">
      <w:pPr>
        <w:tabs>
          <w:tab w:val="left" w:pos="567"/>
        </w:tabs>
        <w:spacing w:line="260" w:lineRule="exact"/>
        <w:ind w:right="-1"/>
        <w:rPr>
          <w:szCs w:val="22"/>
          <w:u w:val="single"/>
          <w:lang w:eastAsia="en-US"/>
        </w:rPr>
      </w:pPr>
    </w:p>
    <w:p w:rsidR="008D43BD" w:rsidRPr="00EF08E2" w:rsidP="008D43BD">
      <w:pPr>
        <w:tabs>
          <w:tab w:val="left" w:pos="567"/>
        </w:tabs>
        <w:spacing w:line="260" w:lineRule="exact"/>
        <w:ind w:right="-1"/>
        <w:rPr>
          <w:szCs w:val="22"/>
          <w:u w:val="single"/>
          <w:lang w:eastAsia="en-US"/>
        </w:rPr>
      </w:pPr>
    </w:p>
    <w:p w:rsidR="008D43BD" w:rsidRPr="00470313" w:rsidP="008D43BD">
      <w:pPr>
        <w:pStyle w:val="AnnexHeading"/>
        <w:rPr>
          <w:noProof/>
          <w:lang w:eastAsia="en-US"/>
        </w:rPr>
      </w:pPr>
      <w:r w:rsidRPr="00470313" w:rsidR="00A4080A">
        <w:rPr>
          <w:noProof/>
          <w:lang w:eastAsia="en-US"/>
        </w:rPr>
        <w:t>D.</w:t>
        <w:tab/>
        <w:t xml:space="preserve">CONDITIONS OR RESTRICTIONS WITH REGARD TO THE SAFE AND EFFECTIVE USE OF THE MEDICINAL PRODUCT  </w:t>
      </w:r>
    </w:p>
    <w:p w:rsidR="008D43BD" w:rsidRPr="00EF08E2" w:rsidP="008D43BD">
      <w:pPr>
        <w:tabs>
          <w:tab w:val="left" w:pos="567"/>
        </w:tabs>
        <w:spacing w:line="260" w:lineRule="exact"/>
        <w:ind w:right="-1"/>
        <w:rPr>
          <w:szCs w:val="22"/>
          <w:u w:val="single"/>
          <w:lang w:eastAsia="en-US"/>
        </w:rPr>
      </w:pPr>
    </w:p>
    <w:p w:rsidR="008D43BD" w:rsidRPr="00EF08E2" w:rsidP="008D43BD">
      <w:pPr>
        <w:tabs>
          <w:tab w:val="left" w:pos="567"/>
        </w:tabs>
        <w:spacing w:line="260" w:lineRule="exact"/>
        <w:ind w:left="720" w:hanging="720"/>
        <w:rPr>
          <w:b/>
          <w:szCs w:val="22"/>
          <w:lang w:eastAsia="en-US"/>
        </w:rPr>
      </w:pPr>
      <w:r w:rsidRPr="002D59C9" w:rsidR="00A4080A">
        <w:rPr>
          <w:rFonts w:ascii="Symbol" w:hAnsi="Symbol"/>
          <w:szCs w:val="22"/>
          <w:lang w:val="es-ES"/>
        </w:rPr>
        <w:sym w:font="Symbol" w:char="F0B7"/>
      </w:r>
      <w:r w:rsidRPr="00FF5E1A" w:rsidR="00A4080A">
        <w:rPr>
          <w:szCs w:val="24"/>
        </w:rPr>
        <w:tab/>
      </w:r>
      <w:r w:rsidRPr="00EF08E2" w:rsidR="00A4080A">
        <w:rPr>
          <w:b/>
          <w:szCs w:val="22"/>
          <w:lang w:eastAsia="en-US"/>
        </w:rPr>
        <w:t>Risk Management Plan (RMP)</w:t>
      </w:r>
    </w:p>
    <w:p w:rsidR="008D43BD" w:rsidRPr="00EF08E2" w:rsidP="008D43BD">
      <w:pPr>
        <w:tabs>
          <w:tab w:val="left" w:pos="567"/>
        </w:tabs>
        <w:spacing w:line="260" w:lineRule="exact"/>
        <w:ind w:left="720" w:right="-1"/>
        <w:rPr>
          <w:b/>
          <w:szCs w:val="22"/>
          <w:lang w:eastAsia="en-US"/>
        </w:rPr>
      </w:pPr>
    </w:p>
    <w:p w:rsidR="008D43BD" w:rsidRPr="00EF08E2" w:rsidP="008D43BD">
      <w:pPr>
        <w:tabs>
          <w:tab w:val="left" w:pos="0"/>
          <w:tab w:val="left" w:pos="567"/>
        </w:tabs>
        <w:spacing w:line="260" w:lineRule="exact"/>
        <w:ind w:right="567"/>
        <w:rPr>
          <w:noProof/>
          <w:szCs w:val="22"/>
          <w:lang w:eastAsia="en-US"/>
        </w:rPr>
      </w:pPr>
      <w:r w:rsidRPr="00EF08E2" w:rsidR="00A4080A">
        <w:rPr>
          <w:noProof/>
          <w:szCs w:val="22"/>
          <w:lang w:eastAsia="en-US"/>
        </w:rPr>
        <w:t>The MAH shall perform the required pharmacovigilance activities and interventions detailed in the agreed RMP presented in Module 1.8.2 of the Marketing Authorisation and any agreed subsequent updates of the RMP.</w:t>
      </w:r>
    </w:p>
    <w:p w:rsidR="008D43BD" w:rsidRPr="00EF08E2" w:rsidP="008D43BD">
      <w:pPr>
        <w:tabs>
          <w:tab w:val="left" w:pos="567"/>
        </w:tabs>
        <w:spacing w:line="260" w:lineRule="exact"/>
        <w:ind w:right="-1"/>
        <w:rPr>
          <w:iCs/>
          <w:noProof/>
          <w:szCs w:val="22"/>
          <w:lang w:eastAsia="en-US"/>
        </w:rPr>
      </w:pPr>
    </w:p>
    <w:p w:rsidR="008D43BD" w:rsidRPr="00CA33DF" w:rsidP="008D43BD">
      <w:pPr>
        <w:keepNext/>
        <w:keepLines/>
        <w:tabs>
          <w:tab w:val="left" w:pos="567"/>
        </w:tabs>
        <w:spacing w:line="260" w:lineRule="exact"/>
        <w:ind w:right="-1"/>
        <w:rPr>
          <w:iCs/>
          <w:noProof/>
          <w:szCs w:val="22"/>
          <w:lang w:eastAsia="en-US"/>
        </w:rPr>
      </w:pPr>
      <w:r w:rsidRPr="00CA33DF" w:rsidR="00A4080A">
        <w:rPr>
          <w:iCs/>
          <w:noProof/>
          <w:szCs w:val="22"/>
          <w:lang w:eastAsia="en-US"/>
        </w:rPr>
        <w:t>An updated RMP should be submitted:</w:t>
      </w:r>
    </w:p>
    <w:p w:rsidR="008D43BD" w:rsidRPr="00CA33DF" w:rsidP="008D43BD">
      <w:pPr>
        <w:tabs>
          <w:tab w:val="left" w:pos="567"/>
        </w:tabs>
        <w:spacing w:line="260" w:lineRule="exact"/>
        <w:ind w:left="714" w:hanging="357"/>
        <w:rPr>
          <w:iCs/>
          <w:noProof/>
          <w:szCs w:val="22"/>
          <w:lang w:eastAsia="en-US"/>
        </w:rPr>
      </w:pPr>
      <w:r w:rsidRPr="002D59C9" w:rsidR="00A4080A">
        <w:rPr>
          <w:rFonts w:ascii="Symbol" w:hAnsi="Symbol"/>
          <w:szCs w:val="22"/>
          <w:lang w:val="es-ES"/>
        </w:rPr>
        <w:sym w:font="Symbol" w:char="F0B7"/>
      </w:r>
      <w:r w:rsidRPr="00FF5E1A" w:rsidR="00A4080A">
        <w:rPr>
          <w:szCs w:val="24"/>
        </w:rPr>
        <w:tab/>
      </w:r>
      <w:r w:rsidRPr="00CA33DF" w:rsidR="00A4080A">
        <w:rPr>
          <w:iCs/>
          <w:noProof/>
          <w:szCs w:val="22"/>
          <w:lang w:eastAsia="en-US"/>
        </w:rPr>
        <w:t>At the request of the European Medicines Agency;</w:t>
      </w:r>
    </w:p>
    <w:p w:rsidR="008D43BD" w:rsidRPr="00CA33DF" w:rsidP="008D43BD">
      <w:pPr>
        <w:tabs>
          <w:tab w:val="left" w:pos="567"/>
        </w:tabs>
        <w:spacing w:line="260" w:lineRule="exact"/>
        <w:ind w:left="714" w:hanging="357"/>
        <w:rPr>
          <w:iCs/>
          <w:noProof/>
          <w:szCs w:val="22"/>
          <w:lang w:eastAsia="en-US"/>
        </w:rPr>
      </w:pPr>
      <w:r w:rsidRPr="002D59C9" w:rsidR="00A4080A">
        <w:rPr>
          <w:rFonts w:ascii="Symbol" w:hAnsi="Symbol"/>
          <w:szCs w:val="22"/>
          <w:lang w:val="es-ES"/>
        </w:rPr>
        <w:sym w:font="Symbol" w:char="F0B7"/>
      </w:r>
      <w:r w:rsidRPr="00FF5E1A" w:rsidR="00A4080A">
        <w:rPr>
          <w:szCs w:val="24"/>
        </w:rPr>
        <w:tab/>
      </w:r>
      <w:r w:rsidRPr="00CA33DF" w:rsidR="00A4080A">
        <w:rPr>
          <w:iCs/>
          <w:noProof/>
          <w:szCs w:val="22"/>
          <w:lang w:eastAsia="en-US"/>
        </w:rPr>
        <w:t>Whenever the risk management system is modified, especially as the result of new information being received that may lead to a significant change to the benefit/risk profile or as the result of an important (pharmacovigilance or risk minimisation) milestone being reached.</w:t>
      </w:r>
    </w:p>
    <w:p w:rsidR="008D43BD" w:rsidRPr="00CA33DF" w:rsidP="008D43BD">
      <w:pPr>
        <w:tabs>
          <w:tab w:val="left" w:pos="567"/>
        </w:tabs>
        <w:spacing w:line="260" w:lineRule="exact"/>
        <w:ind w:right="-1"/>
        <w:rPr>
          <w:iCs/>
          <w:noProof/>
          <w:szCs w:val="22"/>
          <w:lang w:eastAsia="en-US"/>
        </w:rPr>
      </w:pPr>
    </w:p>
    <w:p w:rsidR="008D43BD" w:rsidRPr="00CA33DF" w:rsidP="008D43BD">
      <w:pPr>
        <w:keepNext/>
        <w:keepLines/>
        <w:tabs>
          <w:tab w:val="left" w:pos="567"/>
        </w:tabs>
        <w:spacing w:line="260" w:lineRule="exact"/>
        <w:ind w:left="720" w:hanging="720"/>
        <w:rPr>
          <w:iCs/>
          <w:szCs w:val="22"/>
          <w:lang w:eastAsia="en-US"/>
        </w:rPr>
      </w:pPr>
      <w:r w:rsidRPr="002D59C9" w:rsidR="00A4080A">
        <w:rPr>
          <w:rFonts w:ascii="Symbol" w:hAnsi="Symbol"/>
          <w:szCs w:val="22"/>
          <w:lang w:val="es-ES"/>
        </w:rPr>
        <w:sym w:font="Symbol" w:char="F0B7"/>
      </w:r>
      <w:r w:rsidRPr="00FF5E1A" w:rsidR="00A4080A">
        <w:rPr>
          <w:szCs w:val="24"/>
        </w:rPr>
        <w:tab/>
      </w:r>
      <w:r w:rsidRPr="00CA33DF" w:rsidR="00A4080A">
        <w:rPr>
          <w:b/>
          <w:szCs w:val="22"/>
          <w:lang w:eastAsia="en-US"/>
        </w:rPr>
        <w:t xml:space="preserve">Additional risk minimisation measures </w:t>
      </w:r>
    </w:p>
    <w:p w:rsidR="008D43BD" w:rsidRPr="00CA33DF" w:rsidP="008D43BD">
      <w:pPr>
        <w:keepNext/>
        <w:keepLines/>
        <w:tabs>
          <w:tab w:val="left" w:pos="567"/>
        </w:tabs>
        <w:spacing w:line="260" w:lineRule="exact"/>
        <w:ind w:right="-1"/>
        <w:rPr>
          <w:iCs/>
          <w:szCs w:val="22"/>
          <w:lang w:eastAsia="en-US"/>
        </w:rPr>
      </w:pPr>
    </w:p>
    <w:p w:rsidR="008D43BD" w:rsidRPr="00CA6DA7" w:rsidP="008D43BD">
      <w:pPr>
        <w:rPr>
          <w:rFonts w:eastAsia="Calibri"/>
          <w:szCs w:val="22"/>
          <w:lang w:eastAsia="en-US"/>
        </w:rPr>
      </w:pPr>
      <w:r w:rsidRPr="00CA6DA7" w:rsidR="00A4080A">
        <w:rPr>
          <w:rFonts w:eastAsia="Calibri"/>
          <w:szCs w:val="22"/>
          <w:lang w:eastAsia="en-US"/>
        </w:rPr>
        <w:t xml:space="preserve">The MAH shall agree the content and format of the Kadcyla </w:t>
      </w:r>
      <w:r w:rsidRPr="00CA6DA7" w:rsidR="009B4F04">
        <w:rPr>
          <w:rFonts w:eastAsia="Calibri"/>
          <w:szCs w:val="22"/>
          <w:lang w:eastAsia="en-US"/>
        </w:rPr>
        <w:t>(</w:t>
      </w:r>
      <w:r w:rsidRPr="00CA6DA7" w:rsidR="00817B9A">
        <w:rPr>
          <w:rFonts w:eastAsia="Calibri"/>
          <w:szCs w:val="22"/>
          <w:lang w:eastAsia="en-US"/>
        </w:rPr>
        <w:t>trastuzumab emtansine</w:t>
      </w:r>
      <w:r w:rsidRPr="00CA6DA7" w:rsidR="009B4F04">
        <w:rPr>
          <w:rFonts w:eastAsia="Calibri"/>
          <w:szCs w:val="22"/>
          <w:lang w:eastAsia="en-US"/>
        </w:rPr>
        <w:t>)</w:t>
      </w:r>
      <w:r w:rsidRPr="00CA6DA7" w:rsidR="00817B9A">
        <w:rPr>
          <w:rFonts w:eastAsia="Calibri"/>
          <w:szCs w:val="22"/>
          <w:lang w:eastAsia="en-US"/>
        </w:rPr>
        <w:t xml:space="preserve"> </w:t>
      </w:r>
      <w:r w:rsidRPr="00CA6DA7" w:rsidR="00A4080A">
        <w:rPr>
          <w:rFonts w:eastAsia="Calibri"/>
          <w:szCs w:val="22"/>
          <w:lang w:eastAsia="en-US"/>
        </w:rPr>
        <w:t>educational material and a communication plan with the National Competent Authority in the Member State before Kadcyla</w:t>
      </w:r>
      <w:r w:rsidRPr="00CA6DA7" w:rsidR="00D573C6">
        <w:rPr>
          <w:rFonts w:eastAsia="Calibri"/>
          <w:szCs w:val="22"/>
          <w:lang w:eastAsia="en-US"/>
        </w:rPr>
        <w:t xml:space="preserve"> (trastuzumab emtansine)</w:t>
      </w:r>
      <w:r w:rsidRPr="00CA6DA7" w:rsidR="00A4080A">
        <w:rPr>
          <w:rFonts w:eastAsia="Calibri"/>
          <w:szCs w:val="22"/>
          <w:lang w:eastAsia="en-US"/>
        </w:rPr>
        <w:t xml:space="preserve"> is launched in each Member State.</w:t>
      </w:r>
    </w:p>
    <w:p w:rsidR="008D43BD" w:rsidRPr="001B4A07" w:rsidP="008D43BD">
      <w:pPr>
        <w:rPr>
          <w:rFonts w:eastAsia="Calibri"/>
          <w:szCs w:val="22"/>
          <w:lang w:eastAsia="en-US"/>
        </w:rPr>
      </w:pPr>
    </w:p>
    <w:p w:rsidR="008D43BD" w:rsidRPr="001B4A07" w:rsidP="008D43BD">
      <w:pPr>
        <w:rPr>
          <w:rFonts w:eastAsia="Calibri"/>
          <w:szCs w:val="22"/>
          <w:lang w:eastAsia="en-US"/>
        </w:rPr>
      </w:pPr>
      <w:r w:rsidRPr="00C35677" w:rsidR="00A4080A">
        <w:rPr>
          <w:rFonts w:eastAsia="Calibri"/>
          <w:szCs w:val="22"/>
          <w:lang w:eastAsia="en-US"/>
        </w:rPr>
        <w:t xml:space="preserve">The MAH shall ensure that in parallel to the launch of </w:t>
      </w:r>
      <w:r w:rsidRPr="00CA6DA7" w:rsidR="00A4080A">
        <w:rPr>
          <w:rFonts w:eastAsia="Calibri"/>
          <w:szCs w:val="22"/>
          <w:lang w:eastAsia="en-US"/>
        </w:rPr>
        <w:t>Kadcyla</w:t>
      </w:r>
      <w:r w:rsidRPr="00CA6DA7" w:rsidR="00D573C6">
        <w:rPr>
          <w:rFonts w:eastAsia="Calibri"/>
          <w:szCs w:val="22"/>
          <w:lang w:eastAsia="en-US"/>
        </w:rPr>
        <w:t xml:space="preserve"> (trastuzumab emtansine)</w:t>
      </w:r>
      <w:r w:rsidRPr="00CA6DA7" w:rsidR="00A4080A">
        <w:rPr>
          <w:rFonts w:eastAsia="Calibri"/>
          <w:szCs w:val="22"/>
          <w:lang w:eastAsia="en-US"/>
        </w:rPr>
        <w:t xml:space="preserve">, all health care professionals who may prescribe, dispense or administer Kadcyla </w:t>
      </w:r>
      <w:r w:rsidRPr="00CA6DA7" w:rsidR="00D573C6">
        <w:rPr>
          <w:rFonts w:eastAsia="Calibri"/>
          <w:szCs w:val="22"/>
          <w:lang w:eastAsia="en-US"/>
        </w:rPr>
        <w:t>(trastuzumab emtansine)</w:t>
      </w:r>
      <w:r w:rsidR="003D51C6">
        <w:rPr>
          <w:rFonts w:eastAsia="Calibri"/>
          <w:szCs w:val="22"/>
          <w:lang w:eastAsia="en-US"/>
        </w:rPr>
        <w:t xml:space="preserve"> </w:t>
      </w:r>
      <w:r w:rsidRPr="00CA6DA7" w:rsidR="00A4080A">
        <w:rPr>
          <w:rFonts w:eastAsia="Calibri"/>
          <w:szCs w:val="22"/>
          <w:lang w:eastAsia="en-US"/>
        </w:rPr>
        <w:t xml:space="preserve">and/or Herceptin </w:t>
      </w:r>
      <w:r w:rsidRPr="00CA6DA7" w:rsidR="00C20DF9">
        <w:rPr>
          <w:rFonts w:eastAsia="Calibri"/>
          <w:szCs w:val="22"/>
          <w:lang w:eastAsia="en-US"/>
        </w:rPr>
        <w:t>(</w:t>
      </w:r>
      <w:r w:rsidRPr="00CA6DA7" w:rsidR="00817B9A">
        <w:rPr>
          <w:rFonts w:eastAsia="Calibri"/>
          <w:szCs w:val="22"/>
          <w:lang w:eastAsia="en-US"/>
        </w:rPr>
        <w:t>trastuzumab</w:t>
      </w:r>
      <w:r w:rsidRPr="00CA6DA7" w:rsidR="00C20DF9">
        <w:rPr>
          <w:rFonts w:eastAsia="Calibri"/>
          <w:szCs w:val="22"/>
          <w:lang w:eastAsia="en-US"/>
        </w:rPr>
        <w:t>)</w:t>
      </w:r>
      <w:r w:rsidRPr="00CA6DA7" w:rsidR="00817B9A">
        <w:rPr>
          <w:rFonts w:eastAsia="Calibri"/>
          <w:szCs w:val="22"/>
          <w:lang w:eastAsia="en-US"/>
        </w:rPr>
        <w:t xml:space="preserve"> </w:t>
      </w:r>
      <w:r w:rsidRPr="00CA6DA7" w:rsidR="00A4080A">
        <w:rPr>
          <w:rFonts w:eastAsia="Calibri"/>
          <w:szCs w:val="22"/>
          <w:lang w:eastAsia="en-US"/>
        </w:rPr>
        <w:t>are provided with a health care professional (HCP) educational pack.  This HCP educational pack shall consist of the following:</w:t>
      </w:r>
    </w:p>
    <w:p w:rsidR="008D43BD" w:rsidRPr="00C35677" w:rsidP="008D43BD">
      <w:pPr>
        <w:rPr>
          <w:rFonts w:eastAsia="Calibri"/>
          <w:szCs w:val="22"/>
          <w:lang w:eastAsia="en-US"/>
        </w:rPr>
      </w:pPr>
    </w:p>
    <w:p w:rsidR="008D43BD" w:rsidRPr="00CA6DA7" w:rsidP="008D43BD">
      <w:pPr>
        <w:spacing w:line="276" w:lineRule="auto"/>
        <w:ind w:left="765" w:hanging="357"/>
        <w:rPr>
          <w:rFonts w:eastAsia="Calibri"/>
          <w:szCs w:val="22"/>
          <w:lang w:eastAsia="en-US"/>
        </w:rPr>
      </w:pPr>
      <w:r w:rsidRPr="00CA6DA7" w:rsidR="00A4080A">
        <w:rPr>
          <w:rFonts w:ascii="Symbol" w:hAnsi="Symbol"/>
          <w:szCs w:val="22"/>
          <w:lang w:val="es-ES"/>
        </w:rPr>
        <w:sym w:font="Symbol" w:char="F0B7"/>
      </w:r>
      <w:r w:rsidRPr="00CA6DA7" w:rsidR="00A4080A">
        <w:rPr>
          <w:szCs w:val="24"/>
        </w:rPr>
        <w:tab/>
      </w:r>
      <w:r w:rsidRPr="00CA6DA7" w:rsidR="00A4080A">
        <w:rPr>
          <w:rFonts w:eastAsia="Calibri"/>
          <w:szCs w:val="22"/>
          <w:lang w:eastAsia="en-US"/>
        </w:rPr>
        <w:t xml:space="preserve">Kadcyla </w:t>
      </w:r>
      <w:r w:rsidRPr="00CA6DA7" w:rsidR="00D573C6">
        <w:rPr>
          <w:rFonts w:eastAsia="Calibri"/>
          <w:szCs w:val="22"/>
          <w:lang w:eastAsia="en-US"/>
        </w:rPr>
        <w:t xml:space="preserve">(trastuzumab emtansine) </w:t>
      </w:r>
      <w:r w:rsidRPr="00CA6DA7" w:rsidR="00A4080A">
        <w:rPr>
          <w:rFonts w:eastAsia="Calibri"/>
          <w:szCs w:val="22"/>
          <w:lang w:eastAsia="en-US"/>
        </w:rPr>
        <w:t>SPC</w:t>
      </w:r>
    </w:p>
    <w:p w:rsidR="008D43BD" w:rsidRPr="00CA6DA7" w:rsidP="008D43BD">
      <w:pPr>
        <w:spacing w:line="276" w:lineRule="auto"/>
        <w:ind w:left="765" w:hanging="357"/>
        <w:rPr>
          <w:rFonts w:eastAsia="Calibri"/>
          <w:szCs w:val="22"/>
          <w:lang w:eastAsia="en-US"/>
        </w:rPr>
      </w:pPr>
      <w:r w:rsidRPr="00CA6DA7" w:rsidR="00A4080A">
        <w:rPr>
          <w:rFonts w:ascii="Symbol" w:hAnsi="Symbol"/>
          <w:szCs w:val="22"/>
          <w:lang w:val="es-ES"/>
        </w:rPr>
        <w:sym w:font="Symbol" w:char="F0B7"/>
      </w:r>
      <w:r w:rsidRPr="00CA6DA7" w:rsidR="00A4080A">
        <w:rPr>
          <w:szCs w:val="24"/>
        </w:rPr>
        <w:tab/>
      </w:r>
      <w:r w:rsidRPr="00CA6DA7" w:rsidR="00A4080A">
        <w:rPr>
          <w:rFonts w:eastAsia="Calibri"/>
          <w:szCs w:val="22"/>
          <w:lang w:eastAsia="en-US"/>
        </w:rPr>
        <w:t xml:space="preserve">Health care professional information </w:t>
      </w:r>
    </w:p>
    <w:p w:rsidR="008D43BD" w:rsidRPr="001B4A07" w:rsidP="008D43BD">
      <w:pPr>
        <w:rPr>
          <w:rFonts w:eastAsia="Calibri"/>
          <w:szCs w:val="22"/>
          <w:lang w:eastAsia="en-US"/>
        </w:rPr>
      </w:pPr>
      <w:r w:rsidRPr="001B4A07" w:rsidR="00A4080A">
        <w:rPr>
          <w:rFonts w:eastAsia="Calibri"/>
          <w:szCs w:val="22"/>
          <w:lang w:eastAsia="en-US"/>
        </w:rPr>
        <w:t>The HCP information shall contain the following key messages:</w:t>
      </w:r>
    </w:p>
    <w:p w:rsidR="008D43BD" w:rsidRPr="00C35677" w:rsidP="008D43BD">
      <w:pPr>
        <w:ind w:left="360"/>
        <w:rPr>
          <w:rFonts w:eastAsia="Calibri"/>
          <w:szCs w:val="22"/>
          <w:lang w:eastAsia="en-US"/>
        </w:rPr>
      </w:pPr>
    </w:p>
    <w:p w:rsidR="008D43BD" w:rsidRPr="00CA6DA7" w:rsidP="008D43BD">
      <w:pPr>
        <w:spacing w:line="276" w:lineRule="auto"/>
        <w:ind w:left="357" w:hanging="357"/>
        <w:rPr>
          <w:rFonts w:eastAsia="Calibri"/>
          <w:bCs/>
          <w:szCs w:val="22"/>
        </w:rPr>
      </w:pPr>
      <w:r w:rsidRPr="00621665" w:rsidR="00A4080A">
        <w:rPr>
          <w:rFonts w:eastAsia="Calibri"/>
          <w:szCs w:val="22"/>
        </w:rPr>
        <w:t>1.</w:t>
        <w:tab/>
      </w:r>
      <w:r w:rsidR="00621665">
        <w:rPr>
          <w:rFonts w:eastAsia="Calibri"/>
          <w:szCs w:val="22"/>
        </w:rPr>
        <w:t>Kadcyla (</w:t>
      </w:r>
      <w:r w:rsidR="00621665">
        <w:rPr>
          <w:rFonts w:eastAsia="Calibri"/>
          <w:szCs w:val="22"/>
          <w:lang w:eastAsia="en-US"/>
        </w:rPr>
        <w:t>t</w:t>
      </w:r>
      <w:r w:rsidRPr="00CA6DA7" w:rsidR="00817B9A">
        <w:rPr>
          <w:rFonts w:eastAsia="Calibri"/>
          <w:szCs w:val="22"/>
          <w:lang w:eastAsia="en-US"/>
        </w:rPr>
        <w:t>rastuzumab emtansine</w:t>
      </w:r>
      <w:r w:rsidR="00621665">
        <w:rPr>
          <w:rFonts w:eastAsia="Calibri"/>
          <w:szCs w:val="22"/>
          <w:lang w:eastAsia="en-US"/>
        </w:rPr>
        <w:t>)</w:t>
      </w:r>
      <w:r w:rsidRPr="00CA6DA7" w:rsidR="00A4080A">
        <w:rPr>
          <w:rFonts w:eastAsia="Calibri"/>
          <w:szCs w:val="22"/>
        </w:rPr>
        <w:t xml:space="preserve"> and </w:t>
      </w:r>
      <w:r w:rsidR="00621665">
        <w:rPr>
          <w:rFonts w:eastAsia="Calibri"/>
          <w:szCs w:val="22"/>
        </w:rPr>
        <w:t>Herceptin (</w:t>
      </w:r>
      <w:r w:rsidRPr="00CA6DA7" w:rsidR="00817B9A">
        <w:rPr>
          <w:rFonts w:eastAsia="Calibri"/>
          <w:szCs w:val="22"/>
        </w:rPr>
        <w:t>trastuzumab</w:t>
      </w:r>
      <w:r w:rsidR="00621665">
        <w:rPr>
          <w:rFonts w:eastAsia="Calibri"/>
          <w:szCs w:val="22"/>
        </w:rPr>
        <w:t>)</w:t>
      </w:r>
      <w:r w:rsidRPr="00CA6DA7" w:rsidR="00817B9A">
        <w:rPr>
          <w:rFonts w:eastAsia="Calibri"/>
          <w:szCs w:val="22"/>
        </w:rPr>
        <w:t xml:space="preserve"> </w:t>
      </w:r>
      <w:r w:rsidRPr="00CA6DA7" w:rsidR="00A4080A">
        <w:rPr>
          <w:rFonts w:eastAsia="Calibri"/>
          <w:szCs w:val="22"/>
        </w:rPr>
        <w:t xml:space="preserve">are two very different products with different active substances never to be used interchangeably.  </w:t>
      </w:r>
      <w:r w:rsidR="00621665">
        <w:rPr>
          <w:rFonts w:eastAsia="Calibri"/>
          <w:szCs w:val="22"/>
          <w:lang w:eastAsia="en-US"/>
        </w:rPr>
        <w:t>Kadcyla (t</w:t>
      </w:r>
      <w:r w:rsidRPr="00CA6DA7" w:rsidR="00817B9A">
        <w:rPr>
          <w:rFonts w:eastAsia="Calibri"/>
          <w:szCs w:val="22"/>
          <w:lang w:eastAsia="en-US"/>
        </w:rPr>
        <w:t>rastuzumab emtansine</w:t>
      </w:r>
      <w:r w:rsidR="00621665">
        <w:rPr>
          <w:rFonts w:eastAsia="Calibri"/>
          <w:szCs w:val="22"/>
          <w:lang w:eastAsia="en-US"/>
        </w:rPr>
        <w:t>)</w:t>
      </w:r>
      <w:r w:rsidRPr="00CA6DA7" w:rsidR="00A4080A">
        <w:rPr>
          <w:rFonts w:eastAsia="Calibri"/>
          <w:szCs w:val="22"/>
        </w:rPr>
        <w:t xml:space="preserve"> is NOT a generic version of </w:t>
      </w:r>
      <w:r w:rsidR="00621665">
        <w:rPr>
          <w:rFonts w:eastAsia="Calibri"/>
          <w:szCs w:val="22"/>
        </w:rPr>
        <w:t>Herceptin (</w:t>
      </w:r>
      <w:r w:rsidRPr="00CA6DA7" w:rsidR="00817B9A">
        <w:rPr>
          <w:rFonts w:eastAsia="Calibri"/>
          <w:szCs w:val="22"/>
        </w:rPr>
        <w:t>trastuzumab</w:t>
      </w:r>
      <w:r w:rsidR="00621665">
        <w:rPr>
          <w:rFonts w:eastAsia="Calibri"/>
          <w:szCs w:val="22"/>
        </w:rPr>
        <w:t>)</w:t>
      </w:r>
      <w:r w:rsidRPr="00CA6DA7" w:rsidR="00817B9A">
        <w:rPr>
          <w:rFonts w:eastAsia="Calibri"/>
          <w:szCs w:val="22"/>
        </w:rPr>
        <w:t xml:space="preserve"> </w:t>
      </w:r>
      <w:r w:rsidRPr="00CA6DA7" w:rsidR="00A4080A">
        <w:rPr>
          <w:rFonts w:eastAsia="Calibri"/>
          <w:szCs w:val="22"/>
        </w:rPr>
        <w:t>and has different properties, indications and dose.</w:t>
      </w:r>
    </w:p>
    <w:p w:rsidR="008D43BD" w:rsidRPr="00CA6DA7" w:rsidP="008D43BD">
      <w:pPr>
        <w:spacing w:line="276" w:lineRule="auto"/>
        <w:ind w:left="357" w:hanging="357"/>
        <w:rPr>
          <w:rFonts w:eastAsia="Calibri"/>
          <w:bCs/>
          <w:szCs w:val="22"/>
        </w:rPr>
      </w:pPr>
      <w:r w:rsidRPr="00CA6DA7" w:rsidR="00A4080A">
        <w:rPr>
          <w:rFonts w:eastAsia="Calibri"/>
          <w:szCs w:val="22"/>
          <w:lang w:eastAsia="en-US"/>
        </w:rPr>
        <w:t>2.</w:t>
        <w:tab/>
      </w:r>
      <w:r w:rsidRPr="00CA6DA7" w:rsidR="00817B9A">
        <w:rPr>
          <w:rFonts w:eastAsia="Calibri"/>
          <w:szCs w:val="22"/>
          <w:lang w:eastAsia="en-US"/>
        </w:rPr>
        <w:t>Trastuzumab emtansine</w:t>
      </w:r>
      <w:r w:rsidRPr="00CA6DA7" w:rsidR="00A4080A">
        <w:rPr>
          <w:rFonts w:eastAsia="Calibri"/>
          <w:szCs w:val="22"/>
          <w:lang w:eastAsia="en-US"/>
        </w:rPr>
        <w:t xml:space="preserve"> is an antibody-drug conjugate containing humanized anti-HER2 IgG1 antibody trastuzumab and DM1, a microtubule-inhibitory maytansinoid. </w:t>
      </w:r>
    </w:p>
    <w:p w:rsidR="008D43BD" w:rsidRPr="00CA6DA7" w:rsidP="008D43BD">
      <w:pPr>
        <w:spacing w:line="276" w:lineRule="auto"/>
        <w:ind w:left="357" w:hanging="357"/>
        <w:rPr>
          <w:rFonts w:eastAsia="Calibri"/>
          <w:bCs/>
          <w:szCs w:val="22"/>
        </w:rPr>
      </w:pPr>
      <w:r w:rsidRPr="00CA6DA7" w:rsidR="00A4080A">
        <w:rPr>
          <w:rFonts w:eastAsia="Calibri"/>
          <w:szCs w:val="22"/>
          <w:lang w:eastAsia="en-US"/>
        </w:rPr>
        <w:t>3.</w:t>
        <w:tab/>
        <w:t xml:space="preserve">Do not substitute or combine </w:t>
      </w:r>
      <w:r w:rsidRPr="00CA6DA7" w:rsidR="00817B9A">
        <w:rPr>
          <w:rFonts w:eastAsia="Calibri"/>
          <w:szCs w:val="22"/>
          <w:lang w:eastAsia="en-US"/>
        </w:rPr>
        <w:t>trastuzumab emtansine</w:t>
      </w:r>
      <w:r w:rsidRPr="00CA6DA7" w:rsidR="00A4080A">
        <w:rPr>
          <w:rFonts w:eastAsia="Calibri"/>
          <w:szCs w:val="22"/>
          <w:lang w:eastAsia="en-US"/>
        </w:rPr>
        <w:t xml:space="preserve"> with or for </w:t>
      </w:r>
      <w:r w:rsidRPr="00CA6DA7" w:rsidR="00817B9A">
        <w:rPr>
          <w:rFonts w:eastAsia="Calibri"/>
          <w:szCs w:val="22"/>
          <w:lang w:eastAsia="en-US"/>
        </w:rPr>
        <w:t>trastuzumab</w:t>
      </w:r>
    </w:p>
    <w:p w:rsidR="008D43BD" w:rsidRPr="00CA6DA7" w:rsidP="008D43BD">
      <w:pPr>
        <w:spacing w:line="276" w:lineRule="auto"/>
        <w:ind w:left="357" w:hanging="357"/>
        <w:rPr>
          <w:rFonts w:eastAsia="Calibri"/>
          <w:bCs/>
          <w:szCs w:val="22"/>
        </w:rPr>
      </w:pPr>
      <w:r w:rsidRPr="00CA6DA7" w:rsidR="00A4080A">
        <w:rPr>
          <w:rFonts w:eastAsia="Calibri"/>
          <w:szCs w:val="22"/>
          <w:lang w:eastAsia="en-US"/>
        </w:rPr>
        <w:t>4.</w:t>
        <w:tab/>
        <w:t xml:space="preserve">Do not administer </w:t>
      </w:r>
      <w:r w:rsidRPr="00CA6DA7" w:rsidR="00817B9A">
        <w:rPr>
          <w:rFonts w:eastAsia="Calibri"/>
          <w:szCs w:val="22"/>
          <w:lang w:eastAsia="en-US"/>
        </w:rPr>
        <w:t>trastuzumab emtansine</w:t>
      </w:r>
      <w:r w:rsidRPr="00CA6DA7" w:rsidR="00A4080A">
        <w:rPr>
          <w:rFonts w:eastAsia="Calibri"/>
          <w:szCs w:val="22"/>
          <w:lang w:eastAsia="en-US"/>
        </w:rPr>
        <w:t xml:space="preserve"> in combination with chemotherapy</w:t>
      </w:r>
    </w:p>
    <w:p w:rsidR="008D43BD" w:rsidRPr="001B4A07" w:rsidP="008D43BD">
      <w:pPr>
        <w:spacing w:line="276" w:lineRule="auto"/>
        <w:ind w:left="357" w:hanging="357"/>
        <w:rPr>
          <w:rFonts w:eastAsia="Calibri"/>
          <w:bCs/>
          <w:szCs w:val="22"/>
        </w:rPr>
      </w:pPr>
      <w:r w:rsidRPr="00CA6DA7" w:rsidR="00A4080A">
        <w:rPr>
          <w:rFonts w:eastAsia="Calibri"/>
          <w:szCs w:val="22"/>
          <w:lang w:eastAsia="zh-TW"/>
        </w:rPr>
        <w:t>5.</w:t>
        <w:tab/>
        <w:t xml:space="preserve">Do not administer </w:t>
      </w:r>
      <w:r w:rsidRPr="00CA6DA7" w:rsidR="00817B9A">
        <w:rPr>
          <w:rFonts w:eastAsia="Calibri"/>
          <w:szCs w:val="22"/>
          <w:lang w:eastAsia="en-US"/>
        </w:rPr>
        <w:t>trastuzumab emtansine</w:t>
      </w:r>
      <w:r w:rsidRPr="00CA6DA7" w:rsidR="00A4080A">
        <w:rPr>
          <w:rFonts w:eastAsia="Calibri"/>
          <w:szCs w:val="22"/>
          <w:lang w:eastAsia="zh-TW"/>
        </w:rPr>
        <w:t xml:space="preserve"> at doses </w:t>
      </w:r>
      <w:r w:rsidRPr="00CA6DA7" w:rsidR="00A4080A">
        <w:rPr>
          <w:rFonts w:eastAsia="Calibri"/>
          <w:bCs/>
          <w:szCs w:val="22"/>
          <w:lang w:eastAsia="zh-TW"/>
        </w:rPr>
        <w:t>greater than 3.6 mg/kg once every 3 weeks</w:t>
      </w:r>
      <w:r w:rsidRPr="001B4A07" w:rsidR="00A4080A">
        <w:rPr>
          <w:rFonts w:eastAsia="Calibri"/>
          <w:szCs w:val="22"/>
          <w:lang w:eastAsia="en-US"/>
        </w:rPr>
        <w:t xml:space="preserve"> </w:t>
      </w:r>
    </w:p>
    <w:p w:rsidR="008D43BD" w:rsidRPr="00CA33DF" w:rsidP="008D43BD">
      <w:pPr>
        <w:spacing w:line="276" w:lineRule="auto"/>
        <w:ind w:left="357" w:hanging="357"/>
        <w:rPr>
          <w:rFonts w:eastAsia="Calibri"/>
          <w:bCs/>
          <w:szCs w:val="22"/>
        </w:rPr>
      </w:pPr>
      <w:r w:rsidRPr="00C35677" w:rsidR="00A4080A">
        <w:rPr>
          <w:rFonts w:eastAsia="Calibri"/>
          <w:szCs w:val="22"/>
          <w:lang w:eastAsia="en-US"/>
        </w:rPr>
        <w:t>6.</w:t>
      </w:r>
      <w:r w:rsidRPr="00621665" w:rsidR="00A4080A">
        <w:rPr>
          <w:rFonts w:eastAsia="Calibri"/>
          <w:szCs w:val="22"/>
          <w:lang w:eastAsia="en-US"/>
        </w:rPr>
        <w:tab/>
        <w:t>If a prescription for Kadcyla</w:t>
      </w:r>
      <w:r w:rsidRPr="00621665" w:rsidR="008E1DA8">
        <w:rPr>
          <w:rFonts w:eastAsia="Calibri"/>
          <w:szCs w:val="22"/>
          <w:lang w:eastAsia="en-US"/>
        </w:rPr>
        <w:t xml:space="preserve"> (trastuzumab emtansine)</w:t>
      </w:r>
      <w:r w:rsidRPr="00621665" w:rsidR="00A4080A">
        <w:rPr>
          <w:rFonts w:eastAsia="Calibri"/>
          <w:szCs w:val="22"/>
          <w:lang w:eastAsia="en-US"/>
        </w:rPr>
        <w:t xml:space="preserve"> is written electronically, it is important to</w:t>
      </w:r>
      <w:r w:rsidRPr="00CA33DF" w:rsidR="00A4080A">
        <w:rPr>
          <w:rFonts w:eastAsia="Calibri"/>
          <w:szCs w:val="22"/>
          <w:lang w:eastAsia="en-US"/>
        </w:rPr>
        <w:t xml:space="preserve"> ensure that the </w:t>
      </w:r>
      <w:r w:rsidR="00A4080A">
        <w:rPr>
          <w:rFonts w:eastAsia="Calibri"/>
          <w:szCs w:val="22"/>
          <w:lang w:eastAsia="en-US"/>
        </w:rPr>
        <w:t>medicinal product</w:t>
      </w:r>
      <w:r w:rsidR="00517A75">
        <w:rPr>
          <w:rFonts w:eastAsia="Calibri"/>
          <w:szCs w:val="22"/>
          <w:lang w:eastAsia="en-US"/>
        </w:rPr>
        <w:t xml:space="preserve"> </w:t>
      </w:r>
      <w:r w:rsidRPr="00CA33DF" w:rsidR="00A4080A">
        <w:rPr>
          <w:rFonts w:eastAsia="Calibri"/>
          <w:szCs w:val="22"/>
          <w:lang w:eastAsia="en-US"/>
        </w:rPr>
        <w:t xml:space="preserve">prescribed is trastuzumab emtansine and not trastuzumab. </w:t>
      </w:r>
    </w:p>
    <w:p w:rsidR="008D43BD" w:rsidRPr="00CA33DF" w:rsidP="008D43BD">
      <w:pPr>
        <w:spacing w:line="276" w:lineRule="auto"/>
        <w:ind w:left="357" w:hanging="357"/>
        <w:rPr>
          <w:rFonts w:eastAsia="Calibri"/>
          <w:bCs/>
          <w:szCs w:val="22"/>
        </w:rPr>
      </w:pPr>
      <w:r w:rsidR="00A4080A">
        <w:rPr>
          <w:rFonts w:eastAsia="Calibri"/>
          <w:szCs w:val="22"/>
          <w:lang w:eastAsia="en-US"/>
        </w:rPr>
        <w:t>7.</w:t>
        <w:tab/>
      </w:r>
      <w:r w:rsidRPr="00CA33DF" w:rsidR="00A4080A">
        <w:rPr>
          <w:rFonts w:eastAsia="Calibri"/>
          <w:szCs w:val="22"/>
          <w:lang w:eastAsia="en-US"/>
        </w:rPr>
        <w:t>Both the invented name Kadcyla</w:t>
      </w:r>
      <w:r w:rsidRPr="00CA33DF" w:rsidR="00A4080A">
        <w:rPr>
          <w:rFonts w:eastAsia="Calibri"/>
          <w:b/>
          <w:szCs w:val="22"/>
          <w:lang w:eastAsia="en-US"/>
        </w:rPr>
        <w:t xml:space="preserve"> </w:t>
      </w:r>
      <w:r w:rsidRPr="00CA33DF" w:rsidR="00A4080A">
        <w:rPr>
          <w:rFonts w:eastAsia="Calibri"/>
          <w:szCs w:val="22"/>
          <w:lang w:eastAsia="en-US"/>
        </w:rPr>
        <w:t>and its full non-proprietary name (trastuzumab emtansine) should be used and confirmed when prescribing, preparing the infusion solution and administering Kadcyla</w:t>
      </w:r>
      <w:r w:rsidR="0053431A">
        <w:rPr>
          <w:rFonts w:eastAsia="Calibri"/>
          <w:szCs w:val="22"/>
          <w:lang w:eastAsia="en-US"/>
        </w:rPr>
        <w:t xml:space="preserve"> (trastuzumab emtansine)</w:t>
      </w:r>
      <w:r w:rsidRPr="00CA33DF" w:rsidR="00A4080A">
        <w:rPr>
          <w:rFonts w:eastAsia="Calibri"/>
          <w:szCs w:val="22"/>
          <w:lang w:eastAsia="en-US"/>
        </w:rPr>
        <w:t xml:space="preserve"> to patients. It must be verified that the non-proprietary name is trastuzumab emtansine.</w:t>
      </w:r>
    </w:p>
    <w:p w:rsidR="008D43BD" w:rsidRPr="001B4A07" w:rsidP="008D43BD">
      <w:pPr>
        <w:spacing w:line="276" w:lineRule="auto"/>
        <w:ind w:left="357" w:hanging="357"/>
        <w:rPr>
          <w:rFonts w:eastAsia="Calibri"/>
          <w:bCs/>
          <w:szCs w:val="22"/>
        </w:rPr>
      </w:pPr>
      <w:r w:rsidR="00A4080A">
        <w:rPr>
          <w:rFonts w:eastAsia="Calibri"/>
          <w:szCs w:val="22"/>
          <w:lang w:eastAsia="en-US"/>
        </w:rPr>
        <w:t>8.</w:t>
        <w:tab/>
      </w:r>
      <w:r w:rsidRPr="00CA33DF" w:rsidR="00A4080A">
        <w:rPr>
          <w:rFonts w:eastAsia="Calibri"/>
          <w:szCs w:val="22"/>
          <w:lang w:eastAsia="en-US"/>
        </w:rPr>
        <w:t xml:space="preserve">In order to prevent </w:t>
      </w:r>
      <w:r w:rsidR="00A4080A">
        <w:rPr>
          <w:rFonts w:eastAsia="Calibri"/>
          <w:szCs w:val="22"/>
          <w:lang w:eastAsia="en-US"/>
        </w:rPr>
        <w:t>medicinal product</w:t>
      </w:r>
      <w:r w:rsidR="00517A75">
        <w:rPr>
          <w:rFonts w:eastAsia="Calibri"/>
          <w:szCs w:val="22"/>
          <w:lang w:eastAsia="en-US"/>
        </w:rPr>
        <w:t xml:space="preserve"> </w:t>
      </w:r>
      <w:r w:rsidRPr="00CA33DF" w:rsidR="00A4080A">
        <w:rPr>
          <w:rFonts w:eastAsia="Calibri"/>
          <w:szCs w:val="22"/>
          <w:lang w:eastAsia="en-US"/>
        </w:rPr>
        <w:t xml:space="preserve">errors it is important to review the Summary of Product Characteristics and to check the outer carton and vial labels to ensure that the medicinal product </w:t>
      </w:r>
      <w:r w:rsidRPr="00CA6DA7" w:rsidR="00A4080A">
        <w:rPr>
          <w:rFonts w:eastAsia="Calibri"/>
          <w:szCs w:val="22"/>
          <w:lang w:eastAsia="en-US"/>
        </w:rPr>
        <w:t>being prepared and administered is Kadcyla</w:t>
      </w:r>
      <w:r w:rsidRPr="00CA6DA7" w:rsidR="008E1DA8">
        <w:rPr>
          <w:rFonts w:eastAsia="Calibri"/>
          <w:szCs w:val="22"/>
          <w:lang w:eastAsia="en-US"/>
        </w:rPr>
        <w:t xml:space="preserve"> (trastuzumab emtansine)</w:t>
      </w:r>
      <w:r w:rsidRPr="00CA6DA7" w:rsidR="00A4080A">
        <w:rPr>
          <w:rFonts w:eastAsia="Calibri"/>
          <w:szCs w:val="22"/>
          <w:lang w:eastAsia="en-US"/>
        </w:rPr>
        <w:t xml:space="preserve"> and not </w:t>
      </w:r>
      <w:r w:rsidRPr="00CA6DA7" w:rsidR="008E1DA8">
        <w:rPr>
          <w:rFonts w:eastAsia="Calibri"/>
          <w:szCs w:val="22"/>
          <w:lang w:eastAsia="en-US"/>
        </w:rPr>
        <w:t>trast</w:t>
      </w:r>
      <w:r w:rsidRPr="001B4A07" w:rsidR="008E1DA8">
        <w:rPr>
          <w:rFonts w:eastAsia="Calibri"/>
          <w:szCs w:val="22"/>
          <w:lang w:eastAsia="en-US"/>
        </w:rPr>
        <w:t>uzumab</w:t>
      </w:r>
      <w:r w:rsidRPr="001B4A07" w:rsidR="00A4080A">
        <w:rPr>
          <w:rFonts w:eastAsia="Calibri"/>
          <w:szCs w:val="22"/>
          <w:lang w:eastAsia="en-US"/>
        </w:rPr>
        <w:t xml:space="preserve">. </w:t>
      </w:r>
    </w:p>
    <w:p w:rsidR="00817B9A" w:rsidRPr="00CA33DF" w:rsidP="008D43BD">
      <w:pPr>
        <w:spacing w:line="276" w:lineRule="auto"/>
        <w:ind w:left="357" w:hanging="357"/>
        <w:rPr>
          <w:iCs/>
          <w:noProof/>
          <w:szCs w:val="22"/>
          <w:lang w:eastAsia="en-US"/>
        </w:rPr>
      </w:pPr>
      <w:r w:rsidRPr="00C35677" w:rsidR="00A4080A">
        <w:rPr>
          <w:rFonts w:eastAsia="Calibri"/>
          <w:szCs w:val="22"/>
          <w:lang w:eastAsia="en-US"/>
        </w:rPr>
        <w:t>9.</w:t>
        <w:tab/>
        <w:t xml:space="preserve">Description of the key differences between </w:t>
      </w:r>
      <w:r w:rsidRPr="00CA6DA7">
        <w:rPr>
          <w:rFonts w:eastAsia="Calibri"/>
          <w:szCs w:val="22"/>
          <w:lang w:eastAsia="en-US"/>
        </w:rPr>
        <w:t>trastuzumab emtansine</w:t>
      </w:r>
      <w:r w:rsidRPr="00CA6DA7" w:rsidR="00A4080A">
        <w:rPr>
          <w:rFonts w:eastAsia="Calibri"/>
          <w:szCs w:val="22"/>
          <w:lang w:eastAsia="en-US"/>
        </w:rPr>
        <w:t xml:space="preserve"> and </w:t>
      </w:r>
      <w:r w:rsidRPr="00CA6DA7">
        <w:rPr>
          <w:rFonts w:eastAsia="Calibri"/>
          <w:szCs w:val="22"/>
          <w:lang w:eastAsia="en-US"/>
        </w:rPr>
        <w:t xml:space="preserve">trastuzumab </w:t>
      </w:r>
      <w:r w:rsidRPr="00CA6DA7" w:rsidR="00A4080A">
        <w:rPr>
          <w:rFonts w:eastAsia="Calibri"/>
          <w:szCs w:val="22"/>
          <w:lang w:eastAsia="en-US"/>
        </w:rPr>
        <w:t>in relation to indication, dose, administration and packaging differences.</w:t>
      </w:r>
      <w:r w:rsidRPr="00CA33DF" w:rsidR="00A4080A">
        <w:rPr>
          <w:rFonts w:eastAsia="Calibri"/>
          <w:szCs w:val="22"/>
          <w:lang w:eastAsia="en-US"/>
        </w:rPr>
        <w:t xml:space="preserve"> </w:t>
      </w:r>
    </w:p>
    <w:p w:rsidR="008D43BD" w:rsidRPr="00CA33DF" w:rsidP="008D43BD">
      <w:pPr>
        <w:spacing w:line="276" w:lineRule="auto"/>
        <w:ind w:left="357" w:hanging="357"/>
        <w:rPr>
          <w:iCs/>
          <w:noProof/>
          <w:szCs w:val="22"/>
          <w:lang w:eastAsia="en-US"/>
        </w:rPr>
      </w:pPr>
    </w:p>
    <w:p w:rsidR="006021B6" w:rsidRPr="004550DB" w:rsidP="006021B6">
      <w:pPr>
        <w:autoSpaceDE w:val="0"/>
        <w:autoSpaceDN w:val="0"/>
        <w:adjustRightInd w:val="0"/>
        <w:rPr>
          <w:rFonts w:eastAsia="Calibri"/>
          <w:b/>
          <w:szCs w:val="22"/>
          <w:lang w:eastAsia="en-US"/>
        </w:rPr>
      </w:pPr>
      <w:r w:rsidRPr="004550DB">
        <w:rPr>
          <w:rFonts w:eastAsia="Calibri"/>
          <w:b/>
          <w:szCs w:val="22"/>
          <w:lang w:eastAsia="en-US"/>
        </w:rPr>
        <w:t>Obligation to conduct post-authorisation measures</w:t>
      </w:r>
    </w:p>
    <w:p w:rsidR="006021B6" w:rsidRPr="004550DB" w:rsidP="006021B6">
      <w:pPr>
        <w:autoSpaceDE w:val="0"/>
        <w:autoSpaceDN w:val="0"/>
        <w:adjustRightInd w:val="0"/>
        <w:rPr>
          <w:rFonts w:eastAsia="Calibri"/>
          <w:szCs w:val="22"/>
          <w:lang w:eastAsia="en-US"/>
        </w:rPr>
      </w:pPr>
    </w:p>
    <w:p w:rsidR="006021B6" w:rsidRPr="004550DB" w:rsidP="006021B6">
      <w:pPr>
        <w:autoSpaceDE w:val="0"/>
        <w:autoSpaceDN w:val="0"/>
        <w:adjustRightInd w:val="0"/>
        <w:rPr>
          <w:rFonts w:eastAsia="Calibri"/>
          <w:szCs w:val="22"/>
          <w:lang w:eastAsia="en-US"/>
        </w:rPr>
      </w:pPr>
      <w:r w:rsidRPr="004550DB">
        <w:rPr>
          <w:rFonts w:eastAsia="Calibri"/>
          <w:szCs w:val="22"/>
          <w:lang w:eastAsia="en-US"/>
        </w:rPr>
        <w:t>The MAH shall complete, within the stated timeframe, the below measures:</w:t>
      </w:r>
    </w:p>
    <w:p w:rsidR="006021B6" w:rsidRPr="004550DB" w:rsidP="006021B6">
      <w:pPr>
        <w:autoSpaceDE w:val="0"/>
        <w:autoSpaceDN w:val="0"/>
        <w:adjustRightInd w:val="0"/>
        <w:rPr>
          <w:rFonts w:eastAsia="Calibri"/>
          <w:szCs w:val="22"/>
          <w:lang w:eastAsia="en-US"/>
        </w:rPr>
      </w:pP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99"/>
        <w:gridCol w:w="2263"/>
      </w:tblGrid>
      <w:tr w:rsidTr="00B70673">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6799" w:type="dxa"/>
            <w:shd w:val="clear" w:color="auto" w:fill="auto"/>
          </w:tcPr>
          <w:p w:rsidR="006021B6" w:rsidRPr="004550DB" w:rsidP="00B70673">
            <w:pPr>
              <w:autoSpaceDE w:val="0"/>
              <w:autoSpaceDN w:val="0"/>
              <w:adjustRightInd w:val="0"/>
              <w:rPr>
                <w:rFonts w:eastAsia="Calibri"/>
                <w:szCs w:val="22"/>
                <w:lang w:eastAsia="en-US"/>
              </w:rPr>
            </w:pPr>
            <w:r w:rsidRPr="004550DB">
              <w:rPr>
                <w:rFonts w:eastAsia="Calibri"/>
                <w:szCs w:val="22"/>
                <w:lang w:eastAsia="en-US"/>
              </w:rPr>
              <w:t>Description</w:t>
            </w:r>
          </w:p>
        </w:tc>
        <w:tc>
          <w:tcPr>
            <w:tcW w:w="2263" w:type="dxa"/>
            <w:shd w:val="clear" w:color="auto" w:fill="auto"/>
          </w:tcPr>
          <w:p w:rsidR="006021B6" w:rsidRPr="004550DB" w:rsidP="00B70673">
            <w:pPr>
              <w:autoSpaceDE w:val="0"/>
              <w:autoSpaceDN w:val="0"/>
              <w:adjustRightInd w:val="0"/>
              <w:rPr>
                <w:rFonts w:eastAsia="Calibri"/>
                <w:szCs w:val="22"/>
                <w:lang w:eastAsia="en-US"/>
              </w:rPr>
            </w:pPr>
            <w:r w:rsidRPr="004550DB">
              <w:rPr>
                <w:rFonts w:eastAsia="Calibri"/>
                <w:szCs w:val="22"/>
                <w:lang w:eastAsia="en-US"/>
              </w:rPr>
              <w:t>Due date</w:t>
            </w:r>
          </w:p>
        </w:tc>
      </w:tr>
      <w:tr w:rsidTr="00B70673">
        <w:tblPrEx>
          <w:tblW w:w="0" w:type="auto"/>
          <w:tblLook w:val="04A0"/>
        </w:tblPrEx>
        <w:tc>
          <w:tcPr>
            <w:tcW w:w="6799" w:type="dxa"/>
            <w:shd w:val="clear" w:color="auto" w:fill="auto"/>
          </w:tcPr>
          <w:p w:rsidR="006021B6" w:rsidRPr="004550DB" w:rsidP="00B70673">
            <w:pPr>
              <w:pStyle w:val="Paragraph"/>
              <w:rPr>
                <w:rFonts w:ascii="Times New Roman" w:eastAsia="Calibri" w:hAnsi="Times New Roman"/>
                <w:sz w:val="22"/>
                <w:szCs w:val="22"/>
                <w:lang w:eastAsia="en-US"/>
              </w:rPr>
            </w:pPr>
            <w:r w:rsidRPr="00A977E8" w:rsidR="00203395">
              <w:rPr>
                <w:rFonts w:ascii="Times New Roman" w:eastAsia="Calibri" w:hAnsi="Times New Roman"/>
                <w:sz w:val="22"/>
                <w:szCs w:val="22"/>
                <w:lang w:eastAsia="en-US"/>
              </w:rPr>
              <w:t>PAES: In order to further investigate the efficacy of trastuzumab emtansine in the adjuvant treatment of adult patients with HER2-positive early breast cancer who have residual invasive disease, in the breast and/or lymph nodes, after neoadjuvant taxane-based and HER2-targeted therapy, the MAH should submit the final analysis of OS from the phase 3, randomised, open-label study KATHERINE (BO27938).</w:t>
            </w:r>
          </w:p>
        </w:tc>
        <w:tc>
          <w:tcPr>
            <w:tcW w:w="2263" w:type="dxa"/>
            <w:shd w:val="clear" w:color="auto" w:fill="auto"/>
          </w:tcPr>
          <w:p w:rsidR="006021B6" w:rsidRPr="00B70673" w:rsidP="00B70673">
            <w:pPr>
              <w:pStyle w:val="Paragraph"/>
              <w:rPr>
                <w:rFonts w:ascii="Times New Roman" w:eastAsia="Calibri" w:hAnsi="Times New Roman"/>
                <w:sz w:val="22"/>
                <w:szCs w:val="22"/>
                <w:lang w:eastAsia="en-US"/>
              </w:rPr>
            </w:pPr>
            <w:r w:rsidR="00203395">
              <w:rPr>
                <w:rFonts w:ascii="Times New Roman" w:eastAsia="Calibri" w:hAnsi="Times New Roman"/>
                <w:sz w:val="22"/>
                <w:szCs w:val="22"/>
                <w:lang w:eastAsia="en-US"/>
              </w:rPr>
              <w:t>30 June 2024</w:t>
            </w:r>
          </w:p>
        </w:tc>
      </w:tr>
    </w:tbl>
    <w:p w:rsidR="008D43BD" w:rsidRPr="00CA33DF" w:rsidP="008D43BD">
      <w:pPr>
        <w:tabs>
          <w:tab w:val="left" w:pos="567"/>
        </w:tabs>
        <w:spacing w:line="260" w:lineRule="exact"/>
        <w:ind w:right="-1"/>
        <w:rPr>
          <w:iCs/>
          <w:noProof/>
          <w:szCs w:val="22"/>
          <w:lang w:eastAsia="en-US"/>
        </w:rPr>
      </w:pPr>
    </w:p>
    <w:p w:rsidR="008D43BD" w:rsidP="008D43BD">
      <w:pPr>
        <w:jc w:val="center"/>
        <w:rPr>
          <w:szCs w:val="22"/>
        </w:rPr>
      </w:pPr>
      <w:r w:rsidR="00A4080A">
        <w:rPr>
          <w:szCs w:val="22"/>
        </w:rPr>
        <w:br w:type="page"/>
      </w:r>
    </w:p>
    <w:p w:rsidR="008D43BD" w:rsidP="008D43BD">
      <w:pPr>
        <w:jc w:val="center"/>
        <w:rPr>
          <w:szCs w:val="22"/>
        </w:rPr>
      </w:pPr>
    </w:p>
    <w:p w:rsidR="008D43BD" w:rsidP="008D43BD">
      <w:pPr>
        <w:jc w:val="center"/>
        <w:rPr>
          <w:szCs w:val="22"/>
        </w:rPr>
      </w:pPr>
    </w:p>
    <w:p w:rsidR="008D43BD" w:rsidP="008D43BD">
      <w:pPr>
        <w:jc w:val="center"/>
        <w:rPr>
          <w:szCs w:val="22"/>
        </w:rPr>
      </w:pPr>
    </w:p>
    <w:p w:rsidR="008D43BD" w:rsidP="008D43BD">
      <w:pPr>
        <w:jc w:val="center"/>
        <w:rPr>
          <w:szCs w:val="22"/>
        </w:rPr>
      </w:pPr>
    </w:p>
    <w:p w:rsidR="008D43BD" w:rsidP="008D43BD">
      <w:pPr>
        <w:jc w:val="center"/>
        <w:rPr>
          <w:szCs w:val="22"/>
        </w:rPr>
      </w:pPr>
    </w:p>
    <w:p w:rsidR="008D43BD" w:rsidRPr="005F62B2" w:rsidP="008D43BD">
      <w:pPr>
        <w:jc w:val="center"/>
        <w:rPr>
          <w:szCs w:val="22"/>
        </w:rPr>
      </w:pPr>
    </w:p>
    <w:p w:rsidR="008D43BD" w:rsidRPr="005F62B2" w:rsidP="008D43BD">
      <w:pPr>
        <w:jc w:val="center"/>
        <w:rPr>
          <w:szCs w:val="22"/>
        </w:rPr>
      </w:pPr>
    </w:p>
    <w:p w:rsidR="008D43BD" w:rsidRPr="005F62B2" w:rsidP="008D43BD">
      <w:pPr>
        <w:jc w:val="center"/>
        <w:rPr>
          <w:szCs w:val="22"/>
        </w:rPr>
      </w:pPr>
    </w:p>
    <w:p w:rsidR="008D43BD" w:rsidRPr="005F62B2" w:rsidP="008D43BD">
      <w:pPr>
        <w:jc w:val="center"/>
        <w:rPr>
          <w:szCs w:val="22"/>
        </w:rPr>
      </w:pPr>
    </w:p>
    <w:p w:rsidR="008D43BD" w:rsidRPr="00123D7D" w:rsidP="008D43BD">
      <w:pPr>
        <w:rPr>
          <w:szCs w:val="22"/>
        </w:rPr>
      </w:pPr>
    </w:p>
    <w:p w:rsidR="008D43BD" w:rsidRPr="00123D7D" w:rsidP="008D43BD">
      <w:pPr>
        <w:rPr>
          <w:szCs w:val="22"/>
        </w:rPr>
      </w:pPr>
    </w:p>
    <w:p w:rsidR="008D43BD" w:rsidRPr="00123D7D" w:rsidP="008D43BD">
      <w:pPr>
        <w:rPr>
          <w:szCs w:val="22"/>
        </w:rPr>
      </w:pPr>
    </w:p>
    <w:p w:rsidR="008D43BD" w:rsidRPr="00123D7D" w:rsidP="008D43BD">
      <w:pPr>
        <w:rPr>
          <w:szCs w:val="22"/>
        </w:rPr>
      </w:pPr>
    </w:p>
    <w:p w:rsidR="008D43BD" w:rsidRPr="00123D7D" w:rsidP="008D43BD">
      <w:pPr>
        <w:rPr>
          <w:szCs w:val="22"/>
        </w:rPr>
      </w:pPr>
    </w:p>
    <w:p w:rsidR="008D43BD" w:rsidRPr="00123D7D" w:rsidP="008D43BD">
      <w:pPr>
        <w:rPr>
          <w:szCs w:val="22"/>
        </w:rPr>
      </w:pPr>
    </w:p>
    <w:p w:rsidR="008D43BD" w:rsidRPr="00123D7D" w:rsidP="008D43BD">
      <w:pPr>
        <w:rPr>
          <w:szCs w:val="22"/>
        </w:rPr>
      </w:pPr>
    </w:p>
    <w:p w:rsidR="008D43BD" w:rsidP="008D43BD">
      <w:pPr>
        <w:rPr>
          <w:szCs w:val="22"/>
        </w:rPr>
      </w:pPr>
    </w:p>
    <w:p w:rsidR="00CF1163" w:rsidRPr="00123D7D" w:rsidP="008D43BD">
      <w:pPr>
        <w:rPr>
          <w:szCs w:val="22"/>
        </w:rPr>
      </w:pPr>
    </w:p>
    <w:p w:rsidR="008D43BD" w:rsidRPr="00123D7D" w:rsidP="008D43BD">
      <w:pPr>
        <w:rPr>
          <w:szCs w:val="22"/>
        </w:rPr>
      </w:pPr>
    </w:p>
    <w:p w:rsidR="008D43BD" w:rsidRPr="00123D7D" w:rsidP="008D43BD">
      <w:pPr>
        <w:rPr>
          <w:szCs w:val="22"/>
        </w:rPr>
      </w:pPr>
    </w:p>
    <w:p w:rsidR="008D43BD" w:rsidRPr="00123D7D" w:rsidP="008D43BD">
      <w:pPr>
        <w:rPr>
          <w:szCs w:val="22"/>
        </w:rPr>
      </w:pPr>
    </w:p>
    <w:p w:rsidR="008D43BD" w:rsidRPr="00123D7D" w:rsidP="008D43BD">
      <w:pPr>
        <w:rPr>
          <w:szCs w:val="22"/>
        </w:rPr>
      </w:pPr>
    </w:p>
    <w:p w:rsidR="008D43BD" w:rsidRPr="00123D7D" w:rsidP="008D43BD">
      <w:pPr>
        <w:rPr>
          <w:szCs w:val="22"/>
        </w:rPr>
      </w:pPr>
    </w:p>
    <w:p w:rsidR="008D43BD" w:rsidRPr="005F62B2" w:rsidP="008D43BD">
      <w:pPr>
        <w:jc w:val="center"/>
        <w:outlineLvl w:val="0"/>
        <w:rPr>
          <w:b/>
          <w:szCs w:val="22"/>
        </w:rPr>
      </w:pPr>
      <w:r w:rsidRPr="005F62B2" w:rsidR="00A4080A">
        <w:rPr>
          <w:b/>
          <w:szCs w:val="22"/>
        </w:rPr>
        <w:t>ANNEX III</w:t>
      </w:r>
    </w:p>
    <w:p w:rsidR="008D43BD" w:rsidRPr="005F62B2" w:rsidP="008D43BD">
      <w:pPr>
        <w:jc w:val="center"/>
        <w:rPr>
          <w:b/>
          <w:szCs w:val="22"/>
        </w:rPr>
      </w:pPr>
    </w:p>
    <w:p w:rsidR="008D43BD" w:rsidRPr="005F62B2" w:rsidP="008D43BD">
      <w:pPr>
        <w:jc w:val="center"/>
        <w:outlineLvl w:val="0"/>
        <w:rPr>
          <w:b/>
          <w:szCs w:val="22"/>
        </w:rPr>
      </w:pPr>
      <w:r w:rsidRPr="005F62B2" w:rsidR="00A4080A">
        <w:rPr>
          <w:b/>
          <w:szCs w:val="22"/>
        </w:rPr>
        <w:t>LABELLING AND PACKAGE LEAFLET</w:t>
      </w:r>
    </w:p>
    <w:p w:rsidR="008D43BD" w:rsidRPr="00123D7D" w:rsidP="008D43BD">
      <w:pPr>
        <w:rPr>
          <w:szCs w:val="22"/>
        </w:rPr>
      </w:pPr>
    </w:p>
    <w:p w:rsidR="008D43BD" w:rsidRPr="00123D7D" w:rsidP="008D43BD">
      <w:pPr>
        <w:rPr>
          <w:szCs w:val="22"/>
        </w:rPr>
      </w:pPr>
      <w:r w:rsidRPr="00123D7D" w:rsidR="00A4080A">
        <w:rPr>
          <w:szCs w:val="22"/>
        </w:rPr>
        <w:br w:type="page"/>
      </w:r>
    </w:p>
    <w:p w:rsidR="008D43BD" w:rsidRPr="00123D7D" w:rsidP="008D43BD">
      <w:pPr>
        <w:rPr>
          <w:szCs w:val="22"/>
        </w:rPr>
      </w:pPr>
    </w:p>
    <w:p w:rsidR="008D43BD" w:rsidRPr="00123D7D" w:rsidP="008D43BD">
      <w:pPr>
        <w:rPr>
          <w:szCs w:val="22"/>
        </w:rPr>
      </w:pPr>
    </w:p>
    <w:p w:rsidR="008D43BD" w:rsidRPr="00123D7D" w:rsidP="008D43BD">
      <w:pPr>
        <w:rPr>
          <w:szCs w:val="22"/>
        </w:rPr>
      </w:pPr>
    </w:p>
    <w:p w:rsidR="008D43BD" w:rsidRPr="00123D7D" w:rsidP="008D43BD">
      <w:pPr>
        <w:rPr>
          <w:szCs w:val="22"/>
        </w:rPr>
      </w:pPr>
    </w:p>
    <w:p w:rsidR="008D43BD" w:rsidRPr="00123D7D" w:rsidP="008D43BD">
      <w:pPr>
        <w:rPr>
          <w:szCs w:val="22"/>
        </w:rPr>
      </w:pPr>
    </w:p>
    <w:p w:rsidR="008D43BD" w:rsidRPr="00123D7D" w:rsidP="008D43BD">
      <w:pPr>
        <w:rPr>
          <w:szCs w:val="22"/>
        </w:rPr>
      </w:pPr>
    </w:p>
    <w:p w:rsidR="008D43BD" w:rsidRPr="00123D7D" w:rsidP="008D43BD">
      <w:pPr>
        <w:rPr>
          <w:szCs w:val="22"/>
        </w:rPr>
      </w:pPr>
    </w:p>
    <w:p w:rsidR="008D43BD" w:rsidRPr="00123D7D" w:rsidP="008D43BD">
      <w:pPr>
        <w:rPr>
          <w:szCs w:val="22"/>
        </w:rPr>
      </w:pPr>
    </w:p>
    <w:p w:rsidR="008D43BD" w:rsidRPr="00123D7D" w:rsidP="008D43BD">
      <w:pPr>
        <w:rPr>
          <w:szCs w:val="22"/>
        </w:rPr>
      </w:pPr>
    </w:p>
    <w:p w:rsidR="008D43BD" w:rsidRPr="00123D7D" w:rsidP="008D43BD">
      <w:pPr>
        <w:rPr>
          <w:szCs w:val="22"/>
        </w:rPr>
      </w:pPr>
    </w:p>
    <w:p w:rsidR="008D43BD" w:rsidRPr="00123D7D" w:rsidP="008D43BD">
      <w:pPr>
        <w:rPr>
          <w:szCs w:val="22"/>
        </w:rPr>
      </w:pPr>
    </w:p>
    <w:p w:rsidR="008D43BD" w:rsidRPr="00123D7D" w:rsidP="008D43BD">
      <w:pPr>
        <w:rPr>
          <w:szCs w:val="22"/>
        </w:rPr>
      </w:pPr>
    </w:p>
    <w:p w:rsidR="008D43BD" w:rsidRPr="00123D7D" w:rsidP="008D43BD">
      <w:pPr>
        <w:rPr>
          <w:szCs w:val="22"/>
        </w:rPr>
      </w:pPr>
    </w:p>
    <w:p w:rsidR="008D43BD" w:rsidRPr="00123D7D" w:rsidP="008D43BD">
      <w:pPr>
        <w:rPr>
          <w:szCs w:val="22"/>
        </w:rPr>
      </w:pPr>
    </w:p>
    <w:p w:rsidR="008D43BD" w:rsidRPr="00123D7D" w:rsidP="008D43BD">
      <w:pPr>
        <w:rPr>
          <w:szCs w:val="22"/>
        </w:rPr>
      </w:pPr>
    </w:p>
    <w:p w:rsidR="008D43BD" w:rsidRPr="00123D7D" w:rsidP="008D43BD">
      <w:pPr>
        <w:rPr>
          <w:szCs w:val="22"/>
        </w:rPr>
      </w:pPr>
    </w:p>
    <w:p w:rsidR="008D43BD" w:rsidRPr="00123D7D" w:rsidP="008D43BD">
      <w:pPr>
        <w:rPr>
          <w:szCs w:val="22"/>
        </w:rPr>
      </w:pPr>
    </w:p>
    <w:p w:rsidR="008D43BD" w:rsidP="008D43BD">
      <w:pPr>
        <w:rPr>
          <w:szCs w:val="22"/>
        </w:rPr>
      </w:pPr>
    </w:p>
    <w:p w:rsidR="00CF1163" w:rsidRPr="00123D7D" w:rsidP="008D43BD">
      <w:pPr>
        <w:rPr>
          <w:szCs w:val="22"/>
        </w:rPr>
      </w:pPr>
    </w:p>
    <w:p w:rsidR="008D43BD" w:rsidRPr="00123D7D" w:rsidP="008D43BD">
      <w:pPr>
        <w:rPr>
          <w:szCs w:val="22"/>
        </w:rPr>
      </w:pPr>
    </w:p>
    <w:p w:rsidR="008D43BD" w:rsidRPr="00123D7D" w:rsidP="008D43BD">
      <w:pPr>
        <w:rPr>
          <w:szCs w:val="22"/>
        </w:rPr>
      </w:pPr>
    </w:p>
    <w:p w:rsidR="008D43BD" w:rsidRPr="00123D7D" w:rsidP="008D43BD">
      <w:pPr>
        <w:rPr>
          <w:szCs w:val="22"/>
        </w:rPr>
      </w:pPr>
    </w:p>
    <w:p w:rsidR="008D43BD" w:rsidRPr="00123D7D" w:rsidP="008D43BD">
      <w:pPr>
        <w:rPr>
          <w:szCs w:val="22"/>
        </w:rPr>
      </w:pPr>
    </w:p>
    <w:p w:rsidR="008D43BD" w:rsidRPr="005F62B2" w:rsidP="008D43BD">
      <w:pPr>
        <w:pStyle w:val="Annex"/>
        <w:rPr>
          <w:szCs w:val="22"/>
        </w:rPr>
      </w:pPr>
      <w:r w:rsidRPr="005F62B2" w:rsidR="00A4080A">
        <w:rPr>
          <w:szCs w:val="22"/>
        </w:rPr>
        <w:t>A. LABELLING</w:t>
      </w:r>
    </w:p>
    <w:p w:rsidR="008D43BD" w:rsidRPr="005F62B2" w:rsidP="008D43BD">
      <w:pPr>
        <w:rPr>
          <w:szCs w:val="22"/>
        </w:rPr>
      </w:pPr>
      <w:r w:rsidRPr="005F62B2" w:rsidR="00A4080A">
        <w:rPr>
          <w:szCs w:val="22"/>
        </w:rPr>
        <w:br w:type="page"/>
      </w: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87"/>
      </w:tblGrid>
      <w:tr w:rsidTr="008D43B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9287" w:type="dxa"/>
            <w:tcBorders>
              <w:bottom w:val="single" w:sz="4" w:space="0" w:color="auto"/>
            </w:tcBorders>
          </w:tcPr>
          <w:p w:rsidR="008D43BD" w:rsidRPr="005F62B2" w:rsidP="008D43BD">
            <w:pPr>
              <w:rPr>
                <w:b/>
                <w:szCs w:val="22"/>
              </w:rPr>
            </w:pPr>
            <w:r w:rsidRPr="005F62B2" w:rsidR="00A4080A">
              <w:rPr>
                <w:b/>
                <w:szCs w:val="22"/>
              </w:rPr>
              <w:t>PARTICULARS TO APPEAR ON THE OUTER PACKAGING</w:t>
            </w:r>
          </w:p>
          <w:p w:rsidR="008D43BD" w:rsidRPr="005F62B2" w:rsidP="008D43BD">
            <w:pPr>
              <w:rPr>
                <w:b/>
                <w:szCs w:val="22"/>
              </w:rPr>
            </w:pPr>
          </w:p>
          <w:p w:rsidR="008D43BD" w:rsidRPr="005F62B2" w:rsidP="008D43BD">
            <w:pPr>
              <w:rPr>
                <w:szCs w:val="22"/>
              </w:rPr>
            </w:pPr>
            <w:r w:rsidRPr="005F62B2" w:rsidR="00A4080A">
              <w:rPr>
                <w:b/>
                <w:szCs w:val="22"/>
              </w:rPr>
              <w:t xml:space="preserve">CARTON </w:t>
            </w:r>
          </w:p>
        </w:tc>
      </w:tr>
    </w:tbl>
    <w:p w:rsidR="008D43BD" w:rsidRPr="005F62B2" w:rsidP="008D43BD">
      <w:pPr>
        <w:rPr>
          <w:szCs w:val="22"/>
        </w:rPr>
      </w:pPr>
    </w:p>
    <w:p w:rsidR="008D43BD" w:rsidRPr="005F62B2" w:rsidP="008D43BD">
      <w:pPr>
        <w:rPr>
          <w:szCs w:val="22"/>
        </w:rPr>
      </w:pP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87"/>
      </w:tblGrid>
      <w:tr w:rsidTr="008D43B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9287" w:type="dxa"/>
          </w:tcPr>
          <w:p w:rsidR="008D43BD" w:rsidRPr="005F62B2" w:rsidP="008D43BD">
            <w:pPr>
              <w:tabs>
                <w:tab w:val="left" w:pos="142"/>
              </w:tabs>
              <w:ind w:left="567" w:hanging="567"/>
              <w:rPr>
                <w:b/>
                <w:szCs w:val="22"/>
              </w:rPr>
            </w:pPr>
            <w:r w:rsidRPr="005F62B2" w:rsidR="00A4080A">
              <w:rPr>
                <w:b/>
                <w:szCs w:val="22"/>
              </w:rPr>
              <w:t>1.</w:t>
              <w:tab/>
              <w:t>NAME OF THE MEDICINAL PRODUCT</w:t>
            </w:r>
          </w:p>
        </w:tc>
      </w:tr>
    </w:tbl>
    <w:p w:rsidR="008D43BD" w:rsidRPr="005F62B2" w:rsidP="008D43BD">
      <w:pPr>
        <w:rPr>
          <w:szCs w:val="22"/>
        </w:rPr>
      </w:pPr>
    </w:p>
    <w:p w:rsidR="008D43BD" w:rsidRPr="005F62B2" w:rsidP="008D43BD">
      <w:pPr>
        <w:rPr>
          <w:szCs w:val="22"/>
        </w:rPr>
      </w:pPr>
      <w:r w:rsidRPr="005F62B2" w:rsidR="00A4080A">
        <w:rPr>
          <w:szCs w:val="22"/>
        </w:rPr>
        <w:t xml:space="preserve">Kadcyla 100 mg powder for concentrate for solution for infusion </w:t>
      </w:r>
    </w:p>
    <w:p w:rsidR="008D43BD" w:rsidRPr="005F62B2" w:rsidP="008D43BD">
      <w:pPr>
        <w:rPr>
          <w:szCs w:val="22"/>
        </w:rPr>
      </w:pPr>
      <w:r w:rsidRPr="005F62B2" w:rsidR="00A4080A">
        <w:rPr>
          <w:szCs w:val="22"/>
        </w:rPr>
        <w:t>trastuzumab emtansine</w:t>
      </w:r>
    </w:p>
    <w:p w:rsidR="008D43BD" w:rsidRPr="005F62B2" w:rsidP="008D43BD">
      <w:pPr>
        <w:rPr>
          <w:szCs w:val="22"/>
        </w:rPr>
      </w:pPr>
    </w:p>
    <w:p w:rsidR="008D43BD" w:rsidRPr="005F62B2" w:rsidP="008D43BD">
      <w:pPr>
        <w:rPr>
          <w:szCs w:val="22"/>
        </w:rPr>
      </w:pP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87"/>
      </w:tblGrid>
      <w:tr w:rsidTr="008D43B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9287" w:type="dxa"/>
          </w:tcPr>
          <w:p w:rsidR="008D43BD" w:rsidRPr="005F62B2" w:rsidP="008D43BD">
            <w:pPr>
              <w:tabs>
                <w:tab w:val="left" w:pos="142"/>
              </w:tabs>
              <w:ind w:left="567" w:hanging="567"/>
              <w:rPr>
                <w:b/>
                <w:szCs w:val="22"/>
              </w:rPr>
            </w:pPr>
            <w:r w:rsidRPr="005F62B2" w:rsidR="00A4080A">
              <w:rPr>
                <w:b/>
                <w:szCs w:val="22"/>
              </w:rPr>
              <w:t>2.</w:t>
              <w:tab/>
              <w:t>STATEMENT OF ACTIVE SUBSTANCE(S)</w:t>
            </w:r>
          </w:p>
        </w:tc>
      </w:tr>
    </w:tbl>
    <w:p w:rsidR="008D43BD" w:rsidRPr="005F62B2" w:rsidP="008D43BD">
      <w:pPr>
        <w:rPr>
          <w:szCs w:val="22"/>
        </w:rPr>
      </w:pPr>
    </w:p>
    <w:p w:rsidR="008D43BD" w:rsidRPr="005F62B2" w:rsidP="008D43BD">
      <w:pPr>
        <w:rPr>
          <w:szCs w:val="22"/>
        </w:rPr>
      </w:pPr>
      <w:r w:rsidRPr="001E39B3" w:rsidR="00A4080A">
        <w:rPr>
          <w:szCs w:val="22"/>
        </w:rPr>
        <w:t>One vial of powder for concentrate for solution for infusion contains 100 mg of trastuzumab emtansine. After reconstitution one vial of 5 mL solution contains 20 mg/mL of trastuzumab emtansine</w:t>
      </w:r>
      <w:r w:rsidR="00A4080A">
        <w:rPr>
          <w:szCs w:val="22"/>
        </w:rPr>
        <w:t>.</w:t>
      </w:r>
    </w:p>
    <w:p w:rsidR="008D43BD" w:rsidP="008D43BD">
      <w:pPr>
        <w:rPr>
          <w:szCs w:val="22"/>
        </w:rPr>
      </w:pPr>
    </w:p>
    <w:p w:rsidR="008D43BD" w:rsidRPr="005F62B2" w:rsidP="008D43BD">
      <w:pPr>
        <w:rPr>
          <w:szCs w:val="22"/>
        </w:rPr>
      </w:pP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87"/>
      </w:tblGrid>
      <w:tr w:rsidTr="008D43B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9287" w:type="dxa"/>
          </w:tcPr>
          <w:p w:rsidR="008D43BD" w:rsidRPr="005F62B2" w:rsidP="008D43BD">
            <w:pPr>
              <w:tabs>
                <w:tab w:val="left" w:pos="142"/>
              </w:tabs>
              <w:ind w:left="567" w:hanging="567"/>
              <w:rPr>
                <w:b/>
                <w:szCs w:val="22"/>
              </w:rPr>
            </w:pPr>
            <w:r w:rsidRPr="005F62B2" w:rsidR="00A4080A">
              <w:rPr>
                <w:b/>
                <w:szCs w:val="22"/>
              </w:rPr>
              <w:t>3.</w:t>
              <w:tab/>
              <w:t>LIST OF EXCIPIENTS</w:t>
            </w:r>
          </w:p>
        </w:tc>
      </w:tr>
    </w:tbl>
    <w:p w:rsidR="008D43BD" w:rsidRPr="005F62B2" w:rsidP="008D43BD">
      <w:pPr>
        <w:rPr>
          <w:szCs w:val="22"/>
        </w:rPr>
      </w:pPr>
    </w:p>
    <w:p w:rsidR="008D43BD" w:rsidRPr="005F62B2" w:rsidP="008D43BD">
      <w:pPr>
        <w:rPr>
          <w:szCs w:val="22"/>
        </w:rPr>
      </w:pPr>
      <w:r w:rsidRPr="005F62B2" w:rsidR="00A4080A">
        <w:rPr>
          <w:szCs w:val="22"/>
        </w:rPr>
        <w:t>Excipients:</w:t>
      </w:r>
    </w:p>
    <w:p w:rsidR="008D43BD" w:rsidRPr="005F62B2" w:rsidP="008D43BD">
      <w:pPr>
        <w:rPr>
          <w:szCs w:val="22"/>
        </w:rPr>
      </w:pPr>
      <w:r w:rsidRPr="005F62B2" w:rsidR="00A4080A">
        <w:rPr>
          <w:szCs w:val="22"/>
        </w:rPr>
        <w:t>Succinic acid, sodium hydroxide, sucrose, polysorbate 20.</w:t>
      </w:r>
    </w:p>
    <w:p w:rsidR="008D43BD" w:rsidRPr="005F62B2" w:rsidP="008D43BD">
      <w:pPr>
        <w:rPr>
          <w:szCs w:val="22"/>
        </w:rPr>
      </w:pPr>
    </w:p>
    <w:p w:rsidR="008D43BD" w:rsidRPr="005F62B2" w:rsidP="008D43BD">
      <w:pPr>
        <w:rPr>
          <w:szCs w:val="22"/>
        </w:rPr>
      </w:pP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87"/>
      </w:tblGrid>
      <w:tr w:rsidTr="008D43B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9287" w:type="dxa"/>
          </w:tcPr>
          <w:p w:rsidR="008D43BD" w:rsidRPr="005F62B2" w:rsidP="008D43BD">
            <w:pPr>
              <w:tabs>
                <w:tab w:val="left" w:pos="142"/>
              </w:tabs>
              <w:ind w:left="567" w:hanging="567"/>
              <w:rPr>
                <w:b/>
                <w:szCs w:val="22"/>
              </w:rPr>
            </w:pPr>
            <w:r w:rsidRPr="005F62B2" w:rsidR="00A4080A">
              <w:rPr>
                <w:b/>
                <w:szCs w:val="22"/>
              </w:rPr>
              <w:t>4.</w:t>
              <w:tab/>
              <w:t>PHARMACEUTICAL FORM AND CONTENTS</w:t>
            </w:r>
          </w:p>
        </w:tc>
      </w:tr>
    </w:tbl>
    <w:p w:rsidR="008D43BD" w:rsidRPr="005F62B2" w:rsidP="008D43BD">
      <w:pPr>
        <w:rPr>
          <w:szCs w:val="22"/>
        </w:rPr>
      </w:pPr>
    </w:p>
    <w:p w:rsidR="008D43BD" w:rsidRPr="005F62B2" w:rsidP="008D43BD">
      <w:pPr>
        <w:rPr>
          <w:szCs w:val="22"/>
        </w:rPr>
      </w:pPr>
      <w:r w:rsidRPr="005F62B2" w:rsidR="00A4080A">
        <w:rPr>
          <w:szCs w:val="22"/>
        </w:rPr>
        <w:t>Powder for concentrate for solution for infusion</w:t>
      </w:r>
    </w:p>
    <w:p w:rsidR="008D43BD" w:rsidRPr="005F62B2" w:rsidP="008D43BD">
      <w:pPr>
        <w:rPr>
          <w:szCs w:val="22"/>
        </w:rPr>
      </w:pPr>
      <w:r w:rsidRPr="005F62B2" w:rsidR="00A4080A">
        <w:rPr>
          <w:szCs w:val="22"/>
        </w:rPr>
        <w:t>1 vial of 100 mg</w:t>
      </w:r>
    </w:p>
    <w:p w:rsidR="008D43BD" w:rsidRPr="005F62B2" w:rsidP="008D43BD">
      <w:pPr>
        <w:rPr>
          <w:szCs w:val="22"/>
        </w:rPr>
      </w:pPr>
    </w:p>
    <w:p w:rsidR="008D43BD" w:rsidRPr="005F62B2" w:rsidP="008D43BD">
      <w:pPr>
        <w:rPr>
          <w:szCs w:val="22"/>
        </w:rPr>
      </w:pP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87"/>
      </w:tblGrid>
      <w:tr w:rsidTr="008D43B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9287" w:type="dxa"/>
          </w:tcPr>
          <w:p w:rsidR="008D43BD" w:rsidRPr="005F62B2" w:rsidP="008D43BD">
            <w:pPr>
              <w:tabs>
                <w:tab w:val="left" w:pos="142"/>
              </w:tabs>
              <w:ind w:left="567" w:hanging="567"/>
              <w:rPr>
                <w:b/>
                <w:szCs w:val="22"/>
              </w:rPr>
            </w:pPr>
            <w:r w:rsidRPr="005F62B2" w:rsidR="00A4080A">
              <w:rPr>
                <w:b/>
                <w:szCs w:val="22"/>
              </w:rPr>
              <w:t>5.</w:t>
              <w:tab/>
              <w:t>METHOD AND ROUTE(S) OF ADMINISTRATION</w:t>
            </w:r>
          </w:p>
        </w:tc>
      </w:tr>
    </w:tbl>
    <w:p w:rsidR="008D43BD" w:rsidRPr="005F62B2" w:rsidP="008D43BD">
      <w:pPr>
        <w:rPr>
          <w:b/>
          <w:szCs w:val="22"/>
        </w:rPr>
      </w:pPr>
    </w:p>
    <w:p w:rsidR="008D43BD" w:rsidRPr="005F62B2" w:rsidP="008D43BD">
      <w:pPr>
        <w:rPr>
          <w:b/>
          <w:szCs w:val="22"/>
        </w:rPr>
      </w:pPr>
      <w:r w:rsidRPr="005F62B2" w:rsidR="00A4080A">
        <w:rPr>
          <w:szCs w:val="22"/>
        </w:rPr>
        <w:t>For intravenous use after reconstitution and dilution</w:t>
      </w:r>
    </w:p>
    <w:p w:rsidR="008D43BD" w:rsidRPr="005F62B2" w:rsidP="008D43BD">
      <w:pPr>
        <w:rPr>
          <w:b/>
          <w:szCs w:val="22"/>
        </w:rPr>
      </w:pPr>
      <w:r w:rsidRPr="005F62B2" w:rsidR="00A4080A">
        <w:rPr>
          <w:szCs w:val="22"/>
        </w:rPr>
        <w:t>Read the package leaflet before use</w:t>
      </w:r>
    </w:p>
    <w:p w:rsidR="008D43BD" w:rsidRPr="005F62B2" w:rsidP="008D43BD">
      <w:pPr>
        <w:rPr>
          <w:szCs w:val="22"/>
        </w:rPr>
      </w:pPr>
    </w:p>
    <w:p w:rsidR="008D43BD" w:rsidRPr="005F62B2" w:rsidP="008D43BD">
      <w:pPr>
        <w:rPr>
          <w:szCs w:val="22"/>
        </w:rPr>
      </w:pP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87"/>
      </w:tblGrid>
      <w:tr w:rsidTr="008D43B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9287" w:type="dxa"/>
          </w:tcPr>
          <w:p w:rsidR="008D43BD" w:rsidRPr="005F62B2" w:rsidP="008D43BD">
            <w:pPr>
              <w:tabs>
                <w:tab w:val="left" w:pos="142"/>
              </w:tabs>
              <w:ind w:left="567" w:hanging="567"/>
              <w:rPr>
                <w:b/>
                <w:szCs w:val="22"/>
              </w:rPr>
            </w:pPr>
            <w:r w:rsidRPr="005F62B2" w:rsidR="00A4080A">
              <w:rPr>
                <w:b/>
                <w:szCs w:val="22"/>
              </w:rPr>
              <w:t>6.</w:t>
              <w:tab/>
              <w:t>SPECIAL WARNING THAT THE MEDICINAL PRODUCT MUST BE STORED OUT OF THE SIGHT AND REACH OF CHILDREN</w:t>
            </w:r>
          </w:p>
        </w:tc>
      </w:tr>
    </w:tbl>
    <w:p w:rsidR="008D43BD" w:rsidRPr="005F62B2" w:rsidP="008D43BD">
      <w:pPr>
        <w:rPr>
          <w:szCs w:val="22"/>
        </w:rPr>
      </w:pPr>
    </w:p>
    <w:p w:rsidR="008D43BD" w:rsidRPr="005F62B2" w:rsidP="008D43BD">
      <w:pPr>
        <w:rPr>
          <w:szCs w:val="22"/>
        </w:rPr>
      </w:pPr>
      <w:r w:rsidRPr="005F62B2" w:rsidR="00A4080A">
        <w:rPr>
          <w:szCs w:val="22"/>
        </w:rPr>
        <w:t>Keep out of the sight and reach of children</w:t>
      </w:r>
    </w:p>
    <w:p w:rsidR="008D43BD" w:rsidRPr="005F62B2" w:rsidP="008D43BD">
      <w:pPr>
        <w:rPr>
          <w:szCs w:val="22"/>
        </w:rPr>
      </w:pPr>
    </w:p>
    <w:p w:rsidR="008D43BD" w:rsidRPr="005F62B2" w:rsidP="008D43BD">
      <w:pPr>
        <w:rPr>
          <w:szCs w:val="22"/>
        </w:rPr>
      </w:pP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87"/>
      </w:tblGrid>
      <w:tr w:rsidTr="008D43B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9287" w:type="dxa"/>
          </w:tcPr>
          <w:p w:rsidR="008D43BD" w:rsidRPr="005F62B2" w:rsidP="008D43BD">
            <w:pPr>
              <w:tabs>
                <w:tab w:val="left" w:pos="142"/>
              </w:tabs>
              <w:ind w:left="567" w:hanging="567"/>
              <w:rPr>
                <w:b/>
                <w:szCs w:val="22"/>
              </w:rPr>
            </w:pPr>
            <w:r w:rsidRPr="005F62B2" w:rsidR="00A4080A">
              <w:rPr>
                <w:b/>
                <w:szCs w:val="22"/>
              </w:rPr>
              <w:t>7.</w:t>
              <w:tab/>
              <w:t>OTHER SPECIAL WARNING(S), IF NECESSARY</w:t>
            </w:r>
          </w:p>
        </w:tc>
      </w:tr>
    </w:tbl>
    <w:p w:rsidR="008D43BD" w:rsidP="008D43BD">
      <w:pPr>
        <w:rPr>
          <w:szCs w:val="22"/>
        </w:rPr>
      </w:pPr>
    </w:p>
    <w:p w:rsidR="008D43BD" w:rsidRPr="001E39B3" w:rsidP="008D43BD">
      <w:pPr>
        <w:rPr>
          <w:szCs w:val="22"/>
        </w:rPr>
      </w:pPr>
      <w:r w:rsidRPr="001E39B3" w:rsidR="00A4080A">
        <w:rPr>
          <w:szCs w:val="22"/>
        </w:rPr>
        <w:t>Cytotoxic</w:t>
      </w:r>
    </w:p>
    <w:p w:rsidR="008D43BD" w:rsidRPr="001E39B3" w:rsidP="008D43BD">
      <w:pPr>
        <w:rPr>
          <w:szCs w:val="22"/>
        </w:rPr>
      </w:pPr>
    </w:p>
    <w:p w:rsidR="008D43BD" w:rsidRPr="005F62B2" w:rsidP="008D43BD">
      <w:pPr>
        <w:rPr>
          <w:szCs w:val="22"/>
        </w:rPr>
      </w:pPr>
      <w:r w:rsidRPr="001E39B3" w:rsidR="00A4080A">
        <w:rPr>
          <w:szCs w:val="22"/>
        </w:rPr>
        <w:t>To be administered under the supervision of a physician experienced in the use of cytotoxic agents</w:t>
      </w:r>
      <w:r w:rsidR="00A4080A">
        <w:rPr>
          <w:szCs w:val="22"/>
        </w:rPr>
        <w:t>.</w:t>
      </w:r>
    </w:p>
    <w:p w:rsidR="008D43BD" w:rsidP="008D43BD">
      <w:pPr>
        <w:rPr>
          <w:szCs w:val="22"/>
        </w:rPr>
      </w:pPr>
    </w:p>
    <w:p w:rsidR="008D43BD" w:rsidRPr="005F62B2" w:rsidP="008D43BD">
      <w:pPr>
        <w:rPr>
          <w:szCs w:val="22"/>
        </w:rPr>
      </w:pP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87"/>
      </w:tblGrid>
      <w:tr w:rsidTr="008D43B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9287" w:type="dxa"/>
          </w:tcPr>
          <w:p w:rsidR="008D43BD" w:rsidRPr="005F62B2" w:rsidP="008D43BD">
            <w:pPr>
              <w:tabs>
                <w:tab w:val="left" w:pos="142"/>
              </w:tabs>
              <w:ind w:left="567" w:hanging="567"/>
              <w:rPr>
                <w:b/>
                <w:szCs w:val="22"/>
              </w:rPr>
            </w:pPr>
            <w:r w:rsidRPr="005F62B2" w:rsidR="00A4080A">
              <w:rPr>
                <w:b/>
                <w:szCs w:val="22"/>
              </w:rPr>
              <w:t>8.</w:t>
              <w:tab/>
              <w:t>EXPIRY DATE</w:t>
            </w:r>
          </w:p>
        </w:tc>
      </w:tr>
    </w:tbl>
    <w:p w:rsidR="008D43BD" w:rsidRPr="005F62B2" w:rsidP="008D43BD">
      <w:pPr>
        <w:rPr>
          <w:szCs w:val="22"/>
        </w:rPr>
      </w:pPr>
    </w:p>
    <w:p w:rsidR="008D43BD" w:rsidRPr="005F62B2" w:rsidP="008D43BD">
      <w:pPr>
        <w:rPr>
          <w:szCs w:val="22"/>
        </w:rPr>
      </w:pPr>
      <w:r w:rsidRPr="005F62B2" w:rsidR="00A4080A">
        <w:rPr>
          <w:szCs w:val="22"/>
        </w:rPr>
        <w:t>EXP</w:t>
      </w:r>
    </w:p>
    <w:p w:rsidR="008D43BD" w:rsidRPr="005F62B2" w:rsidP="008D43BD">
      <w:pPr>
        <w:rPr>
          <w:szCs w:val="22"/>
        </w:rPr>
      </w:pPr>
    </w:p>
    <w:p w:rsidR="008D43BD" w:rsidRPr="005F62B2" w:rsidP="008D43BD">
      <w:pPr>
        <w:rPr>
          <w:szCs w:val="22"/>
        </w:rPr>
      </w:pP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87"/>
      </w:tblGrid>
      <w:tr w:rsidTr="008D43B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9287" w:type="dxa"/>
          </w:tcPr>
          <w:p w:rsidR="008D43BD" w:rsidRPr="005F62B2" w:rsidP="008D43BD">
            <w:pPr>
              <w:keepNext/>
              <w:keepLines/>
              <w:tabs>
                <w:tab w:val="left" w:pos="142"/>
              </w:tabs>
              <w:ind w:left="567" w:hanging="567"/>
              <w:rPr>
                <w:szCs w:val="22"/>
              </w:rPr>
            </w:pPr>
            <w:r w:rsidRPr="005F62B2" w:rsidR="00A4080A">
              <w:rPr>
                <w:b/>
                <w:szCs w:val="22"/>
              </w:rPr>
              <w:t>9.</w:t>
              <w:tab/>
              <w:t>SPECIAL STORAGE CONDITIONS</w:t>
            </w:r>
          </w:p>
        </w:tc>
      </w:tr>
    </w:tbl>
    <w:p w:rsidR="008D43BD" w:rsidRPr="005F62B2" w:rsidP="008D43BD">
      <w:pPr>
        <w:keepNext/>
        <w:keepLines/>
        <w:rPr>
          <w:szCs w:val="22"/>
        </w:rPr>
      </w:pPr>
    </w:p>
    <w:p w:rsidR="008D43BD" w:rsidRPr="005F62B2" w:rsidP="008D43BD">
      <w:pPr>
        <w:keepNext/>
        <w:keepLines/>
        <w:rPr>
          <w:szCs w:val="22"/>
        </w:rPr>
      </w:pPr>
      <w:r w:rsidRPr="005F62B2" w:rsidR="00A4080A">
        <w:rPr>
          <w:szCs w:val="22"/>
        </w:rPr>
        <w:t>Store in a refrigerator (2ºC – 8ºC)</w:t>
      </w:r>
    </w:p>
    <w:p w:rsidR="008D43BD" w:rsidRPr="005F62B2" w:rsidP="008D43BD">
      <w:pPr>
        <w:keepNext/>
        <w:keepLines/>
        <w:rPr>
          <w:szCs w:val="22"/>
        </w:rPr>
      </w:pPr>
    </w:p>
    <w:p w:rsidR="008D43BD" w:rsidRPr="005F62B2" w:rsidP="008D43BD">
      <w:pPr>
        <w:keepNext/>
        <w:keepLines/>
        <w:rPr>
          <w:szCs w:val="22"/>
        </w:rPr>
      </w:pP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87"/>
      </w:tblGrid>
      <w:tr w:rsidTr="008D43B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9287" w:type="dxa"/>
          </w:tcPr>
          <w:p w:rsidR="008D43BD" w:rsidRPr="005F62B2" w:rsidP="008D43BD">
            <w:pPr>
              <w:keepNext/>
              <w:keepLines/>
              <w:tabs>
                <w:tab w:val="left" w:pos="142"/>
              </w:tabs>
              <w:ind w:left="567" w:hanging="567"/>
              <w:rPr>
                <w:b/>
                <w:szCs w:val="22"/>
              </w:rPr>
            </w:pPr>
            <w:r w:rsidRPr="005F62B2" w:rsidR="00A4080A">
              <w:rPr>
                <w:b/>
                <w:szCs w:val="22"/>
              </w:rPr>
              <w:t>10.</w:t>
              <w:tab/>
              <w:t>SPECIAL PRECAUTIONS FOR DISPOSAL OF UNUSED MEDICINAL PRODUCTS OR WASTE MATERIALS DERIVED FROM SUCH MEDICINAL PRODUCTS, IF APPROPRIATE</w:t>
            </w:r>
          </w:p>
        </w:tc>
      </w:tr>
    </w:tbl>
    <w:p w:rsidR="008D43BD" w:rsidRPr="005F62B2" w:rsidP="008D43BD">
      <w:pPr>
        <w:rPr>
          <w:szCs w:val="22"/>
        </w:rPr>
      </w:pPr>
    </w:p>
    <w:p w:rsidR="008D43BD" w:rsidRPr="005F62B2" w:rsidP="008D43BD">
      <w:pPr>
        <w:rPr>
          <w:szCs w:val="22"/>
        </w:rPr>
      </w:pP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87"/>
      </w:tblGrid>
      <w:tr w:rsidTr="008D43B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9287" w:type="dxa"/>
          </w:tcPr>
          <w:p w:rsidR="008D43BD" w:rsidRPr="005F62B2" w:rsidP="008D43BD">
            <w:pPr>
              <w:tabs>
                <w:tab w:val="left" w:pos="142"/>
              </w:tabs>
              <w:ind w:left="567" w:hanging="567"/>
              <w:rPr>
                <w:b/>
                <w:szCs w:val="22"/>
              </w:rPr>
            </w:pPr>
            <w:r w:rsidRPr="005F62B2" w:rsidR="00A4080A">
              <w:rPr>
                <w:b/>
                <w:szCs w:val="22"/>
              </w:rPr>
              <w:t>11.</w:t>
              <w:tab/>
              <w:t>NAME AND ADDRESS OF THE MARKETING AUTHORISATION HOLDER</w:t>
            </w:r>
          </w:p>
        </w:tc>
      </w:tr>
    </w:tbl>
    <w:p w:rsidR="008D43BD" w:rsidRPr="005F62B2" w:rsidP="008D43BD">
      <w:pPr>
        <w:rPr>
          <w:szCs w:val="22"/>
        </w:rPr>
      </w:pPr>
    </w:p>
    <w:p w:rsidR="008D43BD" w:rsidRPr="0012606C" w:rsidP="008D43BD">
      <w:pPr>
        <w:rPr>
          <w:szCs w:val="22"/>
          <w:lang w:val="de-CH"/>
        </w:rPr>
      </w:pPr>
      <w:r w:rsidRPr="0012606C" w:rsidR="00A4080A">
        <w:rPr>
          <w:szCs w:val="22"/>
          <w:lang w:val="de-CH"/>
        </w:rPr>
        <w:t xml:space="preserve">Roche Registration GmbH </w:t>
      </w:r>
    </w:p>
    <w:p w:rsidR="008D43BD" w:rsidRPr="0012606C" w:rsidP="008D43BD">
      <w:pPr>
        <w:rPr>
          <w:szCs w:val="22"/>
          <w:lang w:val="de-CH"/>
        </w:rPr>
      </w:pPr>
      <w:r w:rsidRPr="0012606C" w:rsidR="00A4080A">
        <w:rPr>
          <w:szCs w:val="22"/>
          <w:lang w:val="de-CH"/>
        </w:rPr>
        <w:t>Emil-Barell-Strasse 1</w:t>
      </w:r>
    </w:p>
    <w:p w:rsidR="008D43BD" w:rsidRPr="0012606C" w:rsidP="008D43BD">
      <w:pPr>
        <w:rPr>
          <w:szCs w:val="22"/>
          <w:lang w:val="de-CH"/>
        </w:rPr>
      </w:pPr>
      <w:r w:rsidRPr="0012606C" w:rsidR="00A4080A">
        <w:rPr>
          <w:szCs w:val="22"/>
          <w:lang w:val="de-CH"/>
        </w:rPr>
        <w:t>79639 Grenzach-Wyhlen</w:t>
      </w:r>
    </w:p>
    <w:p w:rsidR="008D43BD" w:rsidRPr="0012606C" w:rsidP="008D43BD">
      <w:pPr>
        <w:rPr>
          <w:szCs w:val="22"/>
          <w:lang w:val="de-CH"/>
        </w:rPr>
      </w:pPr>
      <w:r w:rsidRPr="0012606C" w:rsidR="00A4080A">
        <w:rPr>
          <w:szCs w:val="22"/>
          <w:lang w:val="de-CH"/>
        </w:rPr>
        <w:t>Germany</w:t>
      </w:r>
    </w:p>
    <w:p w:rsidR="008D43BD" w:rsidRPr="00405F86" w:rsidP="008D43BD">
      <w:pPr>
        <w:rPr>
          <w:szCs w:val="22"/>
          <w:lang w:val="de-CH"/>
        </w:rPr>
      </w:pPr>
    </w:p>
    <w:p w:rsidR="008D43BD" w:rsidRPr="00405F86" w:rsidP="008D43BD">
      <w:pPr>
        <w:rPr>
          <w:szCs w:val="22"/>
          <w:lang w:val="de-CH"/>
        </w:rPr>
      </w:pP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87"/>
      </w:tblGrid>
      <w:tr w:rsidTr="008D43B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9287" w:type="dxa"/>
          </w:tcPr>
          <w:p w:rsidR="008D43BD" w:rsidRPr="005F62B2" w:rsidP="008D43BD">
            <w:pPr>
              <w:tabs>
                <w:tab w:val="left" w:pos="142"/>
              </w:tabs>
              <w:ind w:left="567" w:hanging="567"/>
              <w:rPr>
                <w:b/>
                <w:szCs w:val="22"/>
              </w:rPr>
            </w:pPr>
            <w:r w:rsidRPr="005F62B2" w:rsidR="00A4080A">
              <w:rPr>
                <w:b/>
                <w:szCs w:val="22"/>
              </w:rPr>
              <w:t>12.</w:t>
              <w:tab/>
              <w:t>MARKETING AUTHORISATION NUMBER(S)</w:t>
            </w:r>
          </w:p>
        </w:tc>
      </w:tr>
    </w:tbl>
    <w:p w:rsidR="008D43BD" w:rsidRPr="005F62B2" w:rsidP="008D43BD">
      <w:pPr>
        <w:rPr>
          <w:szCs w:val="22"/>
        </w:rPr>
      </w:pPr>
    </w:p>
    <w:p w:rsidR="008D43BD" w:rsidRPr="005F62B2" w:rsidP="008D43BD">
      <w:pPr>
        <w:rPr>
          <w:szCs w:val="22"/>
        </w:rPr>
      </w:pPr>
      <w:r w:rsidRPr="003615CB" w:rsidR="00A4080A">
        <w:rPr>
          <w:color w:val="000000"/>
        </w:rPr>
        <w:t>EU/1/13/885/00</w:t>
      </w:r>
      <w:r w:rsidR="00A4080A">
        <w:rPr>
          <w:color w:val="000000"/>
        </w:rPr>
        <w:t>1</w:t>
      </w:r>
    </w:p>
    <w:p w:rsidR="008D43BD" w:rsidP="008D43BD">
      <w:pPr>
        <w:rPr>
          <w:szCs w:val="22"/>
        </w:rPr>
      </w:pPr>
    </w:p>
    <w:p w:rsidR="008D43BD" w:rsidRPr="005F62B2" w:rsidP="008D43BD">
      <w:pPr>
        <w:rPr>
          <w:szCs w:val="22"/>
        </w:rPr>
      </w:pP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87"/>
      </w:tblGrid>
      <w:tr w:rsidTr="008D43B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9287" w:type="dxa"/>
          </w:tcPr>
          <w:p w:rsidR="008D43BD" w:rsidRPr="005F62B2" w:rsidP="008D43BD">
            <w:pPr>
              <w:tabs>
                <w:tab w:val="left" w:pos="142"/>
              </w:tabs>
              <w:ind w:left="567" w:hanging="567"/>
              <w:rPr>
                <w:b/>
                <w:szCs w:val="22"/>
              </w:rPr>
            </w:pPr>
            <w:r w:rsidRPr="005F62B2" w:rsidR="00A4080A">
              <w:rPr>
                <w:b/>
                <w:szCs w:val="22"/>
              </w:rPr>
              <w:t>13.</w:t>
              <w:tab/>
              <w:t>BATCH NUMBER</w:t>
            </w:r>
          </w:p>
        </w:tc>
      </w:tr>
    </w:tbl>
    <w:p w:rsidR="008D43BD" w:rsidRPr="005F62B2" w:rsidP="008D43BD">
      <w:pPr>
        <w:rPr>
          <w:szCs w:val="22"/>
        </w:rPr>
      </w:pPr>
    </w:p>
    <w:p w:rsidR="008D43BD" w:rsidRPr="005F62B2" w:rsidP="008D43BD">
      <w:pPr>
        <w:rPr>
          <w:szCs w:val="22"/>
        </w:rPr>
      </w:pPr>
      <w:r w:rsidRPr="005F62B2" w:rsidR="00A4080A">
        <w:rPr>
          <w:szCs w:val="22"/>
        </w:rPr>
        <w:t>Batch</w:t>
      </w:r>
    </w:p>
    <w:p w:rsidR="008D43BD" w:rsidRPr="005F62B2" w:rsidP="008D43BD">
      <w:pPr>
        <w:rPr>
          <w:szCs w:val="22"/>
        </w:rPr>
      </w:pPr>
    </w:p>
    <w:p w:rsidR="008D43BD" w:rsidRPr="005F62B2" w:rsidP="008D43BD">
      <w:pPr>
        <w:rPr>
          <w:szCs w:val="22"/>
        </w:rPr>
      </w:pP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87"/>
      </w:tblGrid>
      <w:tr w:rsidTr="008D43B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9287" w:type="dxa"/>
          </w:tcPr>
          <w:p w:rsidR="008D43BD" w:rsidRPr="005F62B2" w:rsidP="008D43BD">
            <w:pPr>
              <w:tabs>
                <w:tab w:val="left" w:pos="142"/>
              </w:tabs>
              <w:ind w:left="567" w:hanging="567"/>
              <w:rPr>
                <w:b/>
                <w:szCs w:val="22"/>
              </w:rPr>
            </w:pPr>
            <w:r w:rsidRPr="005F62B2" w:rsidR="00A4080A">
              <w:rPr>
                <w:b/>
                <w:szCs w:val="22"/>
              </w:rPr>
              <w:t>14.</w:t>
              <w:tab/>
              <w:t>GENERAL CLASSIFICATION FOR SUPPLY</w:t>
            </w:r>
          </w:p>
        </w:tc>
      </w:tr>
    </w:tbl>
    <w:p w:rsidR="008D43BD" w:rsidRPr="005F62B2" w:rsidP="008D43BD">
      <w:pPr>
        <w:rPr>
          <w:szCs w:val="22"/>
        </w:rPr>
      </w:pPr>
    </w:p>
    <w:p w:rsidR="008D43BD" w:rsidRPr="005F62B2" w:rsidP="008D43BD">
      <w:pPr>
        <w:rPr>
          <w:szCs w:val="22"/>
        </w:rPr>
      </w:pPr>
      <w:r w:rsidRPr="005F62B2" w:rsidR="00A4080A">
        <w:rPr>
          <w:szCs w:val="22"/>
        </w:rPr>
        <w:t>Medicinal product subject to medical prescription</w:t>
      </w:r>
    </w:p>
    <w:p w:rsidR="008D43BD" w:rsidRPr="005F62B2" w:rsidP="008D43BD">
      <w:pPr>
        <w:rPr>
          <w:szCs w:val="22"/>
        </w:rPr>
      </w:pPr>
    </w:p>
    <w:p w:rsidR="008D43BD" w:rsidRPr="005F62B2" w:rsidP="008D43BD">
      <w:pPr>
        <w:rPr>
          <w:szCs w:val="22"/>
        </w:rPr>
      </w:pP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87"/>
      </w:tblGrid>
      <w:tr w:rsidTr="008D43B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9287" w:type="dxa"/>
          </w:tcPr>
          <w:p w:rsidR="008D43BD" w:rsidRPr="005F62B2" w:rsidP="008D43BD">
            <w:pPr>
              <w:tabs>
                <w:tab w:val="left" w:pos="142"/>
              </w:tabs>
              <w:ind w:left="567" w:hanging="567"/>
              <w:rPr>
                <w:b/>
                <w:szCs w:val="22"/>
              </w:rPr>
            </w:pPr>
            <w:r w:rsidRPr="005F62B2" w:rsidR="00A4080A">
              <w:rPr>
                <w:b/>
                <w:szCs w:val="22"/>
              </w:rPr>
              <w:t>15.</w:t>
              <w:tab/>
              <w:t>INSTRUCTIONS ON USE</w:t>
            </w:r>
          </w:p>
        </w:tc>
      </w:tr>
    </w:tbl>
    <w:p w:rsidR="008D43BD" w:rsidRPr="005F62B2" w:rsidP="008D43BD">
      <w:pPr>
        <w:rPr>
          <w:szCs w:val="22"/>
        </w:rPr>
      </w:pPr>
    </w:p>
    <w:p w:rsidR="008D43BD" w:rsidRPr="005F62B2" w:rsidP="008D43BD">
      <w:pPr>
        <w:rPr>
          <w:szCs w:val="22"/>
        </w:rPr>
      </w:pPr>
    </w:p>
    <w:p w:rsidR="008D43BD" w:rsidRPr="005F62B2" w:rsidP="008D43BD">
      <w:pPr>
        <w:pBdr>
          <w:top w:val="single" w:sz="4" w:space="1" w:color="auto"/>
          <w:left w:val="single" w:sz="4" w:space="4" w:color="auto"/>
          <w:bottom w:val="single" w:sz="4" w:space="1" w:color="auto"/>
          <w:right w:val="single" w:sz="4" w:space="4" w:color="auto"/>
        </w:pBdr>
        <w:ind w:left="567" w:hanging="567"/>
        <w:outlineLvl w:val="0"/>
        <w:rPr>
          <w:szCs w:val="22"/>
        </w:rPr>
      </w:pPr>
      <w:r w:rsidRPr="005F62B2" w:rsidR="00A4080A">
        <w:rPr>
          <w:b/>
          <w:szCs w:val="22"/>
        </w:rPr>
        <w:t>16.</w:t>
        <w:tab/>
        <w:t>INFORMATION IN BRAILLE</w:t>
      </w:r>
    </w:p>
    <w:p w:rsidR="008D43BD" w:rsidP="008D43BD">
      <w:pPr>
        <w:rPr>
          <w:szCs w:val="22"/>
        </w:rPr>
      </w:pPr>
    </w:p>
    <w:p w:rsidR="008D43BD" w:rsidP="008D43BD">
      <w:pPr>
        <w:rPr>
          <w:szCs w:val="22"/>
        </w:rPr>
      </w:pPr>
      <w:r w:rsidRPr="002B1C38" w:rsidR="00A4080A">
        <w:rPr>
          <w:szCs w:val="22"/>
          <w:highlight w:val="lightGray"/>
        </w:rPr>
        <w:t>Justification for not including Braille accepted</w:t>
      </w:r>
    </w:p>
    <w:p w:rsidR="008D43BD" w:rsidRPr="005F62B2" w:rsidP="008D43BD">
      <w:pPr>
        <w:rPr>
          <w:szCs w:val="22"/>
        </w:rPr>
      </w:pPr>
    </w:p>
    <w:p w:rsidR="008D43BD" w:rsidP="008D43BD">
      <w:pPr>
        <w:rPr>
          <w:szCs w:val="22"/>
        </w:rPr>
      </w:pPr>
    </w:p>
    <w:p w:rsidR="008D43BD" w:rsidRPr="00C937E7" w:rsidP="008D43BD">
      <w:pPr>
        <w:pBdr>
          <w:top w:val="single" w:sz="4" w:space="1" w:color="auto"/>
          <w:left w:val="single" w:sz="4" w:space="4" w:color="auto"/>
          <w:bottom w:val="single" w:sz="4" w:space="0" w:color="auto"/>
          <w:right w:val="single" w:sz="4" w:space="4" w:color="auto"/>
        </w:pBdr>
        <w:rPr>
          <w:i/>
          <w:noProof/>
        </w:rPr>
      </w:pPr>
      <w:r w:rsidRPr="00C937E7" w:rsidR="00A4080A">
        <w:rPr>
          <w:b/>
          <w:noProof/>
        </w:rPr>
        <w:t>17.</w:t>
        <w:tab/>
        <w:t>UNIQUE IDENTIFIER – 2D BARCODE</w:t>
      </w:r>
    </w:p>
    <w:p w:rsidR="008D43BD" w:rsidRPr="00C937E7" w:rsidP="008D43BD">
      <w:pPr>
        <w:rPr>
          <w:noProof/>
        </w:rPr>
      </w:pPr>
    </w:p>
    <w:p w:rsidR="008D43BD" w:rsidRPr="00C937E7" w:rsidP="008D43BD">
      <w:pPr>
        <w:rPr>
          <w:noProof/>
          <w:szCs w:val="22"/>
          <w:shd w:val="clear" w:color="auto" w:fill="CCCCCC"/>
        </w:rPr>
      </w:pPr>
      <w:r w:rsidRPr="002B1C38" w:rsidR="00A4080A">
        <w:rPr>
          <w:noProof/>
          <w:highlight w:val="lightGray"/>
        </w:rPr>
        <w:t>&lt;2D barcode carrying the unique identifier included.&gt;</w:t>
      </w:r>
    </w:p>
    <w:p w:rsidR="008D43BD" w:rsidRPr="00C937E7" w:rsidP="008D43BD">
      <w:pPr>
        <w:rPr>
          <w:noProof/>
          <w:szCs w:val="22"/>
          <w:shd w:val="clear" w:color="auto" w:fill="CCCCCC"/>
        </w:rPr>
      </w:pPr>
    </w:p>
    <w:p w:rsidR="008D43BD" w:rsidRPr="00C937E7" w:rsidP="008D43BD">
      <w:pPr>
        <w:rPr>
          <w:noProof/>
        </w:rPr>
      </w:pPr>
    </w:p>
    <w:p w:rsidR="008D43BD" w:rsidRPr="00C937E7" w:rsidP="008D43BD">
      <w:pPr>
        <w:pBdr>
          <w:top w:val="single" w:sz="4" w:space="1" w:color="auto"/>
          <w:left w:val="single" w:sz="4" w:space="4" w:color="auto"/>
          <w:bottom w:val="single" w:sz="4" w:space="0" w:color="auto"/>
          <w:right w:val="single" w:sz="4" w:space="4" w:color="auto"/>
        </w:pBdr>
        <w:rPr>
          <w:i/>
          <w:noProof/>
        </w:rPr>
      </w:pPr>
      <w:r w:rsidRPr="00C937E7" w:rsidR="00A4080A">
        <w:rPr>
          <w:b/>
          <w:noProof/>
        </w:rPr>
        <w:t>18.</w:t>
        <w:tab/>
        <w:t xml:space="preserve">UNIQUE IDENTIFIER - HUMAN READABLE </w:t>
      </w:r>
      <w:r w:rsidR="00A4080A">
        <w:rPr>
          <w:b/>
          <w:noProof/>
        </w:rPr>
        <w:t>DATA</w:t>
      </w:r>
    </w:p>
    <w:p w:rsidR="008D43BD" w:rsidRPr="00C937E7" w:rsidP="008D43BD">
      <w:pPr>
        <w:rPr>
          <w:noProof/>
        </w:rPr>
      </w:pPr>
    </w:p>
    <w:p w:rsidR="008D43BD" w:rsidP="008D43BD">
      <w:pPr>
        <w:rPr>
          <w:szCs w:val="22"/>
        </w:rPr>
      </w:pPr>
      <w:r w:rsidRPr="00C937E7" w:rsidR="00A4080A">
        <w:rPr>
          <w:szCs w:val="22"/>
        </w:rPr>
        <w:t>PC:</w:t>
      </w:r>
      <w:r w:rsidR="00A4080A">
        <w:rPr>
          <w:szCs w:val="22"/>
        </w:rPr>
        <w:t xml:space="preserve"> </w:t>
      </w:r>
    </w:p>
    <w:p w:rsidR="008D43BD" w:rsidRPr="00C937E7" w:rsidP="008D43BD">
      <w:pPr>
        <w:rPr>
          <w:szCs w:val="22"/>
        </w:rPr>
      </w:pPr>
      <w:r w:rsidRPr="00C937E7" w:rsidR="00A4080A">
        <w:rPr>
          <w:szCs w:val="22"/>
        </w:rPr>
        <w:t xml:space="preserve">SN: </w:t>
      </w:r>
    </w:p>
    <w:p w:rsidR="008D43BD" w:rsidRPr="00C937E7" w:rsidP="008D43BD">
      <w:pPr>
        <w:rPr>
          <w:szCs w:val="22"/>
        </w:rPr>
      </w:pPr>
      <w:r w:rsidRPr="00C51DEE" w:rsidR="00A4080A">
        <w:rPr>
          <w:szCs w:val="22"/>
        </w:rPr>
        <w:t xml:space="preserve">NN: </w:t>
      </w:r>
    </w:p>
    <w:p w:rsidR="008D43BD" w:rsidRPr="005F62B2" w:rsidP="008D43BD">
      <w:pPr>
        <w:rPr>
          <w:szCs w:val="22"/>
        </w:rPr>
      </w:pPr>
      <w:r w:rsidR="00A4080A">
        <w:rPr>
          <w:szCs w:val="22"/>
        </w:rPr>
        <w:br w:type="page"/>
      </w:r>
    </w:p>
    <w:p w:rsidR="008D43BD" w:rsidRPr="005F62B2" w:rsidP="008D43BD">
      <w:pPr>
        <w:pBdr>
          <w:top w:val="single" w:sz="4" w:space="1" w:color="auto"/>
          <w:left w:val="single" w:sz="4" w:space="4" w:color="auto"/>
          <w:bottom w:val="single" w:sz="4" w:space="1" w:color="auto"/>
          <w:right w:val="single" w:sz="4" w:space="4" w:color="auto"/>
        </w:pBdr>
        <w:rPr>
          <w:b/>
          <w:szCs w:val="22"/>
        </w:rPr>
      </w:pPr>
      <w:r w:rsidRPr="005F62B2" w:rsidR="00A4080A">
        <w:rPr>
          <w:b/>
          <w:szCs w:val="22"/>
        </w:rPr>
        <w:t>MINIMUM PARTICULARS TO APPEAR ON SMALL IMMEDIATE PACKAGING UNITS</w:t>
      </w:r>
    </w:p>
    <w:p w:rsidR="008D43BD" w:rsidRPr="005F62B2" w:rsidP="008D43BD">
      <w:pPr>
        <w:pBdr>
          <w:top w:val="single" w:sz="4" w:space="1" w:color="auto"/>
          <w:left w:val="single" w:sz="4" w:space="4" w:color="auto"/>
          <w:bottom w:val="single" w:sz="4" w:space="1" w:color="auto"/>
          <w:right w:val="single" w:sz="4" w:space="4" w:color="auto"/>
        </w:pBdr>
        <w:rPr>
          <w:b/>
          <w:szCs w:val="22"/>
        </w:rPr>
      </w:pPr>
    </w:p>
    <w:p w:rsidR="008D43BD" w:rsidRPr="005F62B2" w:rsidP="008D43BD">
      <w:pPr>
        <w:pBdr>
          <w:top w:val="single" w:sz="4" w:space="1" w:color="auto"/>
          <w:left w:val="single" w:sz="4" w:space="4" w:color="auto"/>
          <w:bottom w:val="single" w:sz="4" w:space="1" w:color="auto"/>
          <w:right w:val="single" w:sz="4" w:space="4" w:color="auto"/>
        </w:pBdr>
        <w:rPr>
          <w:b/>
          <w:szCs w:val="22"/>
        </w:rPr>
      </w:pPr>
      <w:r w:rsidRPr="005F62B2" w:rsidR="00A4080A">
        <w:rPr>
          <w:b/>
          <w:szCs w:val="22"/>
        </w:rPr>
        <w:t>VIAL LABEL</w:t>
      </w:r>
    </w:p>
    <w:p w:rsidR="008D43BD" w:rsidRPr="005F62B2" w:rsidP="008D43BD">
      <w:pPr>
        <w:rPr>
          <w:szCs w:val="22"/>
        </w:rPr>
      </w:pPr>
    </w:p>
    <w:p w:rsidR="008D43BD" w:rsidRPr="005F62B2" w:rsidP="008D43BD">
      <w:pPr>
        <w:rPr>
          <w:szCs w:val="22"/>
        </w:rPr>
      </w:pPr>
    </w:p>
    <w:p w:rsidR="008D43BD" w:rsidRPr="005F62B2" w:rsidP="008D43BD">
      <w:pPr>
        <w:pBdr>
          <w:top w:val="single" w:sz="4" w:space="1" w:color="auto"/>
          <w:left w:val="single" w:sz="4" w:space="4" w:color="auto"/>
          <w:bottom w:val="single" w:sz="4" w:space="1" w:color="auto"/>
          <w:right w:val="single" w:sz="4" w:space="4" w:color="auto"/>
        </w:pBdr>
        <w:outlineLvl w:val="0"/>
        <w:rPr>
          <w:b/>
          <w:szCs w:val="22"/>
        </w:rPr>
      </w:pPr>
      <w:r w:rsidRPr="005F62B2" w:rsidR="00A4080A">
        <w:rPr>
          <w:b/>
          <w:szCs w:val="22"/>
        </w:rPr>
        <w:t>1.</w:t>
        <w:tab/>
        <w:t>NAME OF THE MEDICINAL PRODUCT AND ROUTE(S) OF ADMINISTRATION</w:t>
      </w:r>
    </w:p>
    <w:p w:rsidR="008D43BD" w:rsidRPr="005F62B2" w:rsidP="008D43BD">
      <w:pPr>
        <w:ind w:left="567" w:hanging="567"/>
        <w:rPr>
          <w:szCs w:val="22"/>
        </w:rPr>
      </w:pPr>
    </w:p>
    <w:p w:rsidR="008D43BD" w:rsidRPr="005F62B2" w:rsidP="008D43BD">
      <w:pPr>
        <w:rPr>
          <w:szCs w:val="22"/>
        </w:rPr>
      </w:pPr>
      <w:r w:rsidRPr="005F62B2" w:rsidR="00A4080A">
        <w:rPr>
          <w:szCs w:val="22"/>
        </w:rPr>
        <w:t>Kadcyla 100 mg powder for concentrate for solution for infusion</w:t>
      </w:r>
    </w:p>
    <w:p w:rsidR="008D43BD" w:rsidRPr="005F62B2" w:rsidP="008D43BD">
      <w:pPr>
        <w:rPr>
          <w:szCs w:val="22"/>
        </w:rPr>
      </w:pPr>
      <w:r w:rsidRPr="005F62B2" w:rsidR="00A4080A">
        <w:rPr>
          <w:szCs w:val="22"/>
        </w:rPr>
        <w:t>trastuzumab emtansine</w:t>
      </w:r>
    </w:p>
    <w:p w:rsidR="008D43BD" w:rsidRPr="005F62B2" w:rsidP="008D43BD">
      <w:pPr>
        <w:rPr>
          <w:szCs w:val="22"/>
        </w:rPr>
      </w:pPr>
      <w:r w:rsidRPr="005F62B2" w:rsidR="00A4080A">
        <w:rPr>
          <w:szCs w:val="22"/>
        </w:rPr>
        <w:t>Intravenous use</w:t>
      </w:r>
    </w:p>
    <w:p w:rsidR="008D43BD" w:rsidRPr="005F62B2" w:rsidP="008D43BD">
      <w:pPr>
        <w:rPr>
          <w:szCs w:val="22"/>
        </w:rPr>
      </w:pPr>
    </w:p>
    <w:p w:rsidR="008D43BD" w:rsidRPr="005F62B2" w:rsidP="008D43BD">
      <w:pPr>
        <w:rPr>
          <w:szCs w:val="22"/>
        </w:rPr>
      </w:pPr>
    </w:p>
    <w:p w:rsidR="008D43BD" w:rsidRPr="005F62B2" w:rsidP="008D43BD">
      <w:pPr>
        <w:pBdr>
          <w:top w:val="single" w:sz="4" w:space="1" w:color="auto"/>
          <w:left w:val="single" w:sz="4" w:space="4" w:color="auto"/>
          <w:bottom w:val="single" w:sz="4" w:space="1" w:color="auto"/>
          <w:right w:val="single" w:sz="4" w:space="4" w:color="auto"/>
        </w:pBdr>
        <w:outlineLvl w:val="0"/>
        <w:rPr>
          <w:b/>
          <w:szCs w:val="22"/>
        </w:rPr>
      </w:pPr>
      <w:r w:rsidRPr="005F62B2" w:rsidR="00A4080A">
        <w:rPr>
          <w:b/>
          <w:szCs w:val="22"/>
        </w:rPr>
        <w:t>2.</w:t>
        <w:tab/>
        <w:t>METHOD OF ADMINISTRATION</w:t>
      </w:r>
    </w:p>
    <w:p w:rsidR="008D43BD" w:rsidRPr="005F62B2" w:rsidP="008D43BD">
      <w:pPr>
        <w:rPr>
          <w:szCs w:val="22"/>
        </w:rPr>
      </w:pPr>
    </w:p>
    <w:p w:rsidR="008D43BD" w:rsidRPr="005F62B2" w:rsidP="008D43BD">
      <w:pPr>
        <w:rPr>
          <w:b/>
          <w:szCs w:val="22"/>
        </w:rPr>
      </w:pPr>
      <w:r w:rsidRPr="005F62B2" w:rsidR="00A4080A">
        <w:rPr>
          <w:szCs w:val="22"/>
        </w:rPr>
        <w:t>For intravenous use after reconstitution and dilution</w:t>
      </w:r>
    </w:p>
    <w:p w:rsidR="008D43BD" w:rsidRPr="005F62B2" w:rsidP="008D43BD">
      <w:pPr>
        <w:rPr>
          <w:szCs w:val="22"/>
        </w:rPr>
      </w:pPr>
    </w:p>
    <w:p w:rsidR="008D43BD" w:rsidRPr="005F62B2" w:rsidP="008D43BD">
      <w:pPr>
        <w:rPr>
          <w:szCs w:val="22"/>
        </w:rPr>
      </w:pPr>
    </w:p>
    <w:p w:rsidR="008D43BD" w:rsidRPr="005F62B2" w:rsidP="008D43BD">
      <w:pPr>
        <w:pBdr>
          <w:top w:val="single" w:sz="4" w:space="1" w:color="auto"/>
          <w:left w:val="single" w:sz="4" w:space="4" w:color="auto"/>
          <w:bottom w:val="single" w:sz="4" w:space="1" w:color="auto"/>
          <w:right w:val="single" w:sz="4" w:space="4" w:color="auto"/>
        </w:pBdr>
        <w:outlineLvl w:val="0"/>
        <w:rPr>
          <w:b/>
          <w:szCs w:val="22"/>
        </w:rPr>
      </w:pPr>
      <w:r w:rsidRPr="005F62B2" w:rsidR="00A4080A">
        <w:rPr>
          <w:b/>
          <w:szCs w:val="22"/>
        </w:rPr>
        <w:t>3.</w:t>
        <w:tab/>
        <w:t>EXPIRY DATE</w:t>
      </w:r>
    </w:p>
    <w:p w:rsidR="008D43BD" w:rsidRPr="005F62B2" w:rsidP="008D43BD">
      <w:pPr>
        <w:rPr>
          <w:szCs w:val="22"/>
        </w:rPr>
      </w:pPr>
    </w:p>
    <w:p w:rsidR="008D43BD" w:rsidRPr="005F62B2" w:rsidP="008D43BD">
      <w:pPr>
        <w:rPr>
          <w:szCs w:val="22"/>
        </w:rPr>
      </w:pPr>
      <w:r w:rsidRPr="005F62B2" w:rsidR="00A4080A">
        <w:rPr>
          <w:szCs w:val="22"/>
        </w:rPr>
        <w:t>EXP</w:t>
      </w:r>
    </w:p>
    <w:p w:rsidR="008D43BD" w:rsidRPr="005F62B2" w:rsidP="008D43BD">
      <w:pPr>
        <w:rPr>
          <w:szCs w:val="22"/>
        </w:rPr>
      </w:pPr>
    </w:p>
    <w:p w:rsidR="008D43BD" w:rsidRPr="005F62B2" w:rsidP="008D43BD">
      <w:pPr>
        <w:rPr>
          <w:szCs w:val="22"/>
        </w:rPr>
      </w:pPr>
    </w:p>
    <w:p w:rsidR="008D43BD" w:rsidRPr="005F62B2" w:rsidP="008D43BD">
      <w:pPr>
        <w:pBdr>
          <w:top w:val="single" w:sz="4" w:space="1" w:color="auto"/>
          <w:left w:val="single" w:sz="4" w:space="4" w:color="auto"/>
          <w:bottom w:val="single" w:sz="4" w:space="1" w:color="auto"/>
          <w:right w:val="single" w:sz="4" w:space="4" w:color="auto"/>
        </w:pBdr>
        <w:outlineLvl w:val="0"/>
        <w:rPr>
          <w:b/>
          <w:szCs w:val="22"/>
        </w:rPr>
      </w:pPr>
      <w:r w:rsidRPr="005F62B2" w:rsidR="00A4080A">
        <w:rPr>
          <w:b/>
          <w:szCs w:val="22"/>
        </w:rPr>
        <w:t>4.</w:t>
        <w:tab/>
        <w:t>BATCH NUMBER</w:t>
      </w:r>
    </w:p>
    <w:p w:rsidR="008D43BD" w:rsidRPr="005F62B2" w:rsidP="008D43BD">
      <w:pPr>
        <w:ind w:right="113"/>
        <w:rPr>
          <w:szCs w:val="22"/>
        </w:rPr>
      </w:pPr>
    </w:p>
    <w:p w:rsidR="008D43BD" w:rsidRPr="005F62B2" w:rsidP="008D43BD">
      <w:pPr>
        <w:ind w:right="113"/>
        <w:rPr>
          <w:szCs w:val="22"/>
        </w:rPr>
      </w:pPr>
      <w:r w:rsidRPr="005F62B2" w:rsidR="00A4080A">
        <w:rPr>
          <w:szCs w:val="22"/>
        </w:rPr>
        <w:t>Lot</w:t>
      </w:r>
    </w:p>
    <w:p w:rsidR="008D43BD" w:rsidRPr="005F62B2" w:rsidP="008D43BD">
      <w:pPr>
        <w:ind w:right="113"/>
        <w:rPr>
          <w:szCs w:val="22"/>
        </w:rPr>
      </w:pPr>
    </w:p>
    <w:p w:rsidR="008D43BD" w:rsidRPr="005F62B2" w:rsidP="008D43BD">
      <w:pPr>
        <w:ind w:right="113"/>
        <w:rPr>
          <w:szCs w:val="22"/>
        </w:rPr>
      </w:pPr>
    </w:p>
    <w:p w:rsidR="008D43BD" w:rsidRPr="005F62B2" w:rsidP="008D43BD">
      <w:pPr>
        <w:pBdr>
          <w:top w:val="single" w:sz="4" w:space="1" w:color="auto"/>
          <w:left w:val="single" w:sz="4" w:space="4" w:color="auto"/>
          <w:bottom w:val="single" w:sz="4" w:space="1" w:color="auto"/>
          <w:right w:val="single" w:sz="4" w:space="4" w:color="auto"/>
        </w:pBdr>
        <w:outlineLvl w:val="0"/>
        <w:rPr>
          <w:b/>
          <w:szCs w:val="22"/>
        </w:rPr>
      </w:pPr>
      <w:r w:rsidRPr="005F62B2" w:rsidR="00A4080A">
        <w:rPr>
          <w:b/>
          <w:szCs w:val="22"/>
        </w:rPr>
        <w:t>5.</w:t>
        <w:tab/>
        <w:t>CONTENTS BY WEIGHT, BY VOLUME OR BY UNIT</w:t>
      </w:r>
    </w:p>
    <w:p w:rsidR="008D43BD" w:rsidRPr="005F62B2" w:rsidP="008D43BD">
      <w:pPr>
        <w:ind w:right="113"/>
        <w:rPr>
          <w:szCs w:val="22"/>
        </w:rPr>
      </w:pPr>
    </w:p>
    <w:p w:rsidR="008D43BD" w:rsidRPr="005F62B2" w:rsidP="008D43BD">
      <w:pPr>
        <w:ind w:right="113"/>
        <w:rPr>
          <w:szCs w:val="22"/>
        </w:rPr>
      </w:pPr>
      <w:r w:rsidRPr="005F62B2" w:rsidR="00A4080A">
        <w:rPr>
          <w:szCs w:val="22"/>
        </w:rPr>
        <w:t>100 mg</w:t>
      </w:r>
    </w:p>
    <w:p w:rsidR="008D43BD" w:rsidRPr="005F62B2" w:rsidP="008D43BD">
      <w:pPr>
        <w:ind w:right="113"/>
        <w:rPr>
          <w:szCs w:val="22"/>
        </w:rPr>
      </w:pPr>
    </w:p>
    <w:p w:rsidR="008D43BD" w:rsidRPr="005F62B2" w:rsidP="008D43BD">
      <w:pPr>
        <w:ind w:right="113"/>
        <w:rPr>
          <w:szCs w:val="22"/>
        </w:rPr>
      </w:pPr>
    </w:p>
    <w:p w:rsidR="008D43BD" w:rsidRPr="005F62B2" w:rsidP="008D43BD">
      <w:pPr>
        <w:pBdr>
          <w:top w:val="single" w:sz="4" w:space="1" w:color="auto"/>
          <w:left w:val="single" w:sz="4" w:space="4" w:color="auto"/>
          <w:bottom w:val="single" w:sz="4" w:space="1" w:color="auto"/>
          <w:right w:val="single" w:sz="4" w:space="4" w:color="auto"/>
        </w:pBdr>
        <w:outlineLvl w:val="0"/>
        <w:rPr>
          <w:b/>
          <w:szCs w:val="22"/>
        </w:rPr>
      </w:pPr>
      <w:r w:rsidRPr="005F62B2" w:rsidR="00A4080A">
        <w:rPr>
          <w:b/>
          <w:szCs w:val="22"/>
        </w:rPr>
        <w:t>6.</w:t>
        <w:tab/>
        <w:t>OTHER</w:t>
      </w:r>
    </w:p>
    <w:p w:rsidR="008D43BD" w:rsidRPr="005F62B2" w:rsidP="008D43BD">
      <w:pPr>
        <w:shd w:val="clear" w:color="auto" w:fill="FFFFFF"/>
        <w:rPr>
          <w:b/>
          <w:szCs w:val="22"/>
        </w:rPr>
      </w:pPr>
    </w:p>
    <w:p w:rsidR="008D43BD" w:rsidRPr="005F62B2" w:rsidP="008D43BD">
      <w:pPr>
        <w:jc w:val="center"/>
        <w:outlineLvl w:val="0"/>
        <w:rPr>
          <w:szCs w:val="22"/>
        </w:rPr>
      </w:pPr>
      <w:r w:rsidRPr="005F62B2" w:rsidR="00A4080A">
        <w:rPr>
          <w:b/>
          <w:szCs w:val="22"/>
        </w:rPr>
        <w:br w:type="page"/>
      </w: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87"/>
      </w:tblGrid>
      <w:tr w:rsidTr="008D43B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9287" w:type="dxa"/>
            <w:tcBorders>
              <w:bottom w:val="single" w:sz="4" w:space="0" w:color="auto"/>
            </w:tcBorders>
          </w:tcPr>
          <w:p w:rsidR="008D43BD" w:rsidRPr="005F62B2" w:rsidP="008D43BD">
            <w:pPr>
              <w:rPr>
                <w:b/>
                <w:szCs w:val="22"/>
              </w:rPr>
            </w:pPr>
            <w:r w:rsidRPr="005F62B2" w:rsidR="00A4080A">
              <w:rPr>
                <w:b/>
                <w:szCs w:val="22"/>
              </w:rPr>
              <w:t>PARTICULARS TO APPEAR ON THE OUTER PACKAGING</w:t>
            </w:r>
          </w:p>
          <w:p w:rsidR="008D43BD" w:rsidRPr="005F62B2" w:rsidP="008D43BD">
            <w:pPr>
              <w:rPr>
                <w:b/>
                <w:szCs w:val="22"/>
              </w:rPr>
            </w:pPr>
          </w:p>
          <w:p w:rsidR="008D43BD" w:rsidRPr="005F62B2" w:rsidP="008D43BD">
            <w:pPr>
              <w:rPr>
                <w:b/>
                <w:szCs w:val="22"/>
              </w:rPr>
            </w:pPr>
            <w:r w:rsidRPr="005F62B2" w:rsidR="00A4080A">
              <w:rPr>
                <w:b/>
                <w:szCs w:val="22"/>
              </w:rPr>
              <w:t xml:space="preserve">CARTON </w:t>
            </w:r>
          </w:p>
        </w:tc>
      </w:tr>
    </w:tbl>
    <w:p w:rsidR="008D43BD" w:rsidRPr="005F62B2" w:rsidP="008D43BD">
      <w:pPr>
        <w:rPr>
          <w:szCs w:val="22"/>
        </w:rPr>
      </w:pPr>
    </w:p>
    <w:p w:rsidR="008D43BD" w:rsidRPr="005F62B2" w:rsidP="008D43BD">
      <w:pPr>
        <w:rPr>
          <w:szCs w:val="22"/>
        </w:rPr>
      </w:pP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87"/>
      </w:tblGrid>
      <w:tr w:rsidTr="008D43B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9287" w:type="dxa"/>
          </w:tcPr>
          <w:p w:rsidR="008D43BD" w:rsidRPr="005F62B2" w:rsidP="008D43BD">
            <w:pPr>
              <w:tabs>
                <w:tab w:val="left" w:pos="142"/>
              </w:tabs>
              <w:ind w:left="567" w:hanging="567"/>
              <w:rPr>
                <w:b/>
                <w:szCs w:val="22"/>
              </w:rPr>
            </w:pPr>
            <w:r w:rsidRPr="005F62B2" w:rsidR="00A4080A">
              <w:rPr>
                <w:b/>
                <w:szCs w:val="22"/>
              </w:rPr>
              <w:t>1.</w:t>
              <w:tab/>
              <w:t>NAME OF THE MEDICINAL PRODUCT</w:t>
            </w:r>
          </w:p>
        </w:tc>
      </w:tr>
    </w:tbl>
    <w:p w:rsidR="008D43BD" w:rsidRPr="005F62B2" w:rsidP="008D43BD">
      <w:pPr>
        <w:rPr>
          <w:szCs w:val="22"/>
        </w:rPr>
      </w:pPr>
    </w:p>
    <w:p w:rsidR="008D43BD" w:rsidRPr="005F62B2" w:rsidP="008D43BD">
      <w:pPr>
        <w:rPr>
          <w:szCs w:val="22"/>
        </w:rPr>
      </w:pPr>
      <w:r w:rsidRPr="005F62B2" w:rsidR="00A4080A">
        <w:rPr>
          <w:szCs w:val="22"/>
        </w:rPr>
        <w:t xml:space="preserve">Kadcyla 160 mg powder for concentrate for solution for infusion </w:t>
      </w:r>
    </w:p>
    <w:p w:rsidR="008D43BD" w:rsidRPr="005F62B2" w:rsidP="008D43BD">
      <w:pPr>
        <w:rPr>
          <w:szCs w:val="22"/>
        </w:rPr>
      </w:pPr>
      <w:r w:rsidRPr="005F62B2" w:rsidR="00A4080A">
        <w:rPr>
          <w:szCs w:val="22"/>
        </w:rPr>
        <w:t>trastuzumab emtansine</w:t>
      </w:r>
    </w:p>
    <w:p w:rsidR="008D43BD" w:rsidRPr="005F62B2" w:rsidP="008D43BD">
      <w:pPr>
        <w:rPr>
          <w:szCs w:val="22"/>
        </w:rPr>
      </w:pPr>
    </w:p>
    <w:p w:rsidR="008D43BD" w:rsidRPr="005F62B2" w:rsidP="008D43BD">
      <w:pPr>
        <w:rPr>
          <w:szCs w:val="22"/>
        </w:rPr>
      </w:pP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87"/>
      </w:tblGrid>
      <w:tr w:rsidTr="008D43B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9287" w:type="dxa"/>
          </w:tcPr>
          <w:p w:rsidR="008D43BD" w:rsidRPr="005F62B2" w:rsidP="008D43BD">
            <w:pPr>
              <w:tabs>
                <w:tab w:val="left" w:pos="142"/>
              </w:tabs>
              <w:ind w:left="567" w:hanging="567"/>
              <w:rPr>
                <w:b/>
                <w:szCs w:val="22"/>
              </w:rPr>
            </w:pPr>
            <w:r w:rsidRPr="005F62B2" w:rsidR="00A4080A">
              <w:rPr>
                <w:b/>
                <w:szCs w:val="22"/>
              </w:rPr>
              <w:t>2.</w:t>
              <w:tab/>
              <w:t>STATEMENT OF ACTIVE SUBSTANCE(S)</w:t>
            </w:r>
          </w:p>
        </w:tc>
      </w:tr>
    </w:tbl>
    <w:p w:rsidR="008D43BD" w:rsidRPr="005F62B2" w:rsidP="008D43BD">
      <w:pPr>
        <w:rPr>
          <w:szCs w:val="22"/>
        </w:rPr>
      </w:pPr>
    </w:p>
    <w:p w:rsidR="008D43BD" w:rsidP="008D43BD">
      <w:pPr>
        <w:rPr>
          <w:szCs w:val="22"/>
        </w:rPr>
      </w:pPr>
    </w:p>
    <w:p w:rsidR="008D43BD" w:rsidRPr="005F62B2" w:rsidP="008D43BD">
      <w:pPr>
        <w:rPr>
          <w:szCs w:val="22"/>
        </w:rPr>
      </w:pPr>
      <w:r w:rsidRPr="007C6EE1" w:rsidR="00A4080A">
        <w:rPr>
          <w:szCs w:val="22"/>
        </w:rPr>
        <w:t>One vial of powder for concentrate for solution for infusion contains 160 mg of trastuzumab emtansine. After reconstitution one vial of 8 mL solution contains 20 mg/mL of trastuzumab emtansine</w:t>
      </w:r>
      <w:r w:rsidR="00A4080A">
        <w:rPr>
          <w:szCs w:val="22"/>
        </w:rPr>
        <w:t>.</w:t>
      </w:r>
    </w:p>
    <w:p w:rsidR="008D43BD" w:rsidRPr="005F62B2" w:rsidP="008D43BD">
      <w:pPr>
        <w:rPr>
          <w:szCs w:val="22"/>
        </w:rPr>
      </w:pPr>
    </w:p>
    <w:p w:rsidR="008D43BD" w:rsidRPr="005F62B2" w:rsidP="008D43BD">
      <w:pPr>
        <w:rPr>
          <w:szCs w:val="22"/>
        </w:rPr>
      </w:pP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87"/>
      </w:tblGrid>
      <w:tr w:rsidTr="008D43B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9287" w:type="dxa"/>
          </w:tcPr>
          <w:p w:rsidR="008D43BD" w:rsidRPr="005F62B2" w:rsidP="008D43BD">
            <w:pPr>
              <w:tabs>
                <w:tab w:val="left" w:pos="142"/>
              </w:tabs>
              <w:ind w:left="567" w:hanging="567"/>
              <w:rPr>
                <w:b/>
                <w:szCs w:val="22"/>
              </w:rPr>
            </w:pPr>
            <w:r w:rsidRPr="005F62B2" w:rsidR="00A4080A">
              <w:rPr>
                <w:b/>
                <w:szCs w:val="22"/>
              </w:rPr>
              <w:t>3.</w:t>
              <w:tab/>
              <w:t>LIST OF EXCIPIENTS</w:t>
            </w:r>
          </w:p>
        </w:tc>
      </w:tr>
    </w:tbl>
    <w:p w:rsidR="008D43BD" w:rsidRPr="005F62B2" w:rsidP="008D43BD">
      <w:pPr>
        <w:rPr>
          <w:szCs w:val="22"/>
        </w:rPr>
      </w:pPr>
    </w:p>
    <w:p w:rsidR="008D43BD" w:rsidRPr="005F62B2" w:rsidP="008D43BD">
      <w:pPr>
        <w:rPr>
          <w:szCs w:val="22"/>
        </w:rPr>
      </w:pPr>
      <w:r w:rsidRPr="005F62B2" w:rsidR="00A4080A">
        <w:rPr>
          <w:szCs w:val="22"/>
        </w:rPr>
        <w:t>Excipients:</w:t>
      </w:r>
    </w:p>
    <w:p w:rsidR="008D43BD" w:rsidRPr="005F62B2" w:rsidP="008D43BD">
      <w:pPr>
        <w:rPr>
          <w:szCs w:val="22"/>
        </w:rPr>
      </w:pPr>
      <w:r w:rsidRPr="005F62B2" w:rsidR="00A4080A">
        <w:rPr>
          <w:szCs w:val="22"/>
        </w:rPr>
        <w:t>Succinic acid, sodium hydroxide, sucrose, polysorbate 20.</w:t>
      </w:r>
    </w:p>
    <w:p w:rsidR="008D43BD" w:rsidRPr="005F62B2" w:rsidP="008D43BD">
      <w:pPr>
        <w:rPr>
          <w:szCs w:val="22"/>
        </w:rPr>
      </w:pPr>
    </w:p>
    <w:p w:rsidR="008D43BD" w:rsidRPr="005F62B2" w:rsidP="008D43BD">
      <w:pPr>
        <w:rPr>
          <w:szCs w:val="22"/>
        </w:rPr>
      </w:pP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87"/>
      </w:tblGrid>
      <w:tr w:rsidTr="008D43B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9287" w:type="dxa"/>
          </w:tcPr>
          <w:p w:rsidR="008D43BD" w:rsidRPr="005F62B2" w:rsidP="008D43BD">
            <w:pPr>
              <w:tabs>
                <w:tab w:val="left" w:pos="142"/>
              </w:tabs>
              <w:ind w:left="567" w:hanging="567"/>
              <w:rPr>
                <w:b/>
                <w:szCs w:val="22"/>
              </w:rPr>
            </w:pPr>
            <w:r w:rsidRPr="005F62B2" w:rsidR="00A4080A">
              <w:rPr>
                <w:b/>
                <w:szCs w:val="22"/>
              </w:rPr>
              <w:t>4.</w:t>
              <w:tab/>
              <w:t>PHARMACEUTICAL FORM AND CONTENTS</w:t>
            </w:r>
          </w:p>
        </w:tc>
      </w:tr>
    </w:tbl>
    <w:p w:rsidR="008D43BD" w:rsidRPr="005F62B2" w:rsidP="008D43BD">
      <w:pPr>
        <w:rPr>
          <w:szCs w:val="22"/>
        </w:rPr>
      </w:pPr>
    </w:p>
    <w:p w:rsidR="008D43BD" w:rsidRPr="005F62B2" w:rsidP="008D43BD">
      <w:pPr>
        <w:rPr>
          <w:szCs w:val="22"/>
        </w:rPr>
      </w:pPr>
      <w:r w:rsidRPr="005F62B2" w:rsidR="00A4080A">
        <w:rPr>
          <w:szCs w:val="22"/>
        </w:rPr>
        <w:t>Powder for concentrate for solution for infusion</w:t>
      </w:r>
    </w:p>
    <w:p w:rsidR="008D43BD" w:rsidRPr="005F62B2" w:rsidP="008D43BD">
      <w:pPr>
        <w:rPr>
          <w:szCs w:val="22"/>
        </w:rPr>
      </w:pPr>
      <w:r w:rsidRPr="005F62B2" w:rsidR="00A4080A">
        <w:rPr>
          <w:szCs w:val="22"/>
        </w:rPr>
        <w:t>1 vial of 160 mg</w:t>
      </w:r>
    </w:p>
    <w:p w:rsidR="008D43BD" w:rsidRPr="005F62B2" w:rsidP="008D43BD">
      <w:pPr>
        <w:rPr>
          <w:szCs w:val="22"/>
        </w:rPr>
      </w:pPr>
    </w:p>
    <w:p w:rsidR="008D43BD" w:rsidRPr="005F62B2" w:rsidP="008D43BD">
      <w:pPr>
        <w:rPr>
          <w:szCs w:val="22"/>
        </w:rPr>
      </w:pP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87"/>
      </w:tblGrid>
      <w:tr w:rsidTr="008D43B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9287" w:type="dxa"/>
          </w:tcPr>
          <w:p w:rsidR="008D43BD" w:rsidRPr="005F62B2" w:rsidP="008D43BD">
            <w:pPr>
              <w:tabs>
                <w:tab w:val="left" w:pos="142"/>
              </w:tabs>
              <w:ind w:left="567" w:hanging="567"/>
              <w:rPr>
                <w:b/>
                <w:szCs w:val="22"/>
              </w:rPr>
            </w:pPr>
            <w:r w:rsidRPr="005F62B2" w:rsidR="00A4080A">
              <w:rPr>
                <w:b/>
                <w:szCs w:val="22"/>
              </w:rPr>
              <w:t>5.</w:t>
              <w:tab/>
              <w:t>METHOD AND ROUTE(S) OF ADMINISTRATION</w:t>
            </w:r>
          </w:p>
        </w:tc>
      </w:tr>
    </w:tbl>
    <w:p w:rsidR="008D43BD" w:rsidRPr="005F62B2" w:rsidP="008D43BD">
      <w:pPr>
        <w:rPr>
          <w:b/>
          <w:szCs w:val="22"/>
        </w:rPr>
      </w:pPr>
    </w:p>
    <w:p w:rsidR="008D43BD" w:rsidRPr="005F62B2" w:rsidP="008D43BD">
      <w:pPr>
        <w:rPr>
          <w:b/>
          <w:szCs w:val="22"/>
        </w:rPr>
      </w:pPr>
      <w:r w:rsidRPr="005F62B2" w:rsidR="00A4080A">
        <w:rPr>
          <w:szCs w:val="22"/>
        </w:rPr>
        <w:t>For intravenous use after reconstitution and dilution</w:t>
      </w:r>
    </w:p>
    <w:p w:rsidR="008D43BD" w:rsidRPr="005F62B2" w:rsidP="008D43BD">
      <w:pPr>
        <w:rPr>
          <w:b/>
          <w:szCs w:val="22"/>
        </w:rPr>
      </w:pPr>
      <w:r w:rsidRPr="005F62B2" w:rsidR="00A4080A">
        <w:rPr>
          <w:szCs w:val="22"/>
        </w:rPr>
        <w:t>Read the package leaflet before use</w:t>
      </w:r>
    </w:p>
    <w:p w:rsidR="008D43BD" w:rsidRPr="005F62B2" w:rsidP="008D43BD">
      <w:pPr>
        <w:rPr>
          <w:szCs w:val="22"/>
        </w:rPr>
      </w:pPr>
    </w:p>
    <w:p w:rsidR="008D43BD" w:rsidRPr="005F62B2" w:rsidP="008D43BD">
      <w:pPr>
        <w:rPr>
          <w:szCs w:val="22"/>
        </w:rPr>
      </w:pP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87"/>
      </w:tblGrid>
      <w:tr w:rsidTr="008D43B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9287" w:type="dxa"/>
          </w:tcPr>
          <w:p w:rsidR="008D43BD" w:rsidRPr="005F62B2" w:rsidP="008D43BD">
            <w:pPr>
              <w:tabs>
                <w:tab w:val="left" w:pos="142"/>
              </w:tabs>
              <w:ind w:left="567" w:hanging="567"/>
              <w:rPr>
                <w:b/>
                <w:szCs w:val="22"/>
              </w:rPr>
            </w:pPr>
            <w:r w:rsidRPr="005F62B2" w:rsidR="00A4080A">
              <w:rPr>
                <w:b/>
                <w:szCs w:val="22"/>
              </w:rPr>
              <w:t>6.</w:t>
              <w:tab/>
              <w:t>SPECIAL WARNING THAT THE MEDICINAL PRODUCT MUST BE STORED OUT OF THE SIGHT AND REACH OF CHILDREN</w:t>
            </w:r>
          </w:p>
        </w:tc>
      </w:tr>
    </w:tbl>
    <w:p w:rsidR="008D43BD" w:rsidRPr="005F62B2" w:rsidP="008D43BD">
      <w:pPr>
        <w:rPr>
          <w:szCs w:val="22"/>
        </w:rPr>
      </w:pPr>
    </w:p>
    <w:p w:rsidR="008D43BD" w:rsidRPr="005F62B2" w:rsidP="008D43BD">
      <w:pPr>
        <w:rPr>
          <w:szCs w:val="22"/>
        </w:rPr>
      </w:pPr>
      <w:r w:rsidRPr="005F62B2" w:rsidR="00A4080A">
        <w:rPr>
          <w:szCs w:val="22"/>
        </w:rPr>
        <w:t>Keep out of the sight and reach of children</w:t>
      </w:r>
    </w:p>
    <w:p w:rsidR="008D43BD" w:rsidRPr="005F62B2" w:rsidP="008D43BD">
      <w:pPr>
        <w:rPr>
          <w:szCs w:val="22"/>
        </w:rPr>
      </w:pPr>
    </w:p>
    <w:p w:rsidR="008D43BD" w:rsidRPr="005F62B2" w:rsidP="008D43BD">
      <w:pPr>
        <w:rPr>
          <w:szCs w:val="22"/>
        </w:rPr>
      </w:pP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87"/>
      </w:tblGrid>
      <w:tr w:rsidTr="008D43B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9287" w:type="dxa"/>
          </w:tcPr>
          <w:p w:rsidR="008D43BD" w:rsidRPr="005F62B2" w:rsidP="008D43BD">
            <w:pPr>
              <w:tabs>
                <w:tab w:val="left" w:pos="142"/>
              </w:tabs>
              <w:ind w:left="567" w:hanging="567"/>
              <w:rPr>
                <w:b/>
                <w:szCs w:val="22"/>
              </w:rPr>
            </w:pPr>
            <w:r w:rsidRPr="005F62B2" w:rsidR="00A4080A">
              <w:rPr>
                <w:b/>
                <w:szCs w:val="22"/>
              </w:rPr>
              <w:t>7.</w:t>
              <w:tab/>
              <w:t>OTHER SPECIAL WARNING(S), IF NECESSARY</w:t>
            </w:r>
          </w:p>
        </w:tc>
      </w:tr>
    </w:tbl>
    <w:p w:rsidR="008D43BD" w:rsidP="008D43BD">
      <w:pPr>
        <w:rPr>
          <w:szCs w:val="22"/>
        </w:rPr>
      </w:pPr>
    </w:p>
    <w:p w:rsidR="008D43BD" w:rsidRPr="007C6EE1" w:rsidP="008D43BD">
      <w:pPr>
        <w:rPr>
          <w:szCs w:val="22"/>
        </w:rPr>
      </w:pPr>
      <w:r w:rsidRPr="007C6EE1" w:rsidR="00A4080A">
        <w:rPr>
          <w:szCs w:val="22"/>
        </w:rPr>
        <w:t>Cytotoxic</w:t>
      </w:r>
    </w:p>
    <w:p w:rsidR="008D43BD" w:rsidRPr="007C6EE1" w:rsidP="008D43BD">
      <w:pPr>
        <w:rPr>
          <w:szCs w:val="22"/>
        </w:rPr>
      </w:pPr>
    </w:p>
    <w:p w:rsidR="008D43BD" w:rsidRPr="005F62B2" w:rsidP="008D43BD">
      <w:pPr>
        <w:rPr>
          <w:szCs w:val="22"/>
        </w:rPr>
      </w:pPr>
      <w:r w:rsidRPr="007C6EE1" w:rsidR="00A4080A">
        <w:rPr>
          <w:szCs w:val="22"/>
        </w:rPr>
        <w:t>To be administered under the supervision of a physician experienced in the use of cytotoxic agents</w:t>
      </w:r>
      <w:r w:rsidR="00A4080A">
        <w:rPr>
          <w:szCs w:val="22"/>
        </w:rPr>
        <w:t>.</w:t>
      </w:r>
    </w:p>
    <w:p w:rsidR="008D43BD" w:rsidP="008D43BD">
      <w:pPr>
        <w:rPr>
          <w:szCs w:val="22"/>
        </w:rPr>
      </w:pPr>
    </w:p>
    <w:p w:rsidR="008D43BD" w:rsidRPr="005F62B2" w:rsidP="008D43BD">
      <w:pPr>
        <w:rPr>
          <w:szCs w:val="22"/>
        </w:rPr>
      </w:pP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87"/>
      </w:tblGrid>
      <w:tr w:rsidTr="008D43B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9287" w:type="dxa"/>
          </w:tcPr>
          <w:p w:rsidR="008D43BD" w:rsidRPr="005F62B2" w:rsidP="008D43BD">
            <w:pPr>
              <w:tabs>
                <w:tab w:val="left" w:pos="142"/>
              </w:tabs>
              <w:ind w:left="567" w:hanging="567"/>
              <w:rPr>
                <w:b/>
                <w:szCs w:val="22"/>
              </w:rPr>
            </w:pPr>
            <w:r w:rsidRPr="005F62B2" w:rsidR="00A4080A">
              <w:rPr>
                <w:b/>
                <w:szCs w:val="22"/>
              </w:rPr>
              <w:t>8.</w:t>
              <w:tab/>
              <w:t>EXPIRY DATE</w:t>
            </w:r>
          </w:p>
        </w:tc>
      </w:tr>
    </w:tbl>
    <w:p w:rsidR="008D43BD" w:rsidRPr="005F62B2" w:rsidP="008D43BD">
      <w:pPr>
        <w:rPr>
          <w:szCs w:val="22"/>
        </w:rPr>
      </w:pPr>
    </w:p>
    <w:p w:rsidR="008D43BD" w:rsidRPr="005F62B2" w:rsidP="008D43BD">
      <w:pPr>
        <w:rPr>
          <w:szCs w:val="22"/>
        </w:rPr>
      </w:pPr>
      <w:r w:rsidRPr="005F62B2" w:rsidR="00A4080A">
        <w:rPr>
          <w:szCs w:val="22"/>
        </w:rPr>
        <w:t>EXP</w:t>
      </w:r>
    </w:p>
    <w:p w:rsidR="008D43BD" w:rsidRPr="005F62B2" w:rsidP="008D43BD">
      <w:pPr>
        <w:rPr>
          <w:szCs w:val="22"/>
        </w:rPr>
      </w:pPr>
    </w:p>
    <w:p w:rsidR="008D43BD" w:rsidRPr="005F62B2" w:rsidP="008D43BD">
      <w:pPr>
        <w:rPr>
          <w:szCs w:val="22"/>
        </w:rPr>
      </w:pP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87"/>
      </w:tblGrid>
      <w:tr w:rsidTr="008D43B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9287" w:type="dxa"/>
          </w:tcPr>
          <w:p w:rsidR="008D43BD" w:rsidRPr="005F62B2" w:rsidP="008D43BD">
            <w:pPr>
              <w:tabs>
                <w:tab w:val="left" w:pos="142"/>
              </w:tabs>
              <w:ind w:left="567" w:hanging="567"/>
              <w:rPr>
                <w:szCs w:val="22"/>
              </w:rPr>
            </w:pPr>
            <w:r w:rsidRPr="005F62B2" w:rsidR="00A4080A">
              <w:rPr>
                <w:b/>
                <w:szCs w:val="22"/>
              </w:rPr>
              <w:t>9.</w:t>
              <w:tab/>
              <w:t>SPECIAL STORAGE CONDITIONS</w:t>
            </w:r>
          </w:p>
        </w:tc>
      </w:tr>
    </w:tbl>
    <w:p w:rsidR="008D43BD" w:rsidRPr="005F62B2" w:rsidP="008D43BD">
      <w:pPr>
        <w:rPr>
          <w:szCs w:val="22"/>
        </w:rPr>
      </w:pPr>
    </w:p>
    <w:p w:rsidR="008D43BD" w:rsidRPr="005F62B2" w:rsidP="008D43BD">
      <w:pPr>
        <w:rPr>
          <w:szCs w:val="22"/>
        </w:rPr>
      </w:pPr>
      <w:r w:rsidRPr="005F62B2" w:rsidR="00A4080A">
        <w:rPr>
          <w:szCs w:val="22"/>
        </w:rPr>
        <w:t>Store in a refrigerator (2ºC – 8ºC)</w:t>
      </w:r>
    </w:p>
    <w:p w:rsidR="008D43BD" w:rsidP="008D43BD">
      <w:pPr>
        <w:rPr>
          <w:szCs w:val="22"/>
        </w:rPr>
      </w:pPr>
    </w:p>
    <w:p w:rsidR="008D43BD" w:rsidRPr="005F62B2" w:rsidP="008D43BD">
      <w:pPr>
        <w:rPr>
          <w:szCs w:val="22"/>
        </w:rPr>
      </w:pP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87"/>
      </w:tblGrid>
      <w:tr w:rsidTr="008D43B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9287" w:type="dxa"/>
          </w:tcPr>
          <w:p w:rsidR="008D43BD" w:rsidRPr="005F62B2" w:rsidP="008D43BD">
            <w:pPr>
              <w:keepNext/>
              <w:keepLines/>
              <w:tabs>
                <w:tab w:val="left" w:pos="142"/>
              </w:tabs>
              <w:ind w:left="567" w:hanging="567"/>
              <w:rPr>
                <w:b/>
                <w:szCs w:val="22"/>
              </w:rPr>
            </w:pPr>
            <w:r w:rsidRPr="005F62B2" w:rsidR="00A4080A">
              <w:rPr>
                <w:b/>
                <w:szCs w:val="22"/>
              </w:rPr>
              <w:t>10.</w:t>
              <w:tab/>
              <w:t>SPECIAL PRECAUTIONS FOR DISPOSAL OF UNUSED MEDICINAL PRODUCTS OR WASTE MATERIALS DERIVED FROM SUCH MEDICINAL PRODUCTS, IF APPROPRIATE</w:t>
            </w:r>
          </w:p>
        </w:tc>
      </w:tr>
    </w:tbl>
    <w:p w:rsidR="008D43BD" w:rsidRPr="005F62B2" w:rsidP="008D43BD">
      <w:pPr>
        <w:rPr>
          <w:szCs w:val="22"/>
        </w:rPr>
      </w:pPr>
    </w:p>
    <w:p w:rsidR="008D43BD" w:rsidRPr="005F62B2" w:rsidP="008D43BD">
      <w:pPr>
        <w:rPr>
          <w:szCs w:val="22"/>
        </w:rPr>
      </w:pP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87"/>
      </w:tblGrid>
      <w:tr w:rsidTr="008D43B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9287" w:type="dxa"/>
          </w:tcPr>
          <w:p w:rsidR="008D43BD" w:rsidRPr="005F62B2" w:rsidP="008D43BD">
            <w:pPr>
              <w:tabs>
                <w:tab w:val="left" w:pos="142"/>
              </w:tabs>
              <w:ind w:left="567" w:hanging="567"/>
              <w:rPr>
                <w:b/>
                <w:szCs w:val="22"/>
              </w:rPr>
            </w:pPr>
            <w:r w:rsidRPr="005F62B2" w:rsidR="00A4080A">
              <w:rPr>
                <w:b/>
                <w:szCs w:val="22"/>
              </w:rPr>
              <w:t>11.</w:t>
              <w:tab/>
              <w:t>NAME AND ADDRESS OF THE MARKETING AUTHORISATION HOLDER</w:t>
            </w:r>
          </w:p>
        </w:tc>
      </w:tr>
    </w:tbl>
    <w:p w:rsidR="008D43BD" w:rsidRPr="005F62B2" w:rsidP="008D43BD">
      <w:pPr>
        <w:rPr>
          <w:szCs w:val="22"/>
        </w:rPr>
      </w:pPr>
    </w:p>
    <w:p w:rsidR="008D43BD" w:rsidRPr="0012606C" w:rsidP="008D43BD">
      <w:pPr>
        <w:rPr>
          <w:szCs w:val="22"/>
          <w:lang w:val="de-CH"/>
        </w:rPr>
      </w:pPr>
      <w:r w:rsidRPr="0012606C" w:rsidR="00A4080A">
        <w:rPr>
          <w:szCs w:val="22"/>
          <w:lang w:val="de-CH"/>
        </w:rPr>
        <w:t xml:space="preserve">Roche Registration GmbH </w:t>
      </w:r>
    </w:p>
    <w:p w:rsidR="008D43BD" w:rsidRPr="0012606C" w:rsidP="008D43BD">
      <w:pPr>
        <w:rPr>
          <w:szCs w:val="22"/>
          <w:lang w:val="de-CH"/>
        </w:rPr>
      </w:pPr>
      <w:r w:rsidRPr="0012606C" w:rsidR="00A4080A">
        <w:rPr>
          <w:szCs w:val="22"/>
          <w:lang w:val="de-CH"/>
        </w:rPr>
        <w:t>Emil-Barell-Strasse 1</w:t>
      </w:r>
    </w:p>
    <w:p w:rsidR="008D43BD" w:rsidRPr="0012606C" w:rsidP="008D43BD">
      <w:pPr>
        <w:rPr>
          <w:szCs w:val="22"/>
          <w:lang w:val="de-CH"/>
        </w:rPr>
      </w:pPr>
      <w:r w:rsidRPr="0012606C" w:rsidR="00A4080A">
        <w:rPr>
          <w:szCs w:val="22"/>
          <w:lang w:val="de-CH"/>
        </w:rPr>
        <w:t>79639 Grenzach-Wyhlen</w:t>
      </w:r>
    </w:p>
    <w:p w:rsidR="008D43BD" w:rsidRPr="005F62B2" w:rsidP="008D43BD">
      <w:pPr>
        <w:rPr>
          <w:szCs w:val="22"/>
        </w:rPr>
      </w:pPr>
      <w:r w:rsidRPr="007C6EE1" w:rsidR="00A4080A">
        <w:rPr>
          <w:szCs w:val="22"/>
        </w:rPr>
        <w:t>Germany</w:t>
      </w:r>
    </w:p>
    <w:p w:rsidR="008D43BD" w:rsidP="008D43BD">
      <w:pPr>
        <w:rPr>
          <w:szCs w:val="22"/>
        </w:rPr>
      </w:pPr>
    </w:p>
    <w:p w:rsidR="008D43BD" w:rsidRPr="005F62B2" w:rsidP="008D43BD">
      <w:pPr>
        <w:rPr>
          <w:szCs w:val="22"/>
        </w:rPr>
      </w:pP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87"/>
      </w:tblGrid>
      <w:tr w:rsidTr="008D43B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9287" w:type="dxa"/>
          </w:tcPr>
          <w:p w:rsidR="008D43BD" w:rsidRPr="005F62B2" w:rsidP="008D43BD">
            <w:pPr>
              <w:tabs>
                <w:tab w:val="left" w:pos="142"/>
              </w:tabs>
              <w:ind w:left="567" w:hanging="567"/>
              <w:rPr>
                <w:b/>
                <w:szCs w:val="22"/>
              </w:rPr>
            </w:pPr>
            <w:r w:rsidRPr="005F62B2" w:rsidR="00A4080A">
              <w:rPr>
                <w:b/>
                <w:szCs w:val="22"/>
              </w:rPr>
              <w:t>12.</w:t>
              <w:tab/>
              <w:t>MARKETING AUTHORISATION NUMBER(S)</w:t>
            </w:r>
          </w:p>
        </w:tc>
      </w:tr>
    </w:tbl>
    <w:p w:rsidR="008D43BD" w:rsidRPr="005F62B2" w:rsidP="008D43BD">
      <w:pPr>
        <w:rPr>
          <w:szCs w:val="22"/>
        </w:rPr>
      </w:pPr>
    </w:p>
    <w:p w:rsidR="008D43BD" w:rsidRPr="005F62B2" w:rsidP="008D43BD">
      <w:pPr>
        <w:rPr>
          <w:szCs w:val="22"/>
        </w:rPr>
      </w:pPr>
      <w:r w:rsidRPr="003615CB" w:rsidR="00A4080A">
        <w:rPr>
          <w:color w:val="000000"/>
        </w:rPr>
        <w:t>EU/1/13/885/00</w:t>
      </w:r>
      <w:r w:rsidR="00A4080A">
        <w:rPr>
          <w:color w:val="000000"/>
        </w:rPr>
        <w:t>2</w:t>
      </w:r>
    </w:p>
    <w:p w:rsidR="008D43BD" w:rsidRPr="005F62B2" w:rsidP="008D43BD">
      <w:pPr>
        <w:rPr>
          <w:szCs w:val="22"/>
        </w:rPr>
      </w:pPr>
    </w:p>
    <w:p w:rsidR="008D43BD" w:rsidRPr="005F62B2" w:rsidP="008D43BD">
      <w:pPr>
        <w:rPr>
          <w:szCs w:val="22"/>
        </w:rPr>
      </w:pP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87"/>
      </w:tblGrid>
      <w:tr w:rsidTr="008D43B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9287" w:type="dxa"/>
          </w:tcPr>
          <w:p w:rsidR="008D43BD" w:rsidRPr="005F62B2" w:rsidP="008D43BD">
            <w:pPr>
              <w:tabs>
                <w:tab w:val="left" w:pos="142"/>
              </w:tabs>
              <w:ind w:left="567" w:hanging="567"/>
              <w:rPr>
                <w:b/>
                <w:szCs w:val="22"/>
              </w:rPr>
            </w:pPr>
            <w:r w:rsidRPr="005F62B2" w:rsidR="00A4080A">
              <w:rPr>
                <w:b/>
                <w:szCs w:val="22"/>
              </w:rPr>
              <w:t>13.</w:t>
              <w:tab/>
              <w:t>BATCH NUMBER</w:t>
            </w:r>
          </w:p>
        </w:tc>
      </w:tr>
    </w:tbl>
    <w:p w:rsidR="008D43BD" w:rsidRPr="005F62B2" w:rsidP="008D43BD">
      <w:pPr>
        <w:rPr>
          <w:szCs w:val="22"/>
        </w:rPr>
      </w:pPr>
    </w:p>
    <w:p w:rsidR="008D43BD" w:rsidRPr="005F62B2" w:rsidP="008D43BD">
      <w:pPr>
        <w:rPr>
          <w:szCs w:val="22"/>
        </w:rPr>
      </w:pPr>
      <w:r w:rsidRPr="005F62B2" w:rsidR="00A4080A">
        <w:rPr>
          <w:szCs w:val="22"/>
        </w:rPr>
        <w:t>Batch</w:t>
      </w:r>
    </w:p>
    <w:p w:rsidR="008D43BD" w:rsidRPr="005F62B2" w:rsidP="008D43BD">
      <w:pPr>
        <w:rPr>
          <w:szCs w:val="22"/>
        </w:rPr>
      </w:pPr>
    </w:p>
    <w:p w:rsidR="008D43BD" w:rsidRPr="005F62B2" w:rsidP="008D43BD">
      <w:pPr>
        <w:rPr>
          <w:szCs w:val="22"/>
        </w:rPr>
      </w:pP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87"/>
      </w:tblGrid>
      <w:tr w:rsidTr="008D43B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9287" w:type="dxa"/>
          </w:tcPr>
          <w:p w:rsidR="008D43BD" w:rsidRPr="005F62B2" w:rsidP="008D43BD">
            <w:pPr>
              <w:tabs>
                <w:tab w:val="left" w:pos="142"/>
              </w:tabs>
              <w:ind w:left="567" w:hanging="567"/>
              <w:rPr>
                <w:b/>
                <w:szCs w:val="22"/>
              </w:rPr>
            </w:pPr>
            <w:r w:rsidRPr="005F62B2" w:rsidR="00A4080A">
              <w:rPr>
                <w:b/>
                <w:szCs w:val="22"/>
              </w:rPr>
              <w:t>14.</w:t>
              <w:tab/>
              <w:t>GENERAL CLASSIFICATION FOR SUPPLY</w:t>
            </w:r>
          </w:p>
        </w:tc>
      </w:tr>
    </w:tbl>
    <w:p w:rsidR="008D43BD" w:rsidRPr="005F62B2" w:rsidP="008D43BD">
      <w:pPr>
        <w:rPr>
          <w:szCs w:val="22"/>
        </w:rPr>
      </w:pPr>
    </w:p>
    <w:p w:rsidR="008D43BD" w:rsidRPr="005F62B2" w:rsidP="008D43BD">
      <w:pPr>
        <w:rPr>
          <w:szCs w:val="22"/>
        </w:rPr>
      </w:pPr>
      <w:r w:rsidRPr="005F62B2" w:rsidR="00A4080A">
        <w:rPr>
          <w:szCs w:val="22"/>
        </w:rPr>
        <w:t>Medicinal product subject to medical prescription</w:t>
      </w:r>
    </w:p>
    <w:p w:rsidR="008D43BD" w:rsidRPr="005F62B2" w:rsidP="008D43BD">
      <w:pPr>
        <w:rPr>
          <w:szCs w:val="22"/>
        </w:rPr>
      </w:pPr>
    </w:p>
    <w:p w:rsidR="008D43BD" w:rsidRPr="005F62B2" w:rsidP="008D43BD">
      <w:pPr>
        <w:rPr>
          <w:szCs w:val="22"/>
        </w:rPr>
      </w:pP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87"/>
      </w:tblGrid>
      <w:tr w:rsidTr="008D43B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9287" w:type="dxa"/>
          </w:tcPr>
          <w:p w:rsidR="008D43BD" w:rsidRPr="005F62B2" w:rsidP="008D43BD">
            <w:pPr>
              <w:tabs>
                <w:tab w:val="left" w:pos="142"/>
              </w:tabs>
              <w:ind w:left="567" w:hanging="567"/>
              <w:rPr>
                <w:b/>
                <w:szCs w:val="22"/>
              </w:rPr>
            </w:pPr>
            <w:r w:rsidRPr="005F62B2" w:rsidR="00A4080A">
              <w:rPr>
                <w:b/>
                <w:szCs w:val="22"/>
              </w:rPr>
              <w:t>15.</w:t>
              <w:tab/>
              <w:t>INSTRUCTIONS ON USE</w:t>
            </w:r>
          </w:p>
        </w:tc>
      </w:tr>
    </w:tbl>
    <w:p w:rsidR="008D43BD" w:rsidRPr="005F62B2" w:rsidP="008D43BD">
      <w:pPr>
        <w:rPr>
          <w:szCs w:val="22"/>
        </w:rPr>
      </w:pPr>
    </w:p>
    <w:p w:rsidR="008D43BD" w:rsidRPr="005F62B2" w:rsidP="008D43BD">
      <w:pPr>
        <w:rPr>
          <w:szCs w:val="22"/>
        </w:rPr>
      </w:pPr>
    </w:p>
    <w:p w:rsidR="008D43BD" w:rsidRPr="005F62B2" w:rsidP="008D43BD">
      <w:pPr>
        <w:pBdr>
          <w:top w:val="single" w:sz="4" w:space="1" w:color="auto"/>
          <w:left w:val="single" w:sz="4" w:space="4" w:color="auto"/>
          <w:bottom w:val="single" w:sz="4" w:space="1" w:color="auto"/>
          <w:right w:val="single" w:sz="4" w:space="4" w:color="auto"/>
        </w:pBdr>
        <w:ind w:left="567" w:hanging="567"/>
        <w:outlineLvl w:val="0"/>
        <w:rPr>
          <w:szCs w:val="22"/>
        </w:rPr>
      </w:pPr>
      <w:r w:rsidRPr="005F62B2" w:rsidR="00A4080A">
        <w:rPr>
          <w:b/>
          <w:szCs w:val="22"/>
        </w:rPr>
        <w:t>16.</w:t>
        <w:tab/>
        <w:t>INFORMATION IN BRAILLE</w:t>
      </w:r>
    </w:p>
    <w:p w:rsidR="008D43BD" w:rsidP="008D43BD">
      <w:pPr>
        <w:rPr>
          <w:szCs w:val="22"/>
        </w:rPr>
      </w:pPr>
    </w:p>
    <w:p w:rsidR="008D43BD" w:rsidP="008D43BD">
      <w:pPr>
        <w:rPr>
          <w:szCs w:val="22"/>
        </w:rPr>
      </w:pPr>
      <w:r w:rsidRPr="002B1C38" w:rsidR="00A4080A">
        <w:rPr>
          <w:szCs w:val="22"/>
          <w:highlight w:val="lightGray"/>
        </w:rPr>
        <w:t>Justification for not including Braille accepted</w:t>
      </w:r>
    </w:p>
    <w:p w:rsidR="008D43BD" w:rsidRPr="005F62B2" w:rsidP="008D43BD">
      <w:pPr>
        <w:rPr>
          <w:szCs w:val="22"/>
        </w:rPr>
      </w:pPr>
    </w:p>
    <w:p w:rsidR="008D43BD" w:rsidP="008D43BD">
      <w:pPr>
        <w:rPr>
          <w:szCs w:val="22"/>
        </w:rPr>
      </w:pPr>
    </w:p>
    <w:p w:rsidR="008D43BD" w:rsidRPr="00C937E7" w:rsidP="008D43BD">
      <w:pPr>
        <w:pBdr>
          <w:top w:val="single" w:sz="4" w:space="1" w:color="auto"/>
          <w:left w:val="single" w:sz="4" w:space="4" w:color="auto"/>
          <w:bottom w:val="single" w:sz="4" w:space="0" w:color="auto"/>
          <w:right w:val="single" w:sz="4" w:space="4" w:color="auto"/>
        </w:pBdr>
        <w:rPr>
          <w:i/>
          <w:noProof/>
        </w:rPr>
      </w:pPr>
      <w:r w:rsidRPr="00C937E7" w:rsidR="00A4080A">
        <w:rPr>
          <w:b/>
          <w:noProof/>
        </w:rPr>
        <w:t>17.</w:t>
        <w:tab/>
        <w:t>UNIQUE IDENTIFIER – 2D BARCODE</w:t>
      </w:r>
    </w:p>
    <w:p w:rsidR="008D43BD" w:rsidRPr="00C937E7" w:rsidP="008D43BD">
      <w:pPr>
        <w:rPr>
          <w:noProof/>
        </w:rPr>
      </w:pPr>
    </w:p>
    <w:p w:rsidR="008D43BD" w:rsidRPr="00C937E7" w:rsidP="008D43BD">
      <w:pPr>
        <w:rPr>
          <w:noProof/>
          <w:szCs w:val="22"/>
          <w:shd w:val="clear" w:color="auto" w:fill="CCCCCC"/>
        </w:rPr>
      </w:pPr>
      <w:r w:rsidRPr="002B1C38" w:rsidR="00A4080A">
        <w:rPr>
          <w:noProof/>
          <w:highlight w:val="lightGray"/>
        </w:rPr>
        <w:t>&lt;2D barcode carrying the unique identifier included.&gt;</w:t>
      </w:r>
    </w:p>
    <w:p w:rsidR="008D43BD" w:rsidRPr="00C937E7" w:rsidP="008D43BD">
      <w:pPr>
        <w:rPr>
          <w:noProof/>
          <w:szCs w:val="22"/>
          <w:shd w:val="clear" w:color="auto" w:fill="CCCCCC"/>
        </w:rPr>
      </w:pPr>
    </w:p>
    <w:p w:rsidR="008D43BD" w:rsidRPr="00C937E7" w:rsidP="008D43BD">
      <w:pPr>
        <w:rPr>
          <w:noProof/>
        </w:rPr>
      </w:pPr>
    </w:p>
    <w:p w:rsidR="008D43BD" w:rsidRPr="00C937E7" w:rsidP="008D43BD">
      <w:pPr>
        <w:pBdr>
          <w:top w:val="single" w:sz="4" w:space="1" w:color="auto"/>
          <w:left w:val="single" w:sz="4" w:space="4" w:color="auto"/>
          <w:bottom w:val="single" w:sz="4" w:space="0" w:color="auto"/>
          <w:right w:val="single" w:sz="4" w:space="4" w:color="auto"/>
        </w:pBdr>
        <w:rPr>
          <w:i/>
          <w:noProof/>
        </w:rPr>
      </w:pPr>
      <w:r w:rsidRPr="00C937E7" w:rsidR="00A4080A">
        <w:rPr>
          <w:b/>
          <w:noProof/>
        </w:rPr>
        <w:t>18.</w:t>
        <w:tab/>
        <w:t xml:space="preserve">UNIQUE IDENTIFIER - HUMAN READABLE </w:t>
      </w:r>
      <w:r w:rsidR="00A4080A">
        <w:rPr>
          <w:b/>
          <w:noProof/>
        </w:rPr>
        <w:t>DATA</w:t>
      </w:r>
    </w:p>
    <w:p w:rsidR="008D43BD" w:rsidRPr="00C937E7" w:rsidP="008D43BD">
      <w:pPr>
        <w:rPr>
          <w:noProof/>
        </w:rPr>
      </w:pPr>
    </w:p>
    <w:p w:rsidR="008D43BD" w:rsidP="008D43BD">
      <w:pPr>
        <w:rPr>
          <w:szCs w:val="22"/>
        </w:rPr>
      </w:pPr>
      <w:r w:rsidRPr="00C937E7" w:rsidR="00A4080A">
        <w:rPr>
          <w:szCs w:val="22"/>
        </w:rPr>
        <w:t>PC:</w:t>
      </w:r>
      <w:r w:rsidR="00A4080A">
        <w:rPr>
          <w:szCs w:val="22"/>
        </w:rPr>
        <w:t xml:space="preserve"> </w:t>
      </w:r>
    </w:p>
    <w:p w:rsidR="008D43BD" w:rsidRPr="00C937E7" w:rsidP="008D43BD">
      <w:pPr>
        <w:rPr>
          <w:szCs w:val="22"/>
        </w:rPr>
      </w:pPr>
      <w:r w:rsidRPr="00C937E7" w:rsidR="00A4080A">
        <w:rPr>
          <w:szCs w:val="22"/>
        </w:rPr>
        <w:t xml:space="preserve">SN: </w:t>
      </w:r>
    </w:p>
    <w:p w:rsidR="008D43BD" w:rsidRPr="00C937E7" w:rsidP="008D43BD">
      <w:pPr>
        <w:rPr>
          <w:szCs w:val="22"/>
        </w:rPr>
      </w:pPr>
      <w:r w:rsidRPr="00C51DEE" w:rsidR="00A4080A">
        <w:rPr>
          <w:szCs w:val="22"/>
        </w:rPr>
        <w:t xml:space="preserve">NN: </w:t>
      </w:r>
    </w:p>
    <w:p w:rsidR="008D43BD" w:rsidRPr="005F62B2" w:rsidP="008D43BD">
      <w:pPr>
        <w:rPr>
          <w:szCs w:val="22"/>
        </w:rPr>
      </w:pPr>
      <w:r w:rsidRPr="005F62B2" w:rsidR="00A4080A">
        <w:rPr>
          <w:szCs w:val="22"/>
        </w:rPr>
        <w:br w:type="page"/>
      </w:r>
    </w:p>
    <w:p w:rsidR="008D43BD" w:rsidRPr="005F62B2" w:rsidP="008D43BD">
      <w:pPr>
        <w:pBdr>
          <w:top w:val="single" w:sz="4" w:space="1" w:color="auto"/>
          <w:left w:val="single" w:sz="4" w:space="4" w:color="auto"/>
          <w:bottom w:val="single" w:sz="4" w:space="1" w:color="auto"/>
          <w:right w:val="single" w:sz="4" w:space="4" w:color="auto"/>
        </w:pBdr>
        <w:rPr>
          <w:b/>
          <w:szCs w:val="22"/>
        </w:rPr>
      </w:pPr>
      <w:r w:rsidRPr="005F62B2" w:rsidR="00A4080A">
        <w:rPr>
          <w:b/>
          <w:szCs w:val="22"/>
        </w:rPr>
        <w:t>MINIMUM PARTICULARS TO APPEAR ON SMALL IMMEDIATE PACKAGING UNITS</w:t>
      </w:r>
    </w:p>
    <w:p w:rsidR="008D43BD" w:rsidRPr="005F62B2" w:rsidP="008D43BD">
      <w:pPr>
        <w:pBdr>
          <w:top w:val="single" w:sz="4" w:space="1" w:color="auto"/>
          <w:left w:val="single" w:sz="4" w:space="4" w:color="auto"/>
          <w:bottom w:val="single" w:sz="4" w:space="1" w:color="auto"/>
          <w:right w:val="single" w:sz="4" w:space="4" w:color="auto"/>
        </w:pBdr>
        <w:rPr>
          <w:b/>
          <w:szCs w:val="22"/>
        </w:rPr>
      </w:pPr>
    </w:p>
    <w:p w:rsidR="008D43BD" w:rsidRPr="005F62B2" w:rsidP="008D43BD">
      <w:pPr>
        <w:pBdr>
          <w:top w:val="single" w:sz="4" w:space="1" w:color="auto"/>
          <w:left w:val="single" w:sz="4" w:space="4" w:color="auto"/>
          <w:bottom w:val="single" w:sz="4" w:space="1" w:color="auto"/>
          <w:right w:val="single" w:sz="4" w:space="4" w:color="auto"/>
        </w:pBdr>
        <w:rPr>
          <w:b/>
          <w:szCs w:val="22"/>
        </w:rPr>
      </w:pPr>
      <w:r w:rsidRPr="005F62B2" w:rsidR="00A4080A">
        <w:rPr>
          <w:b/>
          <w:szCs w:val="22"/>
        </w:rPr>
        <w:t>VIAL LABEL</w:t>
      </w:r>
    </w:p>
    <w:p w:rsidR="008D43BD" w:rsidRPr="005F62B2" w:rsidP="008D43BD">
      <w:pPr>
        <w:rPr>
          <w:szCs w:val="22"/>
        </w:rPr>
      </w:pPr>
    </w:p>
    <w:p w:rsidR="008D43BD" w:rsidRPr="005F62B2" w:rsidP="008D43BD">
      <w:pPr>
        <w:rPr>
          <w:szCs w:val="22"/>
        </w:rPr>
      </w:pPr>
    </w:p>
    <w:p w:rsidR="008D43BD" w:rsidRPr="005F62B2" w:rsidP="008D43BD">
      <w:pPr>
        <w:pBdr>
          <w:top w:val="single" w:sz="4" w:space="1" w:color="auto"/>
          <w:left w:val="single" w:sz="4" w:space="4" w:color="auto"/>
          <w:bottom w:val="single" w:sz="4" w:space="1" w:color="auto"/>
          <w:right w:val="single" w:sz="4" w:space="4" w:color="auto"/>
        </w:pBdr>
        <w:outlineLvl w:val="0"/>
        <w:rPr>
          <w:b/>
          <w:szCs w:val="22"/>
        </w:rPr>
      </w:pPr>
      <w:r w:rsidRPr="005F62B2" w:rsidR="00A4080A">
        <w:rPr>
          <w:b/>
          <w:szCs w:val="22"/>
        </w:rPr>
        <w:t>1.</w:t>
        <w:tab/>
        <w:t>NAME OF THE MEDICINAL PRODUCT AND ROUTE(S) OF ADMINISTRATION</w:t>
      </w:r>
    </w:p>
    <w:p w:rsidR="008D43BD" w:rsidRPr="005F62B2" w:rsidP="008D43BD">
      <w:pPr>
        <w:ind w:left="567" w:hanging="567"/>
        <w:rPr>
          <w:szCs w:val="22"/>
        </w:rPr>
      </w:pPr>
    </w:p>
    <w:p w:rsidR="008D43BD" w:rsidRPr="005F62B2" w:rsidP="008D43BD">
      <w:pPr>
        <w:rPr>
          <w:szCs w:val="22"/>
        </w:rPr>
      </w:pPr>
      <w:r w:rsidRPr="005F62B2" w:rsidR="00A4080A">
        <w:rPr>
          <w:szCs w:val="22"/>
        </w:rPr>
        <w:t>Kadcyla 160 mg powder for concentrate for solution for infusion</w:t>
      </w:r>
    </w:p>
    <w:p w:rsidR="008D43BD" w:rsidRPr="005F62B2" w:rsidP="008D43BD">
      <w:pPr>
        <w:rPr>
          <w:szCs w:val="22"/>
        </w:rPr>
      </w:pPr>
      <w:r w:rsidRPr="005F62B2" w:rsidR="00A4080A">
        <w:rPr>
          <w:szCs w:val="22"/>
        </w:rPr>
        <w:t>trastuzumab emtansine</w:t>
      </w:r>
    </w:p>
    <w:p w:rsidR="008D43BD" w:rsidRPr="005F62B2" w:rsidP="008D43BD">
      <w:pPr>
        <w:rPr>
          <w:szCs w:val="22"/>
        </w:rPr>
      </w:pPr>
      <w:r w:rsidRPr="005F62B2" w:rsidR="00A4080A">
        <w:rPr>
          <w:szCs w:val="22"/>
        </w:rPr>
        <w:t>Intravenous use</w:t>
      </w:r>
    </w:p>
    <w:p w:rsidR="008D43BD" w:rsidRPr="005F62B2" w:rsidP="008D43BD">
      <w:pPr>
        <w:rPr>
          <w:szCs w:val="22"/>
        </w:rPr>
      </w:pPr>
    </w:p>
    <w:p w:rsidR="008D43BD" w:rsidRPr="005F62B2" w:rsidP="008D43BD">
      <w:pPr>
        <w:rPr>
          <w:szCs w:val="22"/>
        </w:rPr>
      </w:pPr>
    </w:p>
    <w:p w:rsidR="008D43BD" w:rsidRPr="005F62B2" w:rsidP="008D43BD">
      <w:pPr>
        <w:pBdr>
          <w:top w:val="single" w:sz="4" w:space="1" w:color="auto"/>
          <w:left w:val="single" w:sz="4" w:space="4" w:color="auto"/>
          <w:bottom w:val="single" w:sz="4" w:space="1" w:color="auto"/>
          <w:right w:val="single" w:sz="4" w:space="4" w:color="auto"/>
        </w:pBdr>
        <w:outlineLvl w:val="0"/>
        <w:rPr>
          <w:b/>
          <w:szCs w:val="22"/>
        </w:rPr>
      </w:pPr>
      <w:r w:rsidRPr="005F62B2" w:rsidR="00A4080A">
        <w:rPr>
          <w:b/>
          <w:szCs w:val="22"/>
        </w:rPr>
        <w:t>2.</w:t>
        <w:tab/>
        <w:t>METHOD OF ADMINISTRATION</w:t>
      </w:r>
    </w:p>
    <w:p w:rsidR="008D43BD" w:rsidRPr="005F62B2" w:rsidP="008D43BD">
      <w:pPr>
        <w:rPr>
          <w:szCs w:val="22"/>
        </w:rPr>
      </w:pPr>
    </w:p>
    <w:p w:rsidR="008D43BD" w:rsidRPr="005F62B2" w:rsidP="008D43BD">
      <w:pPr>
        <w:rPr>
          <w:b/>
          <w:szCs w:val="22"/>
        </w:rPr>
      </w:pPr>
      <w:r w:rsidRPr="005F62B2" w:rsidR="00A4080A">
        <w:rPr>
          <w:szCs w:val="22"/>
        </w:rPr>
        <w:t>For intravenous use after reconstitution and dilution</w:t>
      </w:r>
    </w:p>
    <w:p w:rsidR="008D43BD" w:rsidRPr="005F62B2" w:rsidP="008D43BD">
      <w:pPr>
        <w:rPr>
          <w:szCs w:val="22"/>
        </w:rPr>
      </w:pPr>
    </w:p>
    <w:p w:rsidR="008D43BD" w:rsidRPr="005F62B2" w:rsidP="008D43BD">
      <w:pPr>
        <w:rPr>
          <w:szCs w:val="22"/>
        </w:rPr>
      </w:pPr>
    </w:p>
    <w:p w:rsidR="008D43BD" w:rsidRPr="005F62B2" w:rsidP="008D43BD">
      <w:pPr>
        <w:pBdr>
          <w:top w:val="single" w:sz="4" w:space="1" w:color="auto"/>
          <w:left w:val="single" w:sz="4" w:space="4" w:color="auto"/>
          <w:bottom w:val="single" w:sz="4" w:space="1" w:color="auto"/>
          <w:right w:val="single" w:sz="4" w:space="4" w:color="auto"/>
        </w:pBdr>
        <w:outlineLvl w:val="0"/>
        <w:rPr>
          <w:b/>
          <w:szCs w:val="22"/>
        </w:rPr>
      </w:pPr>
      <w:r w:rsidRPr="005F62B2" w:rsidR="00A4080A">
        <w:rPr>
          <w:b/>
          <w:szCs w:val="22"/>
        </w:rPr>
        <w:t>3.</w:t>
        <w:tab/>
        <w:t>EXPIRY DATE</w:t>
      </w:r>
    </w:p>
    <w:p w:rsidR="008D43BD" w:rsidRPr="005F62B2" w:rsidP="008D43BD">
      <w:pPr>
        <w:rPr>
          <w:szCs w:val="22"/>
        </w:rPr>
      </w:pPr>
    </w:p>
    <w:p w:rsidR="008D43BD" w:rsidRPr="005F62B2" w:rsidP="008D43BD">
      <w:pPr>
        <w:rPr>
          <w:szCs w:val="22"/>
        </w:rPr>
      </w:pPr>
      <w:r w:rsidRPr="005F62B2" w:rsidR="00A4080A">
        <w:rPr>
          <w:szCs w:val="22"/>
        </w:rPr>
        <w:t>EXP</w:t>
      </w:r>
    </w:p>
    <w:p w:rsidR="008D43BD" w:rsidRPr="005F62B2" w:rsidP="008D43BD">
      <w:pPr>
        <w:rPr>
          <w:szCs w:val="22"/>
        </w:rPr>
      </w:pPr>
    </w:p>
    <w:p w:rsidR="008D43BD" w:rsidRPr="005F62B2" w:rsidP="008D43BD">
      <w:pPr>
        <w:rPr>
          <w:szCs w:val="22"/>
        </w:rPr>
      </w:pPr>
    </w:p>
    <w:p w:rsidR="008D43BD" w:rsidRPr="005F62B2" w:rsidP="008D43BD">
      <w:pPr>
        <w:pBdr>
          <w:top w:val="single" w:sz="4" w:space="1" w:color="auto"/>
          <w:left w:val="single" w:sz="4" w:space="4" w:color="auto"/>
          <w:bottom w:val="single" w:sz="4" w:space="1" w:color="auto"/>
          <w:right w:val="single" w:sz="4" w:space="4" w:color="auto"/>
        </w:pBdr>
        <w:outlineLvl w:val="0"/>
        <w:rPr>
          <w:b/>
          <w:szCs w:val="22"/>
        </w:rPr>
      </w:pPr>
      <w:r w:rsidRPr="005F62B2" w:rsidR="00A4080A">
        <w:rPr>
          <w:b/>
          <w:szCs w:val="22"/>
        </w:rPr>
        <w:t>4.</w:t>
        <w:tab/>
        <w:t>BATCH NUMBER</w:t>
      </w:r>
    </w:p>
    <w:p w:rsidR="008D43BD" w:rsidRPr="005F62B2" w:rsidP="008D43BD">
      <w:pPr>
        <w:ind w:right="113"/>
        <w:rPr>
          <w:szCs w:val="22"/>
        </w:rPr>
      </w:pPr>
    </w:p>
    <w:p w:rsidR="008D43BD" w:rsidRPr="005F62B2" w:rsidP="008D43BD">
      <w:pPr>
        <w:ind w:right="113"/>
        <w:rPr>
          <w:szCs w:val="22"/>
        </w:rPr>
      </w:pPr>
      <w:r w:rsidRPr="005F62B2" w:rsidR="00A4080A">
        <w:rPr>
          <w:szCs w:val="22"/>
        </w:rPr>
        <w:t>Lot</w:t>
      </w:r>
    </w:p>
    <w:p w:rsidR="008D43BD" w:rsidRPr="005F62B2" w:rsidP="008D43BD">
      <w:pPr>
        <w:ind w:right="113"/>
        <w:rPr>
          <w:szCs w:val="22"/>
        </w:rPr>
      </w:pPr>
    </w:p>
    <w:p w:rsidR="008D43BD" w:rsidRPr="005F62B2" w:rsidP="008D43BD">
      <w:pPr>
        <w:ind w:right="113"/>
        <w:rPr>
          <w:szCs w:val="22"/>
        </w:rPr>
      </w:pPr>
    </w:p>
    <w:p w:rsidR="008D43BD" w:rsidRPr="005F62B2" w:rsidP="008D43BD">
      <w:pPr>
        <w:pBdr>
          <w:top w:val="single" w:sz="4" w:space="1" w:color="auto"/>
          <w:left w:val="single" w:sz="4" w:space="4" w:color="auto"/>
          <w:bottom w:val="single" w:sz="4" w:space="1" w:color="auto"/>
          <w:right w:val="single" w:sz="4" w:space="4" w:color="auto"/>
        </w:pBdr>
        <w:outlineLvl w:val="0"/>
        <w:rPr>
          <w:b/>
          <w:szCs w:val="22"/>
        </w:rPr>
      </w:pPr>
      <w:r w:rsidRPr="005F62B2" w:rsidR="00A4080A">
        <w:rPr>
          <w:b/>
          <w:szCs w:val="22"/>
        </w:rPr>
        <w:t>5.</w:t>
        <w:tab/>
        <w:t>CONTENTS BY WEIGHT, BY VOLUME OR BY UNIT</w:t>
      </w:r>
    </w:p>
    <w:p w:rsidR="008D43BD" w:rsidRPr="005F62B2" w:rsidP="008D43BD">
      <w:pPr>
        <w:ind w:right="113"/>
        <w:rPr>
          <w:szCs w:val="22"/>
        </w:rPr>
      </w:pPr>
    </w:p>
    <w:p w:rsidR="008D43BD" w:rsidRPr="005F62B2" w:rsidP="008D43BD">
      <w:pPr>
        <w:ind w:right="113"/>
        <w:rPr>
          <w:szCs w:val="22"/>
        </w:rPr>
      </w:pPr>
      <w:r w:rsidRPr="005F62B2" w:rsidR="00A4080A">
        <w:rPr>
          <w:szCs w:val="22"/>
        </w:rPr>
        <w:t>160 mg</w:t>
      </w:r>
    </w:p>
    <w:p w:rsidR="008D43BD" w:rsidRPr="005F62B2" w:rsidP="008D43BD">
      <w:pPr>
        <w:ind w:right="113"/>
        <w:rPr>
          <w:szCs w:val="22"/>
        </w:rPr>
      </w:pPr>
    </w:p>
    <w:p w:rsidR="008D43BD" w:rsidRPr="005F62B2" w:rsidP="008D43BD">
      <w:pPr>
        <w:ind w:right="113"/>
        <w:rPr>
          <w:szCs w:val="22"/>
        </w:rPr>
      </w:pPr>
    </w:p>
    <w:p w:rsidR="008D43BD" w:rsidRPr="005F62B2" w:rsidP="008D43BD">
      <w:pPr>
        <w:pBdr>
          <w:top w:val="single" w:sz="4" w:space="1" w:color="auto"/>
          <w:left w:val="single" w:sz="4" w:space="4" w:color="auto"/>
          <w:bottom w:val="single" w:sz="4" w:space="1" w:color="auto"/>
          <w:right w:val="single" w:sz="4" w:space="4" w:color="auto"/>
        </w:pBdr>
        <w:outlineLvl w:val="0"/>
        <w:rPr>
          <w:b/>
          <w:szCs w:val="22"/>
        </w:rPr>
      </w:pPr>
      <w:r w:rsidRPr="005F62B2" w:rsidR="00A4080A">
        <w:rPr>
          <w:b/>
          <w:szCs w:val="22"/>
        </w:rPr>
        <w:t>6.</w:t>
        <w:tab/>
        <w:t>OTHER</w:t>
      </w:r>
    </w:p>
    <w:p w:rsidR="008D43BD" w:rsidRPr="005F62B2" w:rsidP="008D43BD">
      <w:pPr>
        <w:rPr>
          <w:szCs w:val="22"/>
        </w:rPr>
      </w:pPr>
    </w:p>
    <w:p w:rsidR="008D43BD" w:rsidRPr="005F62B2" w:rsidP="008D43BD">
      <w:pPr>
        <w:rPr>
          <w:szCs w:val="22"/>
        </w:rPr>
      </w:pPr>
      <w:r w:rsidRPr="005F62B2" w:rsidR="00A4080A">
        <w:rPr>
          <w:szCs w:val="22"/>
        </w:rPr>
        <w:br w:type="page"/>
      </w:r>
    </w:p>
    <w:p w:rsidR="008D43BD" w:rsidRPr="005F62B2" w:rsidP="008D43BD">
      <w:pPr>
        <w:rPr>
          <w:szCs w:val="22"/>
        </w:rPr>
      </w:pPr>
    </w:p>
    <w:p w:rsidR="008D43BD" w:rsidRPr="005F62B2" w:rsidP="008D43BD">
      <w:pPr>
        <w:rPr>
          <w:szCs w:val="22"/>
        </w:rPr>
      </w:pPr>
    </w:p>
    <w:p w:rsidR="008D43BD" w:rsidRPr="005F62B2" w:rsidP="008D43BD">
      <w:pPr>
        <w:rPr>
          <w:szCs w:val="22"/>
        </w:rPr>
      </w:pPr>
    </w:p>
    <w:p w:rsidR="008D43BD" w:rsidRPr="005F62B2" w:rsidP="008D43BD">
      <w:pPr>
        <w:rPr>
          <w:szCs w:val="22"/>
        </w:rPr>
      </w:pPr>
    </w:p>
    <w:p w:rsidR="008D43BD" w:rsidRPr="005F62B2" w:rsidP="008D43BD">
      <w:pPr>
        <w:rPr>
          <w:szCs w:val="22"/>
        </w:rPr>
      </w:pPr>
    </w:p>
    <w:p w:rsidR="008D43BD" w:rsidRPr="005F62B2" w:rsidP="008D43BD">
      <w:pPr>
        <w:rPr>
          <w:szCs w:val="22"/>
        </w:rPr>
      </w:pPr>
    </w:p>
    <w:p w:rsidR="008D43BD" w:rsidRPr="005F62B2" w:rsidP="008D43BD">
      <w:pPr>
        <w:rPr>
          <w:szCs w:val="22"/>
        </w:rPr>
      </w:pPr>
    </w:p>
    <w:p w:rsidR="008D43BD" w:rsidRPr="005F62B2" w:rsidP="008D43BD">
      <w:pPr>
        <w:rPr>
          <w:szCs w:val="22"/>
        </w:rPr>
      </w:pPr>
    </w:p>
    <w:p w:rsidR="008D43BD" w:rsidRPr="005F62B2" w:rsidP="008D43BD">
      <w:pPr>
        <w:rPr>
          <w:szCs w:val="22"/>
        </w:rPr>
      </w:pPr>
    </w:p>
    <w:p w:rsidR="008D43BD" w:rsidRPr="005F62B2" w:rsidP="008D43BD">
      <w:pPr>
        <w:rPr>
          <w:szCs w:val="22"/>
        </w:rPr>
      </w:pPr>
    </w:p>
    <w:p w:rsidR="008D43BD" w:rsidRPr="005F62B2" w:rsidP="008D43BD">
      <w:pPr>
        <w:rPr>
          <w:szCs w:val="22"/>
        </w:rPr>
      </w:pPr>
    </w:p>
    <w:p w:rsidR="008D43BD" w:rsidRPr="005F62B2" w:rsidP="008D43BD">
      <w:pPr>
        <w:rPr>
          <w:szCs w:val="22"/>
        </w:rPr>
      </w:pPr>
    </w:p>
    <w:p w:rsidR="008D43BD" w:rsidRPr="005F62B2" w:rsidP="008D43BD">
      <w:pPr>
        <w:rPr>
          <w:szCs w:val="22"/>
        </w:rPr>
      </w:pPr>
    </w:p>
    <w:p w:rsidR="008D43BD" w:rsidRPr="005F62B2" w:rsidP="008D43BD">
      <w:pPr>
        <w:rPr>
          <w:szCs w:val="22"/>
        </w:rPr>
      </w:pPr>
    </w:p>
    <w:p w:rsidR="008D43BD" w:rsidRPr="005F62B2" w:rsidP="008D43BD">
      <w:pPr>
        <w:rPr>
          <w:szCs w:val="22"/>
        </w:rPr>
      </w:pPr>
    </w:p>
    <w:p w:rsidR="008D43BD" w:rsidRPr="005F62B2" w:rsidP="008D43BD">
      <w:pPr>
        <w:rPr>
          <w:szCs w:val="22"/>
        </w:rPr>
      </w:pPr>
    </w:p>
    <w:p w:rsidR="008D43BD" w:rsidRPr="005F62B2" w:rsidP="008D43BD">
      <w:pPr>
        <w:rPr>
          <w:szCs w:val="22"/>
        </w:rPr>
      </w:pPr>
    </w:p>
    <w:p w:rsidR="008D43BD" w:rsidRPr="005F62B2" w:rsidP="008D43BD">
      <w:pPr>
        <w:rPr>
          <w:szCs w:val="22"/>
        </w:rPr>
      </w:pPr>
    </w:p>
    <w:p w:rsidR="008D43BD" w:rsidP="008D43BD">
      <w:pPr>
        <w:rPr>
          <w:szCs w:val="22"/>
        </w:rPr>
      </w:pPr>
    </w:p>
    <w:p w:rsidR="00CF1163" w:rsidRPr="005F62B2" w:rsidP="008D43BD">
      <w:pPr>
        <w:rPr>
          <w:szCs w:val="22"/>
        </w:rPr>
      </w:pPr>
    </w:p>
    <w:p w:rsidR="008D43BD" w:rsidRPr="005F62B2" w:rsidP="008D43BD">
      <w:pPr>
        <w:rPr>
          <w:szCs w:val="22"/>
        </w:rPr>
      </w:pPr>
    </w:p>
    <w:p w:rsidR="008D43BD" w:rsidRPr="005F62B2" w:rsidP="008D43BD">
      <w:pPr>
        <w:rPr>
          <w:szCs w:val="22"/>
        </w:rPr>
      </w:pPr>
    </w:p>
    <w:p w:rsidR="008D43BD" w:rsidRPr="005F62B2" w:rsidP="008D43BD">
      <w:pPr>
        <w:rPr>
          <w:szCs w:val="22"/>
        </w:rPr>
      </w:pPr>
    </w:p>
    <w:p w:rsidR="008D43BD" w:rsidRPr="005F62B2" w:rsidP="008D43BD">
      <w:pPr>
        <w:pStyle w:val="Annex"/>
        <w:rPr>
          <w:szCs w:val="22"/>
        </w:rPr>
      </w:pPr>
      <w:r w:rsidRPr="005F62B2" w:rsidR="00A4080A">
        <w:rPr>
          <w:szCs w:val="22"/>
        </w:rPr>
        <w:t>B. PACKAGE LEAFLET</w:t>
      </w:r>
    </w:p>
    <w:p w:rsidR="008D43BD" w:rsidRPr="005F62B2" w:rsidP="008D43BD">
      <w:pPr>
        <w:rPr>
          <w:noProof/>
          <w:szCs w:val="22"/>
        </w:rPr>
      </w:pPr>
    </w:p>
    <w:p w:rsidR="008D43BD" w:rsidRPr="005F62B2" w:rsidP="008D43BD">
      <w:pPr>
        <w:jc w:val="center"/>
        <w:rPr>
          <w:b/>
          <w:szCs w:val="22"/>
        </w:rPr>
      </w:pPr>
      <w:r w:rsidRPr="005F62B2" w:rsidR="00A4080A">
        <w:rPr>
          <w:szCs w:val="22"/>
        </w:rPr>
        <w:br w:type="page"/>
      </w:r>
      <w:r w:rsidRPr="005F62B2" w:rsidR="00A4080A">
        <w:rPr>
          <w:b/>
          <w:szCs w:val="22"/>
        </w:rPr>
        <w:t>Package leaflet: Information for the user</w:t>
      </w:r>
    </w:p>
    <w:p w:rsidR="008D43BD" w:rsidRPr="005F62B2" w:rsidP="008D43BD">
      <w:pPr>
        <w:jc w:val="center"/>
        <w:rPr>
          <w:b/>
          <w:szCs w:val="22"/>
        </w:rPr>
      </w:pPr>
    </w:p>
    <w:p w:rsidR="008D43BD" w:rsidRPr="005F62B2" w:rsidP="008D43BD">
      <w:pPr>
        <w:jc w:val="center"/>
        <w:rPr>
          <w:b/>
          <w:szCs w:val="22"/>
        </w:rPr>
      </w:pPr>
      <w:r w:rsidRPr="005F62B2" w:rsidR="00A4080A">
        <w:rPr>
          <w:b/>
          <w:szCs w:val="22"/>
        </w:rPr>
        <w:t>Kadcyla100 mg powder for concentrate for solution for infusion</w:t>
      </w:r>
    </w:p>
    <w:p w:rsidR="008D43BD" w:rsidRPr="005F62B2" w:rsidP="008D43BD">
      <w:pPr>
        <w:jc w:val="center"/>
        <w:rPr>
          <w:b/>
          <w:szCs w:val="22"/>
        </w:rPr>
      </w:pPr>
      <w:r w:rsidRPr="005F62B2" w:rsidR="00A4080A">
        <w:rPr>
          <w:b/>
          <w:szCs w:val="22"/>
        </w:rPr>
        <w:t>Kadcyla 160 mg powder for concentrate for solution for infusion</w:t>
      </w:r>
    </w:p>
    <w:p w:rsidR="008D43BD" w:rsidRPr="00A30921" w:rsidP="008D43BD">
      <w:pPr>
        <w:jc w:val="center"/>
        <w:rPr>
          <w:b/>
          <w:szCs w:val="22"/>
          <w:u w:val="single"/>
        </w:rPr>
      </w:pPr>
      <w:r w:rsidRPr="00A30921" w:rsidR="00A4080A">
        <w:rPr>
          <w:szCs w:val="22"/>
        </w:rPr>
        <w:t>trastuzumab emtansine</w:t>
      </w:r>
    </w:p>
    <w:p w:rsidR="008D43BD" w:rsidRPr="005F62B2" w:rsidP="008D43BD">
      <w:pPr>
        <w:rPr>
          <w:szCs w:val="22"/>
        </w:rPr>
      </w:pPr>
    </w:p>
    <w:p w:rsidR="008D43BD" w:rsidRPr="005F62B2" w:rsidP="008D43BD">
      <w:pPr>
        <w:rPr>
          <w:b/>
          <w:szCs w:val="22"/>
        </w:rPr>
      </w:pPr>
      <w:r w:rsidRPr="005F62B2" w:rsidR="00A4080A">
        <w:rPr>
          <w:b/>
          <w:szCs w:val="22"/>
        </w:rPr>
        <w:t>Read all of this leaflet carefully before you start being given this medicine because it contains important information for you.</w:t>
      </w:r>
    </w:p>
    <w:p w:rsidR="008D43BD"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5F62B2" w:rsidR="00A4080A">
        <w:rPr>
          <w:szCs w:val="22"/>
        </w:rPr>
        <w:t>Keep this leaflet. You may need to read it again.</w:t>
      </w:r>
    </w:p>
    <w:p w:rsidR="008D43BD"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E95079" w:rsidR="00A4080A">
        <w:rPr>
          <w:szCs w:val="22"/>
        </w:rPr>
        <w:t>If you have any further questions, ask your doctor, pharmacist or nurse.</w:t>
      </w:r>
    </w:p>
    <w:p w:rsidR="008D43BD" w:rsidRPr="00E95079"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E95079" w:rsidR="00A4080A">
        <w:rPr>
          <w:szCs w:val="22"/>
        </w:rPr>
        <w:t>If you get any side effects, talk to your doctor, pharmacist or nurse. This includes any possible side effects not listed in this leaflet.</w:t>
      </w:r>
      <w:r w:rsidRPr="00E95079" w:rsidR="00A4080A">
        <w:rPr>
          <w:szCs w:val="22"/>
          <w:lang w:eastAsia="en-US"/>
        </w:rPr>
        <w:t xml:space="preserve"> </w:t>
      </w:r>
      <w:r w:rsidRPr="00E95079" w:rsidR="00A4080A">
        <w:rPr>
          <w:szCs w:val="22"/>
        </w:rPr>
        <w:t>See section 4.</w:t>
      </w:r>
    </w:p>
    <w:p w:rsidR="008D43BD" w:rsidP="008D43BD">
      <w:pPr>
        <w:rPr>
          <w:szCs w:val="22"/>
        </w:rPr>
      </w:pPr>
    </w:p>
    <w:p w:rsidR="008D43BD" w:rsidP="008D43BD">
      <w:pPr>
        <w:rPr>
          <w:b/>
          <w:szCs w:val="22"/>
        </w:rPr>
      </w:pPr>
      <w:r w:rsidRPr="005F62B2" w:rsidR="00A4080A">
        <w:rPr>
          <w:b/>
          <w:szCs w:val="22"/>
        </w:rPr>
        <w:t>What is in this leaflet</w:t>
      </w:r>
    </w:p>
    <w:p w:rsidR="008D43BD" w:rsidRPr="005F62B2" w:rsidP="008D43BD">
      <w:pPr>
        <w:rPr>
          <w:b/>
          <w:szCs w:val="22"/>
        </w:rPr>
      </w:pPr>
    </w:p>
    <w:p w:rsidR="008D43BD" w:rsidP="008D43BD">
      <w:pPr>
        <w:ind w:left="357" w:hanging="357"/>
        <w:rPr>
          <w:szCs w:val="22"/>
        </w:rPr>
      </w:pPr>
      <w:r w:rsidR="00A4080A">
        <w:rPr>
          <w:szCs w:val="22"/>
        </w:rPr>
        <w:t>1.</w:t>
        <w:tab/>
      </w:r>
      <w:r w:rsidRPr="005F62B2" w:rsidR="00A4080A">
        <w:rPr>
          <w:szCs w:val="22"/>
        </w:rPr>
        <w:t>What Kadcyla is and what it is used for</w:t>
      </w:r>
    </w:p>
    <w:p w:rsidR="008D43BD" w:rsidP="008D43BD">
      <w:pPr>
        <w:ind w:left="357" w:hanging="357"/>
        <w:rPr>
          <w:szCs w:val="22"/>
        </w:rPr>
      </w:pPr>
      <w:r w:rsidR="00A4080A">
        <w:rPr>
          <w:szCs w:val="22"/>
        </w:rPr>
        <w:t>2.</w:t>
        <w:tab/>
      </w:r>
      <w:r w:rsidRPr="00E95079" w:rsidR="00A4080A">
        <w:rPr>
          <w:szCs w:val="22"/>
        </w:rPr>
        <w:t>What you need to know before you are given Kadcyla</w:t>
      </w:r>
    </w:p>
    <w:p w:rsidR="008D43BD" w:rsidP="008D43BD">
      <w:pPr>
        <w:ind w:left="357" w:hanging="357"/>
        <w:rPr>
          <w:szCs w:val="22"/>
        </w:rPr>
      </w:pPr>
      <w:r w:rsidR="00A4080A">
        <w:rPr>
          <w:szCs w:val="22"/>
        </w:rPr>
        <w:t>3.</w:t>
        <w:tab/>
      </w:r>
      <w:r w:rsidRPr="00E95079" w:rsidR="00A4080A">
        <w:rPr>
          <w:szCs w:val="22"/>
        </w:rPr>
        <w:t xml:space="preserve">How you are given Kadcyla </w:t>
      </w:r>
    </w:p>
    <w:p w:rsidR="008D43BD" w:rsidP="008D43BD">
      <w:pPr>
        <w:ind w:left="357" w:hanging="357"/>
        <w:rPr>
          <w:szCs w:val="22"/>
        </w:rPr>
      </w:pPr>
      <w:r w:rsidR="00A4080A">
        <w:rPr>
          <w:szCs w:val="22"/>
        </w:rPr>
        <w:t>4.</w:t>
        <w:tab/>
      </w:r>
      <w:r w:rsidRPr="00E95079" w:rsidR="00A4080A">
        <w:rPr>
          <w:szCs w:val="22"/>
        </w:rPr>
        <w:t>Possible side effects</w:t>
      </w:r>
    </w:p>
    <w:p w:rsidR="008D43BD" w:rsidP="008D43BD">
      <w:pPr>
        <w:ind w:left="357" w:hanging="357"/>
        <w:rPr>
          <w:szCs w:val="22"/>
        </w:rPr>
      </w:pPr>
      <w:r w:rsidR="00A4080A">
        <w:rPr>
          <w:szCs w:val="22"/>
        </w:rPr>
        <w:t>5.</w:t>
        <w:tab/>
      </w:r>
      <w:r w:rsidRPr="00E95079" w:rsidR="00A4080A">
        <w:rPr>
          <w:szCs w:val="22"/>
        </w:rPr>
        <w:t>How to store Kadcyla</w:t>
      </w:r>
    </w:p>
    <w:p w:rsidR="008D43BD" w:rsidRPr="00E95079" w:rsidP="008D43BD">
      <w:pPr>
        <w:ind w:left="357" w:hanging="357"/>
        <w:rPr>
          <w:szCs w:val="22"/>
        </w:rPr>
      </w:pPr>
      <w:r w:rsidR="00A4080A">
        <w:rPr>
          <w:szCs w:val="22"/>
        </w:rPr>
        <w:t>6.</w:t>
        <w:tab/>
      </w:r>
      <w:r w:rsidRPr="00E95079" w:rsidR="00A4080A">
        <w:rPr>
          <w:szCs w:val="22"/>
        </w:rPr>
        <w:t>Contents of the pack and other information</w:t>
      </w:r>
    </w:p>
    <w:p w:rsidR="008D43BD" w:rsidRPr="005F62B2" w:rsidP="008D43BD">
      <w:pPr>
        <w:rPr>
          <w:szCs w:val="22"/>
        </w:rPr>
      </w:pPr>
    </w:p>
    <w:p w:rsidR="008D43BD" w:rsidRPr="005F62B2" w:rsidP="008D43BD">
      <w:pPr>
        <w:numPr>
          <w:ilvl w:val="12"/>
          <w:numId w:val="0"/>
        </w:numPr>
        <w:rPr>
          <w:szCs w:val="22"/>
        </w:rPr>
      </w:pPr>
    </w:p>
    <w:p w:rsidR="008D43BD" w:rsidRPr="005F62B2" w:rsidP="008D43BD">
      <w:pPr>
        <w:rPr>
          <w:b/>
          <w:szCs w:val="22"/>
        </w:rPr>
      </w:pPr>
      <w:r w:rsidRPr="005F62B2" w:rsidR="00A4080A">
        <w:rPr>
          <w:b/>
          <w:szCs w:val="22"/>
        </w:rPr>
        <w:t>1.</w:t>
        <w:tab/>
        <w:t>What Kadcyla is and what it is used for</w:t>
      </w:r>
    </w:p>
    <w:p w:rsidR="008D43BD" w:rsidRPr="005F62B2" w:rsidP="008D43BD">
      <w:pPr>
        <w:rPr>
          <w:b/>
          <w:szCs w:val="22"/>
        </w:rPr>
      </w:pPr>
    </w:p>
    <w:p w:rsidR="008D43BD" w:rsidRPr="005F62B2" w:rsidP="008D43BD">
      <w:pPr>
        <w:rPr>
          <w:b/>
          <w:szCs w:val="22"/>
        </w:rPr>
      </w:pPr>
      <w:r w:rsidRPr="005F62B2" w:rsidR="00A4080A">
        <w:rPr>
          <w:b/>
          <w:szCs w:val="22"/>
        </w:rPr>
        <w:t>What Kadcyla is</w:t>
      </w:r>
    </w:p>
    <w:p w:rsidR="008D43BD" w:rsidRPr="005F62B2" w:rsidP="008D43BD">
      <w:pPr>
        <w:rPr>
          <w:szCs w:val="22"/>
        </w:rPr>
      </w:pPr>
      <w:r w:rsidRPr="005F62B2" w:rsidR="00A4080A">
        <w:rPr>
          <w:szCs w:val="22"/>
        </w:rPr>
        <w:t>Kadcyla contains the active substance trastuzumab emtansine, which is made up of two parts that are linked together:</w:t>
      </w:r>
    </w:p>
    <w:p w:rsidR="008D43BD" w:rsidRPr="00A30921"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A30921" w:rsidR="00A4080A">
        <w:rPr>
          <w:szCs w:val="22"/>
        </w:rPr>
        <w:t>trastuzumab - a monoclonal antibody that binds selectively to an antigen (a target protein) called human epidermal growth factor receptor 2 (HER2). HER2 is found in large amounts on the surface of some cancer cells where it stimulates their growth. When trastuzumab binds to HER2 it can stop the cancer cells growth and cause them to die.</w:t>
      </w:r>
    </w:p>
    <w:p w:rsidR="008D43BD" w:rsidRPr="00A30921"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A30921" w:rsidR="00A4080A">
        <w:rPr>
          <w:szCs w:val="22"/>
        </w:rPr>
        <w:t xml:space="preserve">DM1 – an anti-cancer substance that becomes active once Kadcyla enters the cancer cell. </w:t>
      </w:r>
    </w:p>
    <w:p w:rsidR="008D43BD" w:rsidRPr="00A22202" w:rsidP="008D43BD">
      <w:pPr>
        <w:ind w:left="360"/>
        <w:rPr>
          <w:szCs w:val="22"/>
        </w:rPr>
      </w:pPr>
    </w:p>
    <w:p w:rsidR="008D43BD" w:rsidRPr="005F62B2" w:rsidP="008D43BD">
      <w:pPr>
        <w:rPr>
          <w:b/>
          <w:szCs w:val="22"/>
        </w:rPr>
      </w:pPr>
      <w:r w:rsidRPr="005F62B2" w:rsidR="00A4080A">
        <w:rPr>
          <w:b/>
          <w:szCs w:val="22"/>
        </w:rPr>
        <w:t>What Kadcyla is used for</w:t>
      </w:r>
    </w:p>
    <w:p w:rsidR="008D43BD" w:rsidRPr="005F62B2" w:rsidP="008D43BD">
      <w:pPr>
        <w:rPr>
          <w:szCs w:val="22"/>
        </w:rPr>
      </w:pPr>
      <w:r w:rsidRPr="005F62B2" w:rsidR="00A4080A">
        <w:rPr>
          <w:szCs w:val="22"/>
        </w:rPr>
        <w:t>Kadcyla is used to treat breast cancer in adults when:</w:t>
      </w:r>
    </w:p>
    <w:p w:rsidR="008D43BD" w:rsidRPr="00791ABE"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5F62B2" w:rsidR="00A4080A">
        <w:rPr>
          <w:szCs w:val="22"/>
        </w:rPr>
        <w:t>the cancer cells have many HER2 proteins on them - your doctor will test your cancer cells for this.</w:t>
      </w:r>
      <w:r w:rsidRPr="006C474E" w:rsidR="00A4080A">
        <w:rPr>
          <w:szCs w:val="22"/>
        </w:rPr>
        <w:t xml:space="preserve"> </w:t>
      </w:r>
    </w:p>
    <w:p w:rsidR="008D43BD" w:rsidRPr="008035C0" w:rsidP="008D43BD">
      <w:pPr>
        <w:ind w:left="357" w:hanging="357"/>
        <w:rPr>
          <w:szCs w:val="24"/>
        </w:rPr>
      </w:pPr>
      <w:r w:rsidRPr="002D59C9" w:rsidR="00A4080A">
        <w:rPr>
          <w:rFonts w:ascii="Symbol" w:hAnsi="Symbol"/>
          <w:szCs w:val="22"/>
          <w:lang w:val="es-ES"/>
        </w:rPr>
        <w:sym w:font="Symbol" w:char="F0B7"/>
      </w:r>
      <w:r w:rsidRPr="00FF5E1A" w:rsidR="00A4080A">
        <w:rPr>
          <w:szCs w:val="24"/>
        </w:rPr>
        <w:tab/>
      </w:r>
      <w:r w:rsidRPr="00E95079" w:rsidR="00A4080A">
        <w:rPr>
          <w:szCs w:val="22"/>
        </w:rPr>
        <w:t>you have already received the medicine trastuzumab and a medicine known as a taxane</w:t>
      </w:r>
      <w:r w:rsidR="00A4080A">
        <w:rPr>
          <w:szCs w:val="22"/>
        </w:rPr>
        <w:t>.</w:t>
      </w:r>
    </w:p>
    <w:p w:rsidR="008D43BD" w:rsidRPr="008035C0" w:rsidP="008D43BD">
      <w:pPr>
        <w:pStyle w:val="ListParagraph"/>
        <w:numPr>
          <w:ilvl w:val="0"/>
          <w:numId w:val="47"/>
        </w:numPr>
        <w:rPr>
          <w:b/>
          <w:szCs w:val="22"/>
        </w:rPr>
      </w:pPr>
      <w:r w:rsidRPr="008035C0" w:rsidR="00A4080A">
        <w:rPr>
          <w:szCs w:val="22"/>
        </w:rPr>
        <w:t>the cancer has spread to areas near the breast or to other parts of your body</w:t>
      </w:r>
      <w:r w:rsidR="00A4080A">
        <w:rPr>
          <w:szCs w:val="22"/>
        </w:rPr>
        <w:t xml:space="preserve"> (metastasized)</w:t>
      </w:r>
    </w:p>
    <w:p w:rsidR="008D43BD" w:rsidRPr="008035C0" w:rsidP="008D43BD">
      <w:pPr>
        <w:pStyle w:val="ListParagraph"/>
        <w:numPr>
          <w:ilvl w:val="0"/>
          <w:numId w:val="47"/>
        </w:numPr>
        <w:rPr>
          <w:b/>
          <w:szCs w:val="22"/>
        </w:rPr>
      </w:pPr>
      <w:r w:rsidR="00CB2342">
        <w:rPr>
          <w:szCs w:val="22"/>
        </w:rPr>
        <w:t>t</w:t>
      </w:r>
      <w:r w:rsidR="00A4080A">
        <w:rPr>
          <w:szCs w:val="22"/>
        </w:rPr>
        <w:t>he cancer has not spread to other parts of the body and treatment is going to be given after surgery (treatment after surgery is called adjuvant therapy).</w:t>
      </w:r>
    </w:p>
    <w:p w:rsidR="008D43BD" w:rsidRPr="005F62B2" w:rsidP="008D43BD">
      <w:pPr>
        <w:rPr>
          <w:b/>
          <w:szCs w:val="22"/>
        </w:rPr>
      </w:pPr>
    </w:p>
    <w:p w:rsidR="008D43BD" w:rsidRPr="005F62B2" w:rsidP="008D43BD">
      <w:pPr>
        <w:rPr>
          <w:b/>
          <w:szCs w:val="22"/>
        </w:rPr>
      </w:pPr>
      <w:r w:rsidRPr="005F62B2" w:rsidR="00A4080A">
        <w:rPr>
          <w:b/>
          <w:szCs w:val="22"/>
        </w:rPr>
        <w:t>2.</w:t>
        <w:tab/>
        <w:t>What you need to know before you are given Kadcyla</w:t>
      </w:r>
    </w:p>
    <w:p w:rsidR="008D43BD" w:rsidRPr="005F62B2" w:rsidP="008D43BD">
      <w:pPr>
        <w:rPr>
          <w:szCs w:val="22"/>
        </w:rPr>
      </w:pPr>
    </w:p>
    <w:p w:rsidR="008D43BD" w:rsidRPr="005F62B2" w:rsidP="008D43BD">
      <w:pPr>
        <w:rPr>
          <w:b/>
          <w:szCs w:val="22"/>
        </w:rPr>
      </w:pPr>
      <w:r w:rsidRPr="005F62B2" w:rsidR="00A4080A">
        <w:rPr>
          <w:b/>
          <w:szCs w:val="22"/>
        </w:rPr>
        <w:t>You must not be given Kadcyla</w:t>
      </w:r>
    </w:p>
    <w:p w:rsidR="008D43BD" w:rsidRPr="00A30921"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5F62B2" w:rsidR="00A4080A">
        <w:rPr>
          <w:szCs w:val="22"/>
        </w:rPr>
        <w:t xml:space="preserve">if you are allergic to trastuzumab </w:t>
      </w:r>
      <w:r w:rsidRPr="00A30921" w:rsidR="00A4080A">
        <w:rPr>
          <w:szCs w:val="22"/>
        </w:rPr>
        <w:t xml:space="preserve">emtansine or any of the other ingredients of this medicine (listed in section 6). </w:t>
      </w:r>
    </w:p>
    <w:p w:rsidR="008D43BD" w:rsidRPr="005F62B2" w:rsidP="008D43BD">
      <w:pPr>
        <w:rPr>
          <w:szCs w:val="22"/>
        </w:rPr>
      </w:pPr>
      <w:r w:rsidRPr="00A30921" w:rsidR="00A4080A">
        <w:rPr>
          <w:szCs w:val="22"/>
        </w:rPr>
        <w:t>You should not be given Kadcyla if the above applies to you. If you are not sure, talk to your doctor or nurse before you are given Kadcyla.</w:t>
      </w:r>
    </w:p>
    <w:p w:rsidR="008D43BD" w:rsidRPr="005F62B2" w:rsidP="008D43BD">
      <w:pPr>
        <w:rPr>
          <w:szCs w:val="22"/>
        </w:rPr>
      </w:pPr>
    </w:p>
    <w:p w:rsidR="008D43BD" w:rsidRPr="005F62B2" w:rsidP="008D43BD">
      <w:pPr>
        <w:keepNext/>
        <w:keepLines/>
        <w:rPr>
          <w:b/>
          <w:szCs w:val="22"/>
        </w:rPr>
      </w:pPr>
      <w:r w:rsidRPr="005F62B2" w:rsidR="00A4080A">
        <w:rPr>
          <w:b/>
          <w:szCs w:val="22"/>
        </w:rPr>
        <w:t>Warnings and precautions</w:t>
      </w:r>
    </w:p>
    <w:p w:rsidR="008D43BD" w:rsidRPr="00A30921" w:rsidP="008D43BD">
      <w:pPr>
        <w:keepNext/>
        <w:keepLines/>
        <w:rPr>
          <w:szCs w:val="22"/>
        </w:rPr>
      </w:pPr>
      <w:r w:rsidRPr="005F62B2" w:rsidR="00A4080A">
        <w:rPr>
          <w:szCs w:val="22"/>
        </w:rPr>
        <w:t xml:space="preserve">Talk to your </w:t>
      </w:r>
      <w:r w:rsidRPr="00A30921" w:rsidR="00A4080A">
        <w:rPr>
          <w:szCs w:val="22"/>
        </w:rPr>
        <w:t>doctor or nurse before you are given Kadcyla if:</w:t>
      </w:r>
    </w:p>
    <w:p w:rsidR="008D43BD" w:rsidRPr="00A30921"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A30921" w:rsidR="00A4080A">
        <w:rPr>
          <w:szCs w:val="22"/>
        </w:rPr>
        <w:t>you have ever had a serious infusion-related reaction from using trastuzumab</w:t>
      </w:r>
      <w:r w:rsidRPr="00A30921" w:rsidR="00A4080A">
        <w:t xml:space="preserve"> </w:t>
      </w:r>
      <w:r w:rsidRPr="00A30921" w:rsidR="00A4080A">
        <w:rPr>
          <w:szCs w:val="22"/>
        </w:rPr>
        <w:t>characterised by symptoms such as flushing, chills, fever, shortness of breath, difficulty breathing, rapid heartbeat or a drop in blood pressure.</w:t>
      </w:r>
    </w:p>
    <w:p w:rsidR="008D43BD"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E95079" w:rsidR="00A4080A">
        <w:rPr>
          <w:szCs w:val="22"/>
        </w:rPr>
        <w:t>you are receiving treatment with blood thinn</w:t>
      </w:r>
      <w:r w:rsidR="00A4080A">
        <w:rPr>
          <w:szCs w:val="22"/>
        </w:rPr>
        <w:t>ing</w:t>
      </w:r>
      <w:r w:rsidRPr="00E95079" w:rsidR="00A4080A">
        <w:rPr>
          <w:szCs w:val="22"/>
        </w:rPr>
        <w:t xml:space="preserve"> medicines (e.g. warfarin, heparin).</w:t>
      </w:r>
    </w:p>
    <w:p w:rsidR="008D43BD" w:rsidRPr="00F9389E" w:rsidP="008D43BD">
      <w:pPr>
        <w:ind w:left="357" w:hanging="357"/>
        <w:rPr>
          <w:szCs w:val="24"/>
        </w:rPr>
      </w:pPr>
      <w:r w:rsidRPr="002D59C9" w:rsidR="00A4080A">
        <w:rPr>
          <w:rFonts w:ascii="Symbol" w:hAnsi="Symbol"/>
          <w:szCs w:val="22"/>
          <w:lang w:val="es-ES"/>
        </w:rPr>
        <w:sym w:font="Symbol" w:char="F0B7"/>
      </w:r>
      <w:r w:rsidRPr="00F574CC" w:rsidR="00A4080A">
        <w:rPr>
          <w:szCs w:val="22"/>
        </w:rPr>
        <w:tab/>
      </w:r>
      <w:r w:rsidRPr="00F9389E" w:rsidR="00A4080A">
        <w:rPr>
          <w:szCs w:val="24"/>
        </w:rPr>
        <w:t>you have any history of liver problems. Your doctor will check your blood to test your liver function before and regularly during treatment</w:t>
      </w:r>
    </w:p>
    <w:p w:rsidR="008D43BD" w:rsidP="008D43BD">
      <w:pPr>
        <w:rPr>
          <w:szCs w:val="22"/>
        </w:rPr>
      </w:pPr>
    </w:p>
    <w:p w:rsidR="008D43BD" w:rsidP="008D43BD">
      <w:pPr>
        <w:rPr>
          <w:szCs w:val="22"/>
        </w:rPr>
      </w:pPr>
      <w:r w:rsidRPr="005F62B2" w:rsidR="00A4080A">
        <w:rPr>
          <w:szCs w:val="22"/>
        </w:rPr>
        <w:t>If any of the above apply to you (or you are not sure), talk to your doctor or pharmacist before you are given Kadcyla.</w:t>
      </w:r>
    </w:p>
    <w:p w:rsidR="008D43BD" w:rsidRPr="005F62B2" w:rsidP="008D43BD">
      <w:pPr>
        <w:rPr>
          <w:szCs w:val="22"/>
        </w:rPr>
      </w:pPr>
    </w:p>
    <w:p w:rsidR="008D43BD" w:rsidRPr="00A30921" w:rsidP="008D43BD">
      <w:pPr>
        <w:rPr>
          <w:b/>
          <w:szCs w:val="22"/>
        </w:rPr>
      </w:pPr>
      <w:r w:rsidRPr="00A30921" w:rsidR="00A4080A">
        <w:rPr>
          <w:b/>
          <w:szCs w:val="22"/>
        </w:rPr>
        <w:t>Look out for side effects</w:t>
      </w:r>
    </w:p>
    <w:p w:rsidR="008D43BD" w:rsidRPr="00A30921" w:rsidP="008D43BD">
      <w:pPr>
        <w:rPr>
          <w:szCs w:val="22"/>
        </w:rPr>
      </w:pPr>
      <w:r w:rsidRPr="00A30921" w:rsidR="00A4080A">
        <w:rPr>
          <w:szCs w:val="22"/>
        </w:rPr>
        <w:t>Kadcyla can make some existing conditions worse, or cause side effects. See section 4 for more details about what side effects to look out for.</w:t>
      </w:r>
    </w:p>
    <w:p w:rsidR="008D43BD" w:rsidRPr="00A30921" w:rsidP="008D43BD">
      <w:pPr>
        <w:rPr>
          <w:b/>
          <w:szCs w:val="22"/>
        </w:rPr>
      </w:pPr>
    </w:p>
    <w:p w:rsidR="008D43BD" w:rsidRPr="00A30921" w:rsidP="008D43BD">
      <w:pPr>
        <w:rPr>
          <w:b/>
          <w:szCs w:val="22"/>
        </w:rPr>
      </w:pPr>
      <w:r w:rsidRPr="00A30921" w:rsidR="00A4080A">
        <w:rPr>
          <w:b/>
          <w:szCs w:val="22"/>
        </w:rPr>
        <w:t>Tell your doctor or nurse straight away if you notice any of the following serious side effects while you are given Kadcyla:</w:t>
      </w:r>
    </w:p>
    <w:p w:rsidR="008D43BD" w:rsidRPr="00A30921" w:rsidP="008D43BD">
      <w:pPr>
        <w:rPr>
          <w:szCs w:val="22"/>
        </w:rPr>
      </w:pPr>
    </w:p>
    <w:p w:rsidR="008D43BD" w:rsidRPr="00A30921"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A30921" w:rsidR="00A4080A">
        <w:rPr>
          <w:b/>
          <w:szCs w:val="22"/>
        </w:rPr>
        <w:t>Breathing problems:</w:t>
      </w:r>
      <w:r w:rsidRPr="00A30921" w:rsidR="00A4080A">
        <w:rPr>
          <w:szCs w:val="22"/>
        </w:rPr>
        <w:t xml:space="preserve"> Kadcyla can cause serious breathing problems such as shortness of breath (either at rest or while performing any type of activity) and cough.  These may be signs of inflammation of your lung, which may be serious, and even fatal. If you develop lung disease your doctor may stop treatment with this medicine.</w:t>
      </w:r>
    </w:p>
    <w:p w:rsidR="008D43BD" w:rsidRPr="00A30921" w:rsidP="008D43BD">
      <w:pPr>
        <w:ind w:left="360"/>
        <w:rPr>
          <w:szCs w:val="22"/>
        </w:rPr>
      </w:pPr>
    </w:p>
    <w:p w:rsidR="008D43BD" w:rsidRPr="00A30921"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A30921" w:rsidR="00A4080A">
        <w:rPr>
          <w:b/>
          <w:szCs w:val="22"/>
        </w:rPr>
        <w:t xml:space="preserve">Liver problems: </w:t>
      </w:r>
      <w:r w:rsidRPr="00A30921" w:rsidR="00A4080A">
        <w:rPr>
          <w:szCs w:val="22"/>
        </w:rPr>
        <w:t>Kadcyla can cause inflammation or damage to cells in the liver</w:t>
      </w:r>
      <w:r w:rsidRPr="00A30921" w:rsidR="00A4080A">
        <w:t xml:space="preserve"> </w:t>
      </w:r>
      <w:r w:rsidRPr="00A30921" w:rsidR="00A4080A">
        <w:rPr>
          <w:szCs w:val="22"/>
        </w:rPr>
        <w:t>that can stop the liver from functioning normally. Inflamed or injured liver cells may leak higher than normal amounts of certain substances (liver enzymes) into the bloodstream, resulting in elevated liver enzymes in blood tests. In most cases you will not have any symptoms. Some symptoms could be yellowing of your skin and whites of your eyes (jaundice)</w:t>
      </w:r>
      <w:r w:rsidR="00A4080A">
        <w:rPr>
          <w:szCs w:val="22"/>
        </w:rPr>
        <w:t>.</w:t>
      </w:r>
      <w:r w:rsidRPr="00A30921" w:rsidR="00A4080A">
        <w:rPr>
          <w:szCs w:val="22"/>
        </w:rPr>
        <w:t xml:space="preserve"> Your doctor will check your blood to test your liver function before and regularly during treatment</w:t>
      </w:r>
      <w:r w:rsidR="00A4080A">
        <w:rPr>
          <w:szCs w:val="22"/>
        </w:rPr>
        <w:t>.</w:t>
      </w:r>
    </w:p>
    <w:p w:rsidR="008D43BD" w:rsidRPr="00A30921" w:rsidP="008D43BD">
      <w:pPr>
        <w:ind w:left="360"/>
        <w:rPr>
          <w:szCs w:val="22"/>
        </w:rPr>
      </w:pPr>
    </w:p>
    <w:p w:rsidR="008D43BD" w:rsidRPr="00A30921" w:rsidP="008D43BD">
      <w:pPr>
        <w:ind w:left="360"/>
        <w:rPr>
          <w:szCs w:val="22"/>
        </w:rPr>
      </w:pPr>
      <w:r w:rsidRPr="00A30921" w:rsidR="00A4080A">
        <w:rPr>
          <w:szCs w:val="22"/>
        </w:rPr>
        <w:t>Another rare abnormality that can occur in the liver is a condition known as nodular regenerative hyperplasia (NRH). This abnormality causes the structure of the liver to change and can change how the liver functions. Over time, this may lead to symptoms such as a bloated sensation or swelling of the abdomen due to fluid accumulation or bleeding from abnormal blood vessels in the gullet or rectum.</w:t>
      </w:r>
    </w:p>
    <w:p w:rsidR="008D43BD" w:rsidRPr="00A30921" w:rsidP="008D43BD">
      <w:pPr>
        <w:ind w:left="360"/>
        <w:rPr>
          <w:szCs w:val="22"/>
        </w:rPr>
      </w:pPr>
    </w:p>
    <w:p w:rsidR="008D43BD" w:rsidRPr="00A30921"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A30921" w:rsidR="00A4080A">
        <w:rPr>
          <w:b/>
          <w:szCs w:val="22"/>
        </w:rPr>
        <w:t xml:space="preserve">Heart problems: </w:t>
      </w:r>
      <w:r w:rsidRPr="00A30921" w:rsidR="00A4080A">
        <w:rPr>
          <w:szCs w:val="22"/>
        </w:rPr>
        <w:t xml:space="preserve">Kadcyla can weaken the heart muscle. When the heart muscle is weak, patients may develop symptoms such as shortness of breath at rest or when sleeping, chest pain, swollen </w:t>
      </w:r>
      <w:r w:rsidRPr="00470313" w:rsidR="00A4080A">
        <w:rPr>
          <w:szCs w:val="22"/>
        </w:rPr>
        <w:t>legs or arms, and a sensation of rapid or irregular heartbeats. Your doctor will check your heart function before and regularly during treatment.</w:t>
      </w:r>
      <w:r w:rsidRPr="00470313" w:rsidR="00A4080A">
        <w:t xml:space="preserve"> </w:t>
      </w:r>
      <w:r w:rsidRPr="00470313" w:rsidR="00A4080A">
        <w:rPr>
          <w:szCs w:val="22"/>
        </w:rPr>
        <w:t>You should tell your doctor immediately if you notice any of</w:t>
      </w:r>
      <w:r w:rsidRPr="00A30921" w:rsidR="00A4080A">
        <w:rPr>
          <w:szCs w:val="22"/>
        </w:rPr>
        <w:t xml:space="preserve"> the above symptoms.</w:t>
      </w:r>
    </w:p>
    <w:p w:rsidR="008D43BD" w:rsidRPr="00A30921" w:rsidP="008D43BD">
      <w:pPr>
        <w:ind w:left="360"/>
        <w:rPr>
          <w:szCs w:val="22"/>
        </w:rPr>
      </w:pPr>
    </w:p>
    <w:p w:rsidR="008D43BD" w:rsidRPr="00A30921"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A30921" w:rsidR="00A4080A">
        <w:rPr>
          <w:b/>
          <w:szCs w:val="22"/>
        </w:rPr>
        <w:t>Infusion-related reactions or allergic reactions</w:t>
      </w:r>
      <w:r w:rsidRPr="00A30921" w:rsidR="00A4080A">
        <w:rPr>
          <w:szCs w:val="22"/>
        </w:rPr>
        <w:t>: Kadcyla can cause flushing, shivering fits, fever, trouble breathing, low blood pressure, rapid heartbeat, sudden swelling of your face, tongue, or trouble swallowing during the infusion or after the infusion on the first day of treatment. Your doctor or nurse will check to see whether you are having any of these side effects.</w:t>
      </w:r>
      <w:r w:rsidRPr="00A30921" w:rsidR="00A4080A">
        <w:t xml:space="preserve"> </w:t>
      </w:r>
      <w:r w:rsidRPr="00A30921" w:rsidR="00A4080A">
        <w:rPr>
          <w:szCs w:val="22"/>
        </w:rPr>
        <w:t>If you develop a reaction, they will slow down or stop the infusion and may give you treatment to counteract the side effects. The infusion may be continued after the symptoms improve.</w:t>
      </w:r>
    </w:p>
    <w:p w:rsidR="008D43BD" w:rsidRPr="00A30921" w:rsidP="008D43BD">
      <w:pPr>
        <w:ind w:left="360"/>
        <w:rPr>
          <w:szCs w:val="22"/>
        </w:rPr>
      </w:pPr>
    </w:p>
    <w:p w:rsidR="008D43BD" w:rsidRPr="00A30921"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A30921" w:rsidR="00A4080A">
        <w:rPr>
          <w:b/>
          <w:szCs w:val="22"/>
        </w:rPr>
        <w:t>Bleeding problems:</w:t>
      </w:r>
      <w:r w:rsidRPr="00A30921" w:rsidR="00A4080A">
        <w:rPr>
          <w:szCs w:val="22"/>
        </w:rPr>
        <w:t xml:space="preserve"> Kadcyla can lower the number of platelets in your blood. Platelets help your blood to clot so you might get unexpected bruising or bleeding (such as nose bleeds, bleeding from gums). Your doctor will check your blood regularly for decreased platelets.</w:t>
      </w:r>
      <w:r w:rsidRPr="00A30921" w:rsidR="00A4080A">
        <w:t xml:space="preserve"> </w:t>
      </w:r>
      <w:r w:rsidRPr="00A30921" w:rsidR="00A4080A">
        <w:rPr>
          <w:szCs w:val="22"/>
        </w:rPr>
        <w:t>You should tell your doctor immediately if you notice any unexpected bruising or bleeding.</w:t>
      </w:r>
    </w:p>
    <w:p w:rsidR="008D43BD" w:rsidRPr="00A30921" w:rsidP="008D43BD">
      <w:pPr>
        <w:ind w:left="360"/>
        <w:rPr>
          <w:szCs w:val="22"/>
        </w:rPr>
      </w:pPr>
    </w:p>
    <w:p w:rsidR="008D43BD" w:rsidRPr="00A30921"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A30921" w:rsidR="00A4080A">
        <w:rPr>
          <w:b/>
          <w:szCs w:val="22"/>
        </w:rPr>
        <w:t>Neurological problems:</w:t>
      </w:r>
      <w:r w:rsidRPr="00A30921" w:rsidR="00A4080A">
        <w:rPr>
          <w:szCs w:val="22"/>
        </w:rPr>
        <w:t xml:space="preserve"> Kadcyla can damage nerves. You may experience tingling, pain, numbness, itching, crawling sensation, pins and needles in your hands and feet. Your doctor will monitor you for signs and symptoms of neurological problems.</w:t>
      </w:r>
      <w:r w:rsidRPr="00A30921" w:rsidR="00A4080A">
        <w:rPr>
          <w:i/>
          <w:szCs w:val="22"/>
        </w:rPr>
        <w:t xml:space="preserve"> </w:t>
      </w:r>
    </w:p>
    <w:p w:rsidR="008D43BD" w:rsidRPr="00A30921" w:rsidP="008D43BD">
      <w:pPr>
        <w:ind w:left="567" w:hanging="567"/>
        <w:rPr>
          <w:szCs w:val="22"/>
        </w:rPr>
      </w:pPr>
    </w:p>
    <w:p w:rsidR="008D43BD" w:rsidRPr="00A30921" w:rsidP="008D43BD">
      <w:pPr>
        <w:ind w:left="567" w:hanging="567"/>
        <w:rPr>
          <w:szCs w:val="22"/>
        </w:rPr>
      </w:pPr>
      <w:r w:rsidRPr="00A30921" w:rsidR="00A4080A">
        <w:rPr>
          <w:szCs w:val="22"/>
        </w:rPr>
        <w:t>Tell your doctor or nurse straight away if you notice any of the side effects above.</w:t>
      </w:r>
    </w:p>
    <w:p w:rsidR="008D43BD" w:rsidRPr="00A30921" w:rsidP="008D43BD">
      <w:pPr>
        <w:rPr>
          <w:b/>
          <w:szCs w:val="22"/>
          <w:lang w:eastAsia="en-US"/>
        </w:rPr>
      </w:pPr>
    </w:p>
    <w:p w:rsidR="008D43BD" w:rsidRPr="00A30921" w:rsidP="008D43BD">
      <w:pPr>
        <w:keepNext/>
        <w:keepLines/>
        <w:rPr>
          <w:b/>
          <w:szCs w:val="22"/>
          <w:lang w:eastAsia="en-US"/>
        </w:rPr>
      </w:pPr>
      <w:r w:rsidRPr="00A30921" w:rsidR="00A4080A">
        <w:rPr>
          <w:b/>
          <w:szCs w:val="22"/>
          <w:lang w:eastAsia="en-US"/>
        </w:rPr>
        <w:t>Children and adolescents</w:t>
      </w:r>
    </w:p>
    <w:p w:rsidR="008D43BD" w:rsidRPr="00A30921" w:rsidP="008D43BD">
      <w:pPr>
        <w:rPr>
          <w:szCs w:val="22"/>
        </w:rPr>
      </w:pPr>
      <w:r w:rsidRPr="00A30921" w:rsidR="00A4080A">
        <w:rPr>
          <w:szCs w:val="22"/>
        </w:rPr>
        <w:t>Kadcyla is not recommended for anyone under the age of 18 years. This is because there is no information on how well it works in this age group.</w:t>
      </w:r>
    </w:p>
    <w:p w:rsidR="008D43BD" w:rsidRPr="00A30921" w:rsidP="008D43BD">
      <w:pPr>
        <w:rPr>
          <w:szCs w:val="22"/>
        </w:rPr>
      </w:pPr>
    </w:p>
    <w:p w:rsidR="008D43BD" w:rsidRPr="00A30921" w:rsidP="008D43BD">
      <w:pPr>
        <w:rPr>
          <w:b/>
          <w:szCs w:val="22"/>
        </w:rPr>
      </w:pPr>
      <w:r w:rsidRPr="00A30921" w:rsidR="00A4080A">
        <w:rPr>
          <w:b/>
          <w:szCs w:val="22"/>
        </w:rPr>
        <w:t>Other medicines and Kadcyla</w:t>
      </w:r>
    </w:p>
    <w:p w:rsidR="008D43BD" w:rsidRPr="00A30921" w:rsidP="008D43BD">
      <w:pPr>
        <w:rPr>
          <w:szCs w:val="22"/>
        </w:rPr>
      </w:pPr>
      <w:r w:rsidRPr="00A30921" w:rsidR="00A4080A">
        <w:rPr>
          <w:szCs w:val="22"/>
        </w:rPr>
        <w:t xml:space="preserve">Tell your doctor or nurse if you are taking, have recently taken or might </w:t>
      </w:r>
      <w:r w:rsidRPr="00A30921" w:rsidR="00A4080A">
        <w:t xml:space="preserve">take any other </w:t>
      </w:r>
      <w:r w:rsidRPr="00A30921" w:rsidR="00A4080A">
        <w:rPr>
          <w:szCs w:val="22"/>
        </w:rPr>
        <w:t xml:space="preserve">medicines. </w:t>
      </w:r>
    </w:p>
    <w:p w:rsidR="008D43BD" w:rsidRPr="00A30921" w:rsidP="008D43BD">
      <w:pPr>
        <w:rPr>
          <w:szCs w:val="22"/>
        </w:rPr>
      </w:pPr>
    </w:p>
    <w:p w:rsidR="008D43BD" w:rsidRPr="00A30921" w:rsidP="008D43BD">
      <w:pPr>
        <w:rPr>
          <w:szCs w:val="22"/>
        </w:rPr>
      </w:pPr>
      <w:r w:rsidRPr="00A30921" w:rsidR="00A4080A">
        <w:rPr>
          <w:szCs w:val="22"/>
        </w:rPr>
        <w:t>In particular, tell your doctor or pharmacist if you are taking:</w:t>
      </w:r>
    </w:p>
    <w:p w:rsidR="008D43BD"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A30921" w:rsidR="00A4080A">
        <w:rPr>
          <w:szCs w:val="22"/>
        </w:rPr>
        <w:t xml:space="preserve">any medicines to thin your blood such as warfarin </w:t>
      </w:r>
      <w:r w:rsidR="00A4080A">
        <w:rPr>
          <w:szCs w:val="22"/>
        </w:rPr>
        <w:t>or decrease the ability to form</w:t>
      </w:r>
      <w:r w:rsidRPr="00C22725" w:rsidR="00A4080A">
        <w:rPr>
          <w:szCs w:val="22"/>
        </w:rPr>
        <w:t xml:space="preserve"> blood clot</w:t>
      </w:r>
      <w:r w:rsidR="00A4080A">
        <w:rPr>
          <w:szCs w:val="22"/>
        </w:rPr>
        <w:t xml:space="preserve"> such as aspirin</w:t>
      </w:r>
    </w:p>
    <w:p w:rsidR="008D43BD" w:rsidRPr="00A30921"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A30921" w:rsidR="00A4080A">
        <w:rPr>
          <w:szCs w:val="22"/>
        </w:rPr>
        <w:t>medicines for fungal infections called ketoconazole, itraconazole or voriconazole</w:t>
      </w:r>
    </w:p>
    <w:p w:rsidR="008D43BD" w:rsidRPr="00A30921"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A30921" w:rsidR="00A4080A">
        <w:rPr>
          <w:szCs w:val="22"/>
        </w:rPr>
        <w:t>antibiotics for infections called clarithromycin or telithromycin</w:t>
      </w:r>
    </w:p>
    <w:p w:rsidR="008D43BD" w:rsidRPr="00A30921"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A30921" w:rsidR="00A4080A">
        <w:rPr>
          <w:szCs w:val="22"/>
        </w:rPr>
        <w:t>medicines for HIV called ata</w:t>
      </w:r>
      <w:r w:rsidR="00A4080A">
        <w:rPr>
          <w:szCs w:val="22"/>
        </w:rPr>
        <w:t>za</w:t>
      </w:r>
      <w:r w:rsidRPr="00A30921" w:rsidR="00A4080A">
        <w:rPr>
          <w:szCs w:val="22"/>
        </w:rPr>
        <w:t>navir, indinavir, nelfinavir, ritonavir or saquinavir.</w:t>
      </w:r>
    </w:p>
    <w:p w:rsidR="008D43BD" w:rsidRPr="00A30921"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A30921" w:rsidR="00A4080A">
        <w:rPr>
          <w:szCs w:val="22"/>
        </w:rPr>
        <w:t>medicine for depression called nefazodone</w:t>
      </w:r>
    </w:p>
    <w:p w:rsidR="008D43BD" w:rsidRPr="00A30921" w:rsidP="008D43BD">
      <w:pPr>
        <w:rPr>
          <w:szCs w:val="22"/>
        </w:rPr>
      </w:pPr>
      <w:r w:rsidRPr="00A30921" w:rsidR="00A4080A">
        <w:rPr>
          <w:szCs w:val="22"/>
        </w:rPr>
        <w:t xml:space="preserve">If any of the above apply to you (or you are not sure), talk to your doctor or pharmacist before you are given Kadcyla.  </w:t>
      </w:r>
    </w:p>
    <w:p w:rsidR="008D43BD" w:rsidRPr="00A30921" w:rsidP="008D43BD">
      <w:pPr>
        <w:rPr>
          <w:b/>
          <w:szCs w:val="22"/>
        </w:rPr>
      </w:pPr>
    </w:p>
    <w:p w:rsidR="008D43BD" w:rsidRPr="00A30921" w:rsidP="008D43BD">
      <w:pPr>
        <w:rPr>
          <w:b/>
          <w:szCs w:val="22"/>
        </w:rPr>
      </w:pPr>
      <w:r w:rsidRPr="00A30921" w:rsidR="00A4080A">
        <w:rPr>
          <w:b/>
          <w:szCs w:val="22"/>
        </w:rPr>
        <w:t>Pregnancy</w:t>
      </w:r>
    </w:p>
    <w:p w:rsidR="008D43BD" w:rsidRPr="00A30921" w:rsidP="008D43BD">
      <w:pPr>
        <w:rPr>
          <w:szCs w:val="22"/>
        </w:rPr>
      </w:pPr>
      <w:r w:rsidRPr="00A30921" w:rsidR="00A4080A">
        <w:rPr>
          <w:bCs/>
          <w:szCs w:val="22"/>
        </w:rPr>
        <w:t>Kadcyla is not recommended if you are pregnant because this medicine may cause harm to the unborn baby</w:t>
      </w:r>
      <w:r w:rsidRPr="00A30921" w:rsidR="00A4080A">
        <w:rPr>
          <w:szCs w:val="22"/>
        </w:rPr>
        <w:t xml:space="preserve">. </w:t>
      </w:r>
    </w:p>
    <w:p w:rsidR="008D43BD" w:rsidRPr="00A30921"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A30921" w:rsidR="00A4080A">
        <w:rPr>
          <w:szCs w:val="22"/>
        </w:rPr>
        <w:t>Tell your doctor before using Kadcyla if you are pregnant, think you may be pregnant or are planning to have a baby.</w:t>
      </w:r>
    </w:p>
    <w:p w:rsidR="008D43BD" w:rsidRPr="00A30921"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A30921" w:rsidR="00A4080A">
        <w:rPr>
          <w:szCs w:val="22"/>
        </w:rPr>
        <w:t>Use effective contraception to avoid becoming pregnant while you are being treated with Kadcyla. Talk to your doctor about the best contraception for you.</w:t>
      </w:r>
    </w:p>
    <w:p w:rsidR="008D43BD" w:rsidRPr="00A30921"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A30921" w:rsidR="00A4080A">
        <w:rPr>
          <w:szCs w:val="22"/>
        </w:rPr>
        <w:t xml:space="preserve">You should continue to take your contraception for at least </w:t>
      </w:r>
      <w:r w:rsidR="00A4080A">
        <w:rPr>
          <w:szCs w:val="22"/>
        </w:rPr>
        <w:t>7</w:t>
      </w:r>
      <w:r w:rsidRPr="00A30921" w:rsidR="00A4080A">
        <w:rPr>
          <w:szCs w:val="22"/>
        </w:rPr>
        <w:t xml:space="preserve"> months after your last dose of Kadcyla. Talk to your doctor before stopping your contraception. </w:t>
      </w:r>
    </w:p>
    <w:p w:rsidR="008D43BD" w:rsidRPr="00A30921"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A30921" w:rsidR="00A4080A">
        <w:rPr>
          <w:szCs w:val="22"/>
        </w:rPr>
        <w:t xml:space="preserve">Male patients or their female partners should also use effective contraception. </w:t>
      </w:r>
    </w:p>
    <w:p w:rsidR="008D43BD" w:rsidRPr="00303F7A"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A30921" w:rsidR="00A4080A">
        <w:rPr>
          <w:szCs w:val="22"/>
        </w:rPr>
        <w:t>If you do become pregnant during treatment with Kadcyla, tell your doctor</w:t>
      </w:r>
      <w:r w:rsidRPr="00303F7A" w:rsidR="00A4080A">
        <w:rPr>
          <w:szCs w:val="22"/>
        </w:rPr>
        <w:t xml:space="preserve"> straight away.</w:t>
      </w:r>
    </w:p>
    <w:p w:rsidR="008D43BD" w:rsidP="008D43BD">
      <w:pPr>
        <w:rPr>
          <w:b/>
          <w:szCs w:val="22"/>
        </w:rPr>
      </w:pPr>
    </w:p>
    <w:p w:rsidR="008D43BD" w:rsidRPr="005F62B2" w:rsidP="008D43BD">
      <w:pPr>
        <w:rPr>
          <w:b/>
          <w:szCs w:val="22"/>
        </w:rPr>
      </w:pPr>
      <w:r w:rsidRPr="005F62B2" w:rsidR="00A4080A">
        <w:rPr>
          <w:b/>
          <w:szCs w:val="22"/>
        </w:rPr>
        <w:t>Breast-feeding</w:t>
      </w:r>
    </w:p>
    <w:p w:rsidR="008D43BD" w:rsidRPr="005F62B2" w:rsidP="008D43BD">
      <w:pPr>
        <w:rPr>
          <w:rFonts w:eastAsia="SimSun"/>
          <w:szCs w:val="22"/>
          <w:lang w:eastAsia="en-GB"/>
        </w:rPr>
      </w:pPr>
      <w:r w:rsidRPr="005F62B2" w:rsidR="00A4080A">
        <w:rPr>
          <w:rFonts w:eastAsia="SimSun"/>
          <w:szCs w:val="22"/>
          <w:lang w:eastAsia="en-GB"/>
        </w:rPr>
        <w:t>You should not breast-feed during treatment with Kadcyla. Also you should not breast-feed for </w:t>
      </w:r>
      <w:r w:rsidR="00A4080A">
        <w:rPr>
          <w:rFonts w:eastAsia="SimSun"/>
          <w:szCs w:val="22"/>
          <w:lang w:eastAsia="en-GB"/>
        </w:rPr>
        <w:t>7</w:t>
      </w:r>
      <w:r w:rsidRPr="005F62B2" w:rsidR="00A4080A">
        <w:rPr>
          <w:rFonts w:eastAsia="SimSun"/>
          <w:szCs w:val="22"/>
          <w:lang w:eastAsia="en-GB"/>
        </w:rPr>
        <w:t xml:space="preserve"> months after your last infusion of Kadcyla. It is not known whether the ingredients in Kadcyla pass into breast-milk. Talk to your doctor about this.</w:t>
      </w:r>
    </w:p>
    <w:p w:rsidR="008D43BD" w:rsidRPr="005F62B2" w:rsidP="008D43BD">
      <w:pPr>
        <w:rPr>
          <w:szCs w:val="22"/>
        </w:rPr>
      </w:pPr>
    </w:p>
    <w:p w:rsidR="008D43BD" w:rsidRPr="005F62B2" w:rsidP="008D43BD">
      <w:pPr>
        <w:rPr>
          <w:szCs w:val="22"/>
        </w:rPr>
      </w:pPr>
      <w:r w:rsidRPr="005F62B2" w:rsidR="00A4080A">
        <w:rPr>
          <w:b/>
          <w:szCs w:val="22"/>
        </w:rPr>
        <w:t>Driving and using machines</w:t>
      </w:r>
    </w:p>
    <w:p w:rsidR="008D43BD" w:rsidRPr="00A30921" w:rsidP="008D43BD">
      <w:pPr>
        <w:rPr>
          <w:szCs w:val="22"/>
        </w:rPr>
      </w:pPr>
      <w:r w:rsidRPr="00A30921" w:rsidR="00A4080A">
        <w:rPr>
          <w:szCs w:val="22"/>
        </w:rPr>
        <w:t>It is not expected that Kadcyla will affect your ability to drive, cycle, use tools or machines. If you experience flushing, shivering fits, fever, trouble breathing, low blood pressure or a rapid heartbeat (infusion-related reaction), blurred vision, tiredness, headache, or dizziness, do not drive, cycle, use tools or machines until these reactions stop.</w:t>
      </w:r>
    </w:p>
    <w:p w:rsidR="008D43BD" w:rsidRPr="00A30921" w:rsidP="008D43BD">
      <w:pPr>
        <w:rPr>
          <w:b/>
          <w:szCs w:val="22"/>
          <w:u w:val="single"/>
        </w:rPr>
      </w:pPr>
    </w:p>
    <w:p w:rsidR="008D43BD" w:rsidRPr="00A30921" w:rsidP="008D43BD">
      <w:pPr>
        <w:rPr>
          <w:b/>
          <w:szCs w:val="22"/>
        </w:rPr>
      </w:pPr>
      <w:r w:rsidRPr="00A30921" w:rsidR="00A4080A">
        <w:rPr>
          <w:b/>
          <w:szCs w:val="22"/>
        </w:rPr>
        <w:t>Important information about some of the ingredients of Kadcyla</w:t>
      </w:r>
    </w:p>
    <w:p w:rsidR="008D43BD" w:rsidRPr="005F62B2" w:rsidP="008D43BD">
      <w:pPr>
        <w:rPr>
          <w:szCs w:val="22"/>
        </w:rPr>
      </w:pPr>
      <w:r w:rsidRPr="00A30921" w:rsidR="00A4080A">
        <w:rPr>
          <w:szCs w:val="22"/>
        </w:rPr>
        <w:t>This medicine contains less than 1 mmol sodium (23 mg) per dose. It is essentially ‘sodium- free’.</w:t>
      </w:r>
    </w:p>
    <w:p w:rsidR="008D43BD" w:rsidP="008D43BD">
      <w:pPr>
        <w:rPr>
          <w:b/>
          <w:szCs w:val="22"/>
        </w:rPr>
      </w:pPr>
    </w:p>
    <w:p w:rsidR="008D43BD" w:rsidP="008D43BD">
      <w:pPr>
        <w:rPr>
          <w:b/>
          <w:szCs w:val="22"/>
        </w:rPr>
      </w:pPr>
    </w:p>
    <w:p w:rsidR="008D43BD" w:rsidRPr="005F62B2" w:rsidP="008D43BD">
      <w:pPr>
        <w:rPr>
          <w:b/>
          <w:szCs w:val="22"/>
        </w:rPr>
      </w:pPr>
      <w:r w:rsidRPr="005F62B2" w:rsidR="00A4080A">
        <w:rPr>
          <w:b/>
          <w:szCs w:val="22"/>
        </w:rPr>
        <w:t>3.</w:t>
        <w:tab/>
        <w:t>How you are given Kadcyla</w:t>
      </w:r>
    </w:p>
    <w:p w:rsidR="008D43BD" w:rsidRPr="005F62B2" w:rsidP="008D43BD">
      <w:pPr>
        <w:rPr>
          <w:szCs w:val="22"/>
        </w:rPr>
      </w:pPr>
    </w:p>
    <w:p w:rsidR="008D43BD" w:rsidRPr="005F62B2" w:rsidP="008D43BD">
      <w:pPr>
        <w:keepNext/>
        <w:keepLines/>
        <w:numPr>
          <w:ilvl w:val="12"/>
          <w:numId w:val="0"/>
        </w:numPr>
        <w:ind w:right="-2"/>
        <w:rPr>
          <w:szCs w:val="22"/>
        </w:rPr>
      </w:pPr>
      <w:r w:rsidRPr="005F62B2" w:rsidR="00A4080A">
        <w:rPr>
          <w:szCs w:val="22"/>
        </w:rPr>
        <w:t>Kadcyla will be given to you by a doctor or nurse in a hospital or clinic:</w:t>
      </w:r>
    </w:p>
    <w:p w:rsidR="008D43BD"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5F62B2" w:rsidR="00A4080A">
        <w:rPr>
          <w:szCs w:val="22"/>
        </w:rPr>
        <w:t>It is given by a drip into a vein (intravenous infusion).</w:t>
      </w:r>
    </w:p>
    <w:p w:rsidR="008D43BD" w:rsidRPr="00303F7A"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00A4080A">
        <w:rPr>
          <w:szCs w:val="22"/>
        </w:rPr>
        <w:t>Y</w:t>
      </w:r>
      <w:r w:rsidRPr="00303F7A" w:rsidR="00A4080A">
        <w:rPr>
          <w:szCs w:val="22"/>
        </w:rPr>
        <w:t>ou will be given one infusion every 3 weeks.</w:t>
      </w:r>
    </w:p>
    <w:p w:rsidR="008D43BD" w:rsidRPr="005F62B2" w:rsidP="008D43BD">
      <w:pPr>
        <w:rPr>
          <w:szCs w:val="22"/>
        </w:rPr>
      </w:pPr>
    </w:p>
    <w:p w:rsidR="008D43BD" w:rsidRPr="005F62B2" w:rsidP="008D43BD">
      <w:pPr>
        <w:keepNext/>
        <w:keepLines/>
        <w:rPr>
          <w:szCs w:val="22"/>
        </w:rPr>
      </w:pPr>
      <w:r w:rsidRPr="005F62B2" w:rsidR="00A4080A">
        <w:rPr>
          <w:b/>
          <w:szCs w:val="22"/>
        </w:rPr>
        <w:t>How much you will be given</w:t>
      </w:r>
    </w:p>
    <w:p w:rsidR="008D43BD" w:rsidRPr="005F62B2"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5F62B2" w:rsidR="00A4080A">
        <w:rPr>
          <w:szCs w:val="22"/>
        </w:rPr>
        <w:t>You will be given 3.6 mg of Kadcyla for every kilogram of your body weight. Your doctor will calculate the correct dose for you.</w:t>
      </w:r>
    </w:p>
    <w:p w:rsidR="008D43BD" w:rsidRPr="005F62B2"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5F62B2" w:rsidR="00A4080A">
        <w:rPr>
          <w:szCs w:val="22"/>
        </w:rPr>
        <w:t xml:space="preserve">The first infusion will be given to you over 90 minutes. You will be </w:t>
      </w:r>
      <w:r w:rsidR="00A4080A">
        <w:rPr>
          <w:szCs w:val="22"/>
        </w:rPr>
        <w:t>observed</w:t>
      </w:r>
      <w:r w:rsidRPr="005F62B2" w:rsidR="00A4080A">
        <w:rPr>
          <w:szCs w:val="22"/>
        </w:rPr>
        <w:t xml:space="preserve"> by a doctor or nurse while it is being given and for at least 90 minutes following the initial dose, in case you have any side effects. </w:t>
      </w:r>
    </w:p>
    <w:p w:rsidR="008D43BD" w:rsidRPr="005F62B2"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5F62B2" w:rsidR="00A4080A">
        <w:rPr>
          <w:szCs w:val="22"/>
        </w:rPr>
        <w:t xml:space="preserve">If the first infusion is well tolerated, the infusion on your next visit may be given over 30 minutes. You will be </w:t>
      </w:r>
      <w:r w:rsidR="00A4080A">
        <w:rPr>
          <w:szCs w:val="22"/>
        </w:rPr>
        <w:t>observed</w:t>
      </w:r>
      <w:r w:rsidRPr="005F62B2" w:rsidR="00A4080A">
        <w:rPr>
          <w:szCs w:val="22"/>
        </w:rPr>
        <w:t xml:space="preserve"> by a doctor or nurse while it is being given and for at least 30 minutes following the dose, in case you have any side effects.</w:t>
      </w:r>
    </w:p>
    <w:p w:rsidR="008D43BD" w:rsidRPr="005F62B2"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5F62B2" w:rsidR="00A4080A">
        <w:rPr>
          <w:szCs w:val="22"/>
        </w:rPr>
        <w:t>The total number of infusions that you will be given depends on how you respond to the treatment</w:t>
      </w:r>
      <w:r w:rsidR="00A4080A">
        <w:rPr>
          <w:szCs w:val="22"/>
        </w:rPr>
        <w:t xml:space="preserve"> and which indication is treated</w:t>
      </w:r>
      <w:r w:rsidRPr="005F62B2" w:rsidR="00A4080A">
        <w:rPr>
          <w:szCs w:val="22"/>
        </w:rPr>
        <w:t>.</w:t>
      </w:r>
    </w:p>
    <w:p w:rsidR="008D43BD" w:rsidRPr="005F62B2"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5F62B2" w:rsidR="00A4080A">
        <w:rPr>
          <w:szCs w:val="22"/>
        </w:rPr>
        <w:t xml:space="preserve">If you experience side effects, your doctor may decide to </w:t>
      </w:r>
      <w:r w:rsidR="00A4080A">
        <w:rPr>
          <w:szCs w:val="22"/>
        </w:rPr>
        <w:t>continue</w:t>
      </w:r>
      <w:r w:rsidRPr="005F62B2" w:rsidR="00A4080A">
        <w:rPr>
          <w:szCs w:val="22"/>
        </w:rPr>
        <w:t xml:space="preserve"> your treatment but lower your dose, delay the next dose or stop the treatment.</w:t>
      </w:r>
    </w:p>
    <w:p w:rsidR="008D43BD" w:rsidRPr="005F62B2" w:rsidP="008D43BD">
      <w:pPr>
        <w:rPr>
          <w:szCs w:val="22"/>
        </w:rPr>
      </w:pPr>
    </w:p>
    <w:p w:rsidR="008D43BD" w:rsidRPr="005F62B2" w:rsidP="008D43BD">
      <w:pPr>
        <w:rPr>
          <w:b/>
          <w:szCs w:val="22"/>
        </w:rPr>
      </w:pPr>
      <w:r w:rsidRPr="005F62B2" w:rsidR="00A4080A">
        <w:rPr>
          <w:b/>
          <w:szCs w:val="22"/>
        </w:rPr>
        <w:t>If you miss a Kadcyla treatment</w:t>
      </w:r>
    </w:p>
    <w:p w:rsidR="008D43BD" w:rsidRPr="005F62B2" w:rsidP="008D43BD">
      <w:pPr>
        <w:rPr>
          <w:szCs w:val="22"/>
        </w:rPr>
      </w:pPr>
      <w:r w:rsidRPr="005F62B2" w:rsidR="00A4080A">
        <w:rPr>
          <w:szCs w:val="22"/>
        </w:rPr>
        <w:t xml:space="preserve">If you forget or miss your Kadcyla appointment, make another appointment as soon as possible. Do not wait until your next planned visit. </w:t>
      </w:r>
    </w:p>
    <w:p w:rsidR="008D43BD" w:rsidRPr="005F62B2" w:rsidP="008D43BD">
      <w:pPr>
        <w:rPr>
          <w:szCs w:val="22"/>
        </w:rPr>
      </w:pPr>
    </w:p>
    <w:p w:rsidR="008D43BD" w:rsidRPr="005F62B2" w:rsidP="008D43BD">
      <w:pPr>
        <w:rPr>
          <w:b/>
          <w:szCs w:val="22"/>
        </w:rPr>
      </w:pPr>
      <w:r w:rsidRPr="005F62B2" w:rsidR="00A4080A">
        <w:rPr>
          <w:b/>
          <w:szCs w:val="22"/>
        </w:rPr>
        <w:t>If you stop Kadcyla treatment</w:t>
      </w:r>
    </w:p>
    <w:p w:rsidR="008D43BD" w:rsidRPr="005F62B2" w:rsidP="008D43BD">
      <w:pPr>
        <w:rPr>
          <w:szCs w:val="22"/>
        </w:rPr>
      </w:pPr>
      <w:r w:rsidRPr="005F62B2" w:rsidR="00A4080A">
        <w:rPr>
          <w:szCs w:val="22"/>
        </w:rPr>
        <w:t>Do not stop treatment with this medicine without talking to your doctor first.</w:t>
      </w:r>
    </w:p>
    <w:p w:rsidR="008D43BD" w:rsidRPr="005F62B2" w:rsidP="008D43BD">
      <w:pPr>
        <w:rPr>
          <w:szCs w:val="22"/>
        </w:rPr>
      </w:pPr>
    </w:p>
    <w:p w:rsidR="008D43BD" w:rsidRPr="005F62B2" w:rsidP="008D43BD">
      <w:pPr>
        <w:rPr>
          <w:szCs w:val="22"/>
        </w:rPr>
      </w:pPr>
      <w:r w:rsidRPr="005F62B2" w:rsidR="00A4080A">
        <w:rPr>
          <w:szCs w:val="22"/>
        </w:rPr>
        <w:t xml:space="preserve">If you have any further questions on the use of this medicine, ask your doctor or nurse. </w:t>
      </w:r>
    </w:p>
    <w:p w:rsidR="008D43BD" w:rsidRPr="005F62B2" w:rsidP="008D43BD">
      <w:pPr>
        <w:rPr>
          <w:b/>
          <w:szCs w:val="22"/>
        </w:rPr>
      </w:pPr>
    </w:p>
    <w:p w:rsidR="008D43BD" w:rsidRPr="005F62B2" w:rsidP="008D43BD">
      <w:pPr>
        <w:rPr>
          <w:b/>
          <w:szCs w:val="22"/>
        </w:rPr>
      </w:pPr>
    </w:p>
    <w:p w:rsidR="008D43BD" w:rsidRPr="005F62B2" w:rsidP="008D43BD">
      <w:pPr>
        <w:rPr>
          <w:b/>
          <w:szCs w:val="22"/>
        </w:rPr>
      </w:pPr>
      <w:r w:rsidRPr="005F62B2" w:rsidR="00A4080A">
        <w:rPr>
          <w:b/>
          <w:szCs w:val="22"/>
        </w:rPr>
        <w:t>4.</w:t>
        <w:tab/>
        <w:t>Possible side effects</w:t>
      </w:r>
    </w:p>
    <w:p w:rsidR="008D43BD" w:rsidRPr="005F62B2" w:rsidP="008D43BD">
      <w:pPr>
        <w:rPr>
          <w:szCs w:val="22"/>
        </w:rPr>
      </w:pPr>
    </w:p>
    <w:p w:rsidR="008D43BD" w:rsidRPr="005F62B2" w:rsidP="008D43BD">
      <w:pPr>
        <w:rPr>
          <w:szCs w:val="22"/>
        </w:rPr>
      </w:pPr>
      <w:r w:rsidRPr="005F62B2" w:rsidR="00A4080A">
        <w:rPr>
          <w:szCs w:val="22"/>
        </w:rPr>
        <w:t>Like all medicines, this medicine can cause side effects, although not everybody gets them.</w:t>
      </w:r>
    </w:p>
    <w:p w:rsidR="008D43BD" w:rsidRPr="005F62B2" w:rsidP="008D43BD">
      <w:pPr>
        <w:rPr>
          <w:szCs w:val="22"/>
        </w:rPr>
      </w:pPr>
    </w:p>
    <w:p w:rsidR="008D43BD" w:rsidRPr="005F62B2" w:rsidP="008D43BD">
      <w:pPr>
        <w:rPr>
          <w:szCs w:val="22"/>
        </w:rPr>
      </w:pPr>
      <w:r w:rsidRPr="005F62B2" w:rsidR="00A4080A">
        <w:rPr>
          <w:b/>
          <w:szCs w:val="22"/>
        </w:rPr>
        <w:t>Tell your doctor or nurse straight away if you notice any of following serious side effects.</w:t>
      </w:r>
    </w:p>
    <w:p w:rsidR="008D43BD" w:rsidRPr="00854590" w:rsidP="008D43BD">
      <w:pPr>
        <w:spacing w:before="120"/>
        <w:rPr>
          <w:b/>
          <w:szCs w:val="22"/>
        </w:rPr>
      </w:pPr>
      <w:r w:rsidRPr="00854590" w:rsidR="00A4080A">
        <w:rPr>
          <w:b/>
          <w:szCs w:val="22"/>
        </w:rPr>
        <w:t>Very common (may affect more than 1 in 10 people):</w:t>
      </w:r>
    </w:p>
    <w:p w:rsidR="008D43BD" w:rsidRPr="00470313" w:rsidP="008D43BD">
      <w:pPr>
        <w:ind w:left="357" w:hanging="357"/>
        <w:rPr>
          <w:b/>
          <w:szCs w:val="22"/>
        </w:rPr>
      </w:pPr>
      <w:r w:rsidRPr="002D59C9" w:rsidR="00A4080A">
        <w:rPr>
          <w:rFonts w:ascii="Symbol" w:hAnsi="Symbol"/>
          <w:szCs w:val="22"/>
          <w:lang w:val="es-ES"/>
        </w:rPr>
        <w:sym w:font="Symbol" w:char="F0B7"/>
      </w:r>
      <w:r w:rsidRPr="00FF5E1A" w:rsidR="00A4080A">
        <w:rPr>
          <w:szCs w:val="24"/>
        </w:rPr>
        <w:tab/>
      </w:r>
      <w:r w:rsidRPr="00854590" w:rsidR="00A4080A">
        <w:rPr>
          <w:szCs w:val="22"/>
        </w:rPr>
        <w:t>Kadcyla may cause inflammation or damage to cells in the liver, resulting in elevated liver enzymes in blood tests. Howev</w:t>
      </w:r>
      <w:r w:rsidRPr="00470313" w:rsidR="00A4080A">
        <w:rPr>
          <w:szCs w:val="22"/>
        </w:rPr>
        <w:t>er, in most cases during Kadcyla treatment, liver enzyme levels are elevated mildly and temporarily, do not cause any symptoms, and do not affect liver function.</w:t>
      </w:r>
    </w:p>
    <w:p w:rsidR="008D43BD" w:rsidRPr="00470313" w:rsidP="008D43BD">
      <w:pPr>
        <w:ind w:left="357" w:hanging="357"/>
        <w:rPr>
          <w:b/>
          <w:szCs w:val="22"/>
        </w:rPr>
      </w:pPr>
      <w:r w:rsidRPr="002D59C9" w:rsidR="00A4080A">
        <w:rPr>
          <w:rFonts w:ascii="Symbol" w:hAnsi="Symbol"/>
          <w:szCs w:val="22"/>
          <w:lang w:val="es-ES"/>
        </w:rPr>
        <w:sym w:font="Symbol" w:char="F0B7"/>
      </w:r>
      <w:r w:rsidRPr="00FF5E1A" w:rsidR="00A4080A">
        <w:rPr>
          <w:szCs w:val="24"/>
        </w:rPr>
        <w:tab/>
      </w:r>
      <w:r w:rsidRPr="00470313" w:rsidR="00A4080A">
        <w:rPr>
          <w:szCs w:val="22"/>
        </w:rPr>
        <w:t>Unexpected bruising and bleeding (such as nose bleeds).</w:t>
      </w:r>
    </w:p>
    <w:p w:rsidR="008D43BD" w:rsidRPr="00470313"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470313" w:rsidR="00A4080A">
        <w:rPr>
          <w:szCs w:val="22"/>
        </w:rPr>
        <w:t>Tingling, pain, numbness, itching, crawling sensation, pins and needles in your hands and feet. These symptoms may indicate nerve damage.</w:t>
      </w:r>
    </w:p>
    <w:p w:rsidR="008D43BD" w:rsidRPr="00854590" w:rsidP="008D43BD">
      <w:pPr>
        <w:spacing w:before="120"/>
        <w:rPr>
          <w:b/>
          <w:szCs w:val="22"/>
        </w:rPr>
      </w:pPr>
      <w:r w:rsidRPr="00854590" w:rsidR="00A4080A">
        <w:rPr>
          <w:b/>
          <w:szCs w:val="22"/>
        </w:rPr>
        <w:t>Common (may affect up to 1 in 10 people):</w:t>
      </w:r>
    </w:p>
    <w:p w:rsidR="008D43BD" w:rsidRPr="00854590"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854590" w:rsidR="00A4080A">
        <w:rPr>
          <w:szCs w:val="22"/>
        </w:rPr>
        <w:t xml:space="preserve">Flushing, shivering fits, fever, trouble breathing, low blood pressure or a rapid heartbeat during the infusion or up to 24 hours after the infusion – these are so-called infusion-related reactions. </w:t>
      </w:r>
    </w:p>
    <w:p w:rsidR="008D43BD" w:rsidRPr="00854590"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854590" w:rsidR="00A4080A">
        <w:rPr>
          <w:szCs w:val="22"/>
        </w:rPr>
        <w:t xml:space="preserve">Heart problems can occur. Most patients will not have symptoms from the heart problems. If symptoms do occur, cough shortness of breath at rest or when sleeping flat, chest pain and swollen ankles or arms, a sensation of rapid or irregular heartbeats may be observed. </w:t>
      </w:r>
    </w:p>
    <w:p w:rsidR="008D43BD" w:rsidRPr="00854590" w:rsidP="008D43BD">
      <w:pPr>
        <w:spacing w:before="120"/>
        <w:rPr>
          <w:b/>
          <w:szCs w:val="22"/>
        </w:rPr>
      </w:pPr>
      <w:r w:rsidRPr="00854590" w:rsidR="00A4080A">
        <w:rPr>
          <w:b/>
          <w:szCs w:val="22"/>
        </w:rPr>
        <w:t>Uncommon (may affect up to 1 in 100 people):</w:t>
      </w:r>
    </w:p>
    <w:p w:rsidR="008D43BD" w:rsidRPr="00854590"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854590" w:rsidR="00A4080A">
        <w:rPr>
          <w:szCs w:val="22"/>
        </w:rPr>
        <w:t>Inflammation of your lungs can cause breathing problems such as shortness of breath (either at rest or while performing any type of activity), coughing or coughing spells with a dry cough – these are signs of inflammation of your lung tissue.</w:t>
      </w:r>
    </w:p>
    <w:p w:rsidR="008D43BD" w:rsidRPr="00854590"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854590" w:rsidR="00A4080A">
        <w:rPr>
          <w:szCs w:val="22"/>
        </w:rPr>
        <w:t>Your skin and whites of your eyes get yellow (jaundice) – these could be signs of severe liver damage.</w:t>
      </w:r>
    </w:p>
    <w:p w:rsidR="008D43BD" w:rsidRPr="00854590"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854590" w:rsidR="00A4080A">
        <w:rPr>
          <w:szCs w:val="22"/>
        </w:rPr>
        <w:t xml:space="preserve">Allergic reactions can occur and most patients will have mild symptoms such as itching or tightness in the chest. In more severe cases, swelling of your face or tongue, trouble swallowing or difficulty breathing may occur. </w:t>
      </w:r>
    </w:p>
    <w:p w:rsidR="008D43BD" w:rsidRPr="00854590" w:rsidP="008D43BD">
      <w:pPr>
        <w:rPr>
          <w:szCs w:val="22"/>
        </w:rPr>
      </w:pPr>
    </w:p>
    <w:p w:rsidR="008D43BD" w:rsidRPr="005F62B2" w:rsidP="008D43BD">
      <w:pPr>
        <w:rPr>
          <w:szCs w:val="22"/>
        </w:rPr>
      </w:pPr>
      <w:r w:rsidRPr="00854590" w:rsidR="00A4080A">
        <w:rPr>
          <w:szCs w:val="22"/>
        </w:rPr>
        <w:t>Tell your doctor or nurse straight away if you notice</w:t>
      </w:r>
      <w:r w:rsidRPr="005F62B2" w:rsidR="00A4080A">
        <w:rPr>
          <w:szCs w:val="22"/>
        </w:rPr>
        <w:t xml:space="preserve"> any of the serious side effects above.</w:t>
      </w:r>
    </w:p>
    <w:p w:rsidR="008D43BD" w:rsidP="008D43BD">
      <w:pPr>
        <w:rPr>
          <w:b/>
          <w:szCs w:val="22"/>
        </w:rPr>
      </w:pPr>
    </w:p>
    <w:p w:rsidR="008D43BD" w:rsidRPr="00854590" w:rsidP="008D43BD">
      <w:pPr>
        <w:keepNext/>
        <w:keepLines/>
        <w:rPr>
          <w:b/>
          <w:szCs w:val="22"/>
        </w:rPr>
      </w:pPr>
      <w:r w:rsidRPr="005F62B2" w:rsidR="00A4080A">
        <w:rPr>
          <w:b/>
          <w:szCs w:val="22"/>
        </w:rPr>
        <w:t xml:space="preserve">Other </w:t>
      </w:r>
      <w:r w:rsidRPr="00854590" w:rsidR="00A4080A">
        <w:rPr>
          <w:b/>
          <w:szCs w:val="22"/>
        </w:rPr>
        <w:t>side effects include</w:t>
      </w:r>
    </w:p>
    <w:p w:rsidR="008D43BD" w:rsidRPr="00854590" w:rsidP="008D43BD">
      <w:pPr>
        <w:keepNext/>
        <w:keepLines/>
        <w:rPr>
          <w:b/>
          <w:szCs w:val="22"/>
        </w:rPr>
      </w:pPr>
    </w:p>
    <w:p w:rsidR="008D43BD" w:rsidRPr="00854590" w:rsidP="008D43BD">
      <w:pPr>
        <w:rPr>
          <w:b/>
          <w:szCs w:val="22"/>
        </w:rPr>
      </w:pPr>
      <w:r w:rsidRPr="00854590" w:rsidR="00A4080A">
        <w:rPr>
          <w:b/>
          <w:szCs w:val="22"/>
        </w:rPr>
        <w:t>Very common:</w:t>
      </w:r>
    </w:p>
    <w:p w:rsidR="008D43BD" w:rsidRPr="00854590"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854590" w:rsidR="00A4080A">
        <w:rPr>
          <w:szCs w:val="22"/>
        </w:rPr>
        <w:t>decreased red blood cells (shown in a blood test)</w:t>
      </w:r>
    </w:p>
    <w:p w:rsidR="008D43BD" w:rsidRPr="00FF5E1A" w:rsidP="008D43BD">
      <w:pPr>
        <w:ind w:left="357" w:hanging="357"/>
        <w:rPr>
          <w:szCs w:val="24"/>
        </w:rPr>
      </w:pPr>
      <w:r w:rsidRPr="002D59C9" w:rsidR="00A4080A">
        <w:rPr>
          <w:rFonts w:ascii="Symbol" w:hAnsi="Symbol"/>
          <w:szCs w:val="22"/>
          <w:lang w:val="es-ES"/>
        </w:rPr>
        <w:sym w:font="Symbol" w:char="F0B7"/>
      </w:r>
      <w:r w:rsidRPr="00FF5E1A" w:rsidR="00A4080A">
        <w:rPr>
          <w:szCs w:val="24"/>
        </w:rPr>
        <w:tab/>
        <w:t>being sick (vomiting)</w:t>
      </w:r>
    </w:p>
    <w:p w:rsidR="008D43BD" w:rsidRPr="00FF5E1A" w:rsidP="008D43BD">
      <w:pPr>
        <w:ind w:left="357" w:hanging="357"/>
        <w:rPr>
          <w:szCs w:val="24"/>
        </w:rPr>
      </w:pPr>
      <w:r w:rsidRPr="000F58D7" w:rsidR="00A4080A">
        <w:rPr>
          <w:rFonts w:ascii="Symbol" w:hAnsi="Symbol"/>
          <w:szCs w:val="24"/>
          <w:lang w:val="es-ES"/>
        </w:rPr>
        <w:sym w:font="Symbol" w:char="F0B7"/>
      </w:r>
      <w:r w:rsidRPr="00FF5E1A" w:rsidR="00A4080A">
        <w:rPr>
          <w:szCs w:val="24"/>
        </w:rPr>
        <w:tab/>
        <w:t xml:space="preserve">diarrhoea </w:t>
      </w:r>
    </w:p>
    <w:p w:rsidR="008D43BD" w:rsidRPr="00FF5E1A" w:rsidP="008D43BD">
      <w:pPr>
        <w:ind w:left="357" w:hanging="357"/>
        <w:rPr>
          <w:szCs w:val="24"/>
        </w:rPr>
      </w:pPr>
      <w:r w:rsidRPr="000F58D7" w:rsidR="00A4080A">
        <w:rPr>
          <w:rFonts w:ascii="Symbol" w:hAnsi="Symbol"/>
          <w:szCs w:val="24"/>
          <w:lang w:val="es-ES"/>
        </w:rPr>
        <w:sym w:font="Symbol" w:char="F0B7"/>
      </w:r>
      <w:r w:rsidRPr="00FF5E1A" w:rsidR="00A4080A">
        <w:rPr>
          <w:szCs w:val="24"/>
        </w:rPr>
        <w:tab/>
        <w:t>dry mouth</w:t>
      </w:r>
    </w:p>
    <w:p w:rsidR="008D43BD" w:rsidRPr="00FF5E1A" w:rsidP="008D43BD">
      <w:pPr>
        <w:ind w:left="357" w:hanging="357"/>
        <w:rPr>
          <w:szCs w:val="24"/>
        </w:rPr>
      </w:pPr>
      <w:r w:rsidRPr="002D59C9" w:rsidR="00A4080A">
        <w:rPr>
          <w:rFonts w:ascii="Symbol" w:hAnsi="Symbol"/>
          <w:szCs w:val="22"/>
          <w:lang w:val="es-ES"/>
        </w:rPr>
        <w:sym w:font="Symbol" w:char="F0B7"/>
      </w:r>
      <w:r w:rsidRPr="00FF5E1A" w:rsidR="00A4080A">
        <w:rPr>
          <w:szCs w:val="24"/>
        </w:rPr>
        <w:tab/>
        <w:t>urinary tract infection</w:t>
      </w:r>
    </w:p>
    <w:p w:rsidR="008D43BD" w:rsidRPr="00FF5E1A" w:rsidP="008D43BD">
      <w:pPr>
        <w:ind w:left="357" w:hanging="357"/>
        <w:rPr>
          <w:szCs w:val="24"/>
        </w:rPr>
      </w:pPr>
      <w:r w:rsidRPr="000F58D7" w:rsidR="00A4080A">
        <w:rPr>
          <w:rFonts w:ascii="Symbol" w:hAnsi="Symbol"/>
          <w:szCs w:val="24"/>
          <w:lang w:val="es-ES"/>
        </w:rPr>
        <w:sym w:font="Symbol" w:char="F0B7"/>
      </w:r>
      <w:r w:rsidRPr="00FF5E1A" w:rsidR="00A4080A">
        <w:rPr>
          <w:szCs w:val="24"/>
        </w:rPr>
        <w:tab/>
        <w:t>constipation</w:t>
      </w:r>
    </w:p>
    <w:p w:rsidR="008D43BD" w:rsidRPr="00FF5E1A" w:rsidP="008D43BD">
      <w:pPr>
        <w:ind w:left="357" w:hanging="357"/>
        <w:rPr>
          <w:szCs w:val="24"/>
        </w:rPr>
      </w:pPr>
      <w:r w:rsidRPr="000F58D7" w:rsidR="00A4080A">
        <w:rPr>
          <w:rFonts w:ascii="Symbol" w:hAnsi="Symbol"/>
          <w:szCs w:val="24"/>
          <w:lang w:val="es-ES"/>
        </w:rPr>
        <w:sym w:font="Symbol" w:char="F0B7"/>
      </w:r>
      <w:r w:rsidRPr="00FF5E1A" w:rsidR="00A4080A">
        <w:rPr>
          <w:szCs w:val="24"/>
        </w:rPr>
        <w:tab/>
        <w:t>stomach ache</w:t>
      </w:r>
    </w:p>
    <w:p w:rsidR="008D43BD" w:rsidRPr="00FF5E1A" w:rsidP="008D43BD">
      <w:pPr>
        <w:ind w:left="357" w:hanging="357"/>
        <w:rPr>
          <w:szCs w:val="24"/>
        </w:rPr>
      </w:pPr>
      <w:r w:rsidRPr="000F58D7" w:rsidR="00A4080A">
        <w:rPr>
          <w:rFonts w:ascii="Symbol" w:hAnsi="Symbol"/>
          <w:szCs w:val="24"/>
          <w:lang w:val="es-ES"/>
        </w:rPr>
        <w:sym w:font="Symbol" w:char="F0B7"/>
      </w:r>
      <w:r w:rsidRPr="00A32C9B" w:rsidR="00A4080A">
        <w:rPr>
          <w:szCs w:val="24"/>
        </w:rPr>
        <w:tab/>
      </w:r>
      <w:r w:rsidRPr="00FF5E1A" w:rsidR="00A4080A">
        <w:rPr>
          <w:szCs w:val="24"/>
        </w:rPr>
        <w:t>cough</w:t>
      </w:r>
    </w:p>
    <w:p w:rsidR="008D43BD" w:rsidRPr="001E07C9" w:rsidP="008D43BD">
      <w:pPr>
        <w:ind w:left="357" w:hanging="357"/>
        <w:rPr>
          <w:szCs w:val="24"/>
        </w:rPr>
      </w:pPr>
      <w:r w:rsidRPr="000F58D7" w:rsidR="00A4080A">
        <w:rPr>
          <w:rFonts w:ascii="Symbol" w:hAnsi="Symbol"/>
          <w:szCs w:val="24"/>
          <w:lang w:val="es-ES"/>
        </w:rPr>
        <w:sym w:font="Symbol" w:char="F0B7"/>
      </w:r>
      <w:r w:rsidRPr="00FF5E1A" w:rsidR="00A4080A">
        <w:rPr>
          <w:szCs w:val="24"/>
        </w:rPr>
        <w:tab/>
      </w:r>
      <w:r w:rsidRPr="001E07C9" w:rsidR="00A4080A">
        <w:rPr>
          <w:szCs w:val="24"/>
        </w:rPr>
        <w:t>shortness of breath</w:t>
      </w:r>
    </w:p>
    <w:p w:rsidR="008D43BD" w:rsidRPr="001E07C9" w:rsidP="008D43BD">
      <w:pPr>
        <w:ind w:left="357" w:hanging="357"/>
        <w:rPr>
          <w:szCs w:val="24"/>
        </w:rPr>
      </w:pPr>
      <w:r w:rsidRPr="001E07C9" w:rsidR="00A4080A">
        <w:rPr>
          <w:rFonts w:ascii="Symbol" w:hAnsi="Symbol"/>
          <w:szCs w:val="24"/>
          <w:lang w:val="es-ES"/>
        </w:rPr>
        <w:sym w:font="Symbol" w:char="F0B7"/>
      </w:r>
      <w:r w:rsidRPr="001E07C9" w:rsidR="00A4080A">
        <w:rPr>
          <w:szCs w:val="24"/>
        </w:rPr>
        <w:tab/>
        <w:t>inflammation of the mouth</w:t>
      </w:r>
    </w:p>
    <w:p w:rsidR="008D43BD" w:rsidRPr="001E07C9" w:rsidP="008D43BD">
      <w:pPr>
        <w:ind w:left="357" w:hanging="357"/>
        <w:rPr>
          <w:szCs w:val="24"/>
        </w:rPr>
      </w:pPr>
      <w:r w:rsidRPr="001E07C9" w:rsidR="00A4080A">
        <w:rPr>
          <w:rFonts w:ascii="Symbol" w:hAnsi="Symbol"/>
          <w:szCs w:val="24"/>
          <w:lang w:val="es-ES"/>
        </w:rPr>
        <w:sym w:font="Symbol" w:char="F0B7"/>
      </w:r>
      <w:r w:rsidRPr="001E07C9" w:rsidR="00A4080A">
        <w:rPr>
          <w:szCs w:val="24"/>
        </w:rPr>
        <w:tab/>
        <w:t>difficulty sleeping</w:t>
      </w:r>
    </w:p>
    <w:p w:rsidR="008D43BD" w:rsidRPr="001E07C9" w:rsidP="008D43BD">
      <w:pPr>
        <w:ind w:left="357" w:hanging="357"/>
        <w:rPr>
          <w:szCs w:val="24"/>
        </w:rPr>
      </w:pPr>
      <w:r w:rsidRPr="001E07C9" w:rsidR="00A4080A">
        <w:rPr>
          <w:rFonts w:ascii="Symbol" w:hAnsi="Symbol"/>
          <w:szCs w:val="24"/>
          <w:lang w:val="es-ES"/>
        </w:rPr>
        <w:sym w:font="Symbol" w:char="F0B7"/>
      </w:r>
      <w:r w:rsidRPr="001E07C9" w:rsidR="00A4080A">
        <w:rPr>
          <w:szCs w:val="24"/>
        </w:rPr>
        <w:tab/>
        <w:t>muscle or joint pain</w:t>
      </w:r>
    </w:p>
    <w:p w:rsidR="008D43BD" w:rsidRPr="001E07C9" w:rsidP="008D43BD">
      <w:pPr>
        <w:ind w:left="357" w:hanging="357"/>
        <w:rPr>
          <w:szCs w:val="24"/>
        </w:rPr>
      </w:pPr>
      <w:r w:rsidRPr="001E07C9" w:rsidR="00A4080A">
        <w:rPr>
          <w:rFonts w:ascii="Symbol" w:hAnsi="Symbol"/>
          <w:szCs w:val="24"/>
          <w:lang w:val="es-ES"/>
        </w:rPr>
        <w:sym w:font="Symbol" w:char="F0B7"/>
      </w:r>
      <w:r w:rsidRPr="001E07C9" w:rsidR="00A4080A">
        <w:rPr>
          <w:szCs w:val="24"/>
        </w:rPr>
        <w:tab/>
        <w:t>fever</w:t>
      </w:r>
    </w:p>
    <w:p w:rsidR="008D43BD" w:rsidRPr="001E07C9" w:rsidP="008D43BD">
      <w:pPr>
        <w:ind w:left="357" w:hanging="357"/>
        <w:rPr>
          <w:szCs w:val="24"/>
        </w:rPr>
      </w:pPr>
      <w:r w:rsidRPr="001E07C9" w:rsidR="00A4080A">
        <w:rPr>
          <w:rFonts w:ascii="Symbol" w:hAnsi="Symbol"/>
          <w:szCs w:val="24"/>
          <w:lang w:val="es-ES"/>
        </w:rPr>
        <w:sym w:font="Symbol" w:char="F0B7"/>
      </w:r>
      <w:r w:rsidRPr="001E07C9" w:rsidR="00A4080A">
        <w:rPr>
          <w:szCs w:val="24"/>
        </w:rPr>
        <w:tab/>
        <w:t>headache</w:t>
      </w:r>
    </w:p>
    <w:p w:rsidR="008D43BD" w:rsidRPr="001E07C9" w:rsidP="008D43BD">
      <w:pPr>
        <w:ind w:left="357" w:hanging="357"/>
        <w:rPr>
          <w:szCs w:val="24"/>
        </w:rPr>
      </w:pPr>
      <w:r w:rsidRPr="001E07C9" w:rsidR="00A4080A">
        <w:rPr>
          <w:rFonts w:ascii="Symbol" w:hAnsi="Symbol"/>
          <w:szCs w:val="24"/>
          <w:lang w:val="es-ES"/>
        </w:rPr>
        <w:sym w:font="Symbol" w:char="F0B7"/>
      </w:r>
      <w:r w:rsidRPr="001E07C9" w:rsidR="00A4080A">
        <w:rPr>
          <w:szCs w:val="24"/>
        </w:rPr>
        <w:tab/>
        <w:t>feeling tired</w:t>
      </w:r>
    </w:p>
    <w:p w:rsidR="008D43BD" w:rsidRPr="001E07C9" w:rsidP="008D43BD">
      <w:pPr>
        <w:ind w:left="357" w:hanging="357"/>
        <w:rPr>
          <w:szCs w:val="24"/>
        </w:rPr>
      </w:pPr>
      <w:r w:rsidRPr="001E07C9" w:rsidR="00A4080A">
        <w:rPr>
          <w:rFonts w:ascii="Symbol" w:hAnsi="Symbol"/>
          <w:szCs w:val="24"/>
          <w:lang w:val="es-ES"/>
        </w:rPr>
        <w:sym w:font="Symbol" w:char="F0B7"/>
      </w:r>
      <w:r w:rsidRPr="001E07C9" w:rsidR="00A4080A">
        <w:rPr>
          <w:szCs w:val="24"/>
        </w:rPr>
        <w:tab/>
        <w:t>weakness</w:t>
      </w:r>
    </w:p>
    <w:p w:rsidR="008D43BD" w:rsidRPr="001E07C9" w:rsidP="008D43BD">
      <w:pPr>
        <w:rPr>
          <w:b/>
        </w:rPr>
      </w:pPr>
    </w:p>
    <w:p w:rsidR="008D43BD" w:rsidRPr="001E07C9" w:rsidP="008D43BD">
      <w:pPr>
        <w:rPr>
          <w:b/>
          <w:szCs w:val="22"/>
        </w:rPr>
      </w:pPr>
      <w:r w:rsidRPr="001E07C9" w:rsidR="00A4080A">
        <w:rPr>
          <w:b/>
        </w:rPr>
        <w:t>Common</w:t>
      </w:r>
      <w:r w:rsidRPr="001E07C9" w:rsidR="00A4080A">
        <w:rPr>
          <w:b/>
          <w:szCs w:val="22"/>
        </w:rPr>
        <w:t>:</w:t>
      </w:r>
    </w:p>
    <w:p w:rsidR="0031370B" w:rsidRPr="001E07C9" w:rsidP="008D43BD">
      <w:pPr>
        <w:ind w:left="357" w:hanging="357"/>
        <w:rPr>
          <w:szCs w:val="24"/>
        </w:rPr>
      </w:pPr>
      <w:r w:rsidRPr="001E07C9" w:rsidR="00A4080A">
        <w:rPr>
          <w:rFonts w:ascii="Symbol" w:hAnsi="Symbol"/>
          <w:szCs w:val="22"/>
          <w:lang w:val="es-ES"/>
        </w:rPr>
        <w:sym w:font="Symbol" w:char="F0B7"/>
      </w:r>
      <w:r w:rsidRPr="001E07C9" w:rsidR="00A4080A">
        <w:rPr>
          <w:szCs w:val="24"/>
        </w:rPr>
        <w:tab/>
      </w:r>
      <w:r w:rsidRPr="001E07C9">
        <w:rPr>
          <w:szCs w:val="24"/>
        </w:rPr>
        <w:t xml:space="preserve">chills or flu like symptoms </w:t>
      </w:r>
    </w:p>
    <w:p w:rsidR="0031370B" w:rsidRPr="001E07C9" w:rsidP="0031370B">
      <w:pPr>
        <w:numPr>
          <w:ilvl w:val="0"/>
          <w:numId w:val="51"/>
        </w:numPr>
        <w:pPrChange w:id="1" w:author="Kyle Ekberg" w:date="2019-11-01T15:25:00Z">
          <w:pPr>
            <w:numPr>
              <w:ilvl w:val="0"/>
              <w:numId w:val="51"/>
            </w:numPr>
          </w:pPr>
        </w:pPrChange>
        <w:rPr>
          <w:szCs w:val="24"/>
        </w:rPr>
      </w:pPr>
      <w:r w:rsidRPr="001E07C9">
        <w:rPr>
          <w:szCs w:val="24"/>
        </w:rPr>
        <w:t>decrease in your potassium levels (shown in a blood test)</w:t>
      </w:r>
    </w:p>
    <w:p w:rsidR="0031370B" w:rsidRPr="001E07C9" w:rsidP="004D3A86">
      <w:pPr>
        <w:numPr>
          <w:ilvl w:val="0"/>
          <w:numId w:val="51"/>
        </w:numPr>
        <w:rPr>
          <w:szCs w:val="24"/>
        </w:rPr>
      </w:pPr>
      <w:r w:rsidRPr="001E07C9">
        <w:rPr>
          <w:szCs w:val="24"/>
        </w:rPr>
        <w:t>skin rashes</w:t>
      </w:r>
    </w:p>
    <w:p w:rsidR="008D43BD" w:rsidRPr="00FF5E1A" w:rsidP="004D3A86">
      <w:pPr>
        <w:numPr>
          <w:ilvl w:val="0"/>
          <w:numId w:val="51"/>
        </w:numPr>
        <w:rPr>
          <w:szCs w:val="24"/>
        </w:rPr>
      </w:pPr>
      <w:r w:rsidRPr="001E07C9" w:rsidR="00A4080A">
        <w:rPr>
          <w:szCs w:val="24"/>
        </w:rPr>
        <w:t>decreased white blood cells</w:t>
      </w:r>
      <w:r w:rsidRPr="00FF5E1A" w:rsidR="00A4080A">
        <w:rPr>
          <w:szCs w:val="24"/>
        </w:rPr>
        <w:t xml:space="preserve"> (shown in a blood test)</w:t>
      </w:r>
    </w:p>
    <w:p w:rsidR="008D43BD" w:rsidRPr="00FF5E1A" w:rsidP="008D43BD">
      <w:pPr>
        <w:ind w:left="357" w:hanging="357"/>
        <w:rPr>
          <w:szCs w:val="24"/>
        </w:rPr>
      </w:pPr>
      <w:r w:rsidRPr="000F58D7" w:rsidR="00A4080A">
        <w:rPr>
          <w:rFonts w:ascii="Symbol" w:hAnsi="Symbol"/>
          <w:szCs w:val="24"/>
          <w:lang w:val="es-ES"/>
        </w:rPr>
        <w:sym w:font="Symbol" w:char="F0B7"/>
      </w:r>
      <w:r w:rsidRPr="00FF5E1A" w:rsidR="00A4080A">
        <w:rPr>
          <w:szCs w:val="24"/>
        </w:rPr>
        <w:tab/>
        <w:t>dry eyes, watery eyes or blurred vision</w:t>
      </w:r>
    </w:p>
    <w:p w:rsidR="008D43BD" w:rsidRPr="00FF5E1A" w:rsidP="008D43BD">
      <w:pPr>
        <w:ind w:left="357" w:hanging="357"/>
        <w:rPr>
          <w:szCs w:val="24"/>
        </w:rPr>
      </w:pPr>
      <w:r w:rsidRPr="000F58D7" w:rsidR="00A4080A">
        <w:rPr>
          <w:rFonts w:ascii="Symbol" w:hAnsi="Symbol"/>
          <w:szCs w:val="24"/>
          <w:lang w:val="es-ES"/>
        </w:rPr>
        <w:sym w:font="Symbol" w:char="F0B7"/>
      </w:r>
      <w:r w:rsidRPr="00FF5E1A" w:rsidR="00A4080A">
        <w:rPr>
          <w:szCs w:val="24"/>
        </w:rPr>
        <w:tab/>
        <w:t>eye redness or infection</w:t>
      </w:r>
    </w:p>
    <w:p w:rsidR="008D43BD" w:rsidRPr="00FF5E1A" w:rsidP="008D43BD">
      <w:pPr>
        <w:ind w:left="357" w:hanging="357"/>
        <w:rPr>
          <w:szCs w:val="24"/>
        </w:rPr>
      </w:pPr>
      <w:r w:rsidRPr="000F58D7" w:rsidR="00A4080A">
        <w:rPr>
          <w:rFonts w:ascii="Symbol" w:hAnsi="Symbol"/>
          <w:szCs w:val="24"/>
          <w:lang w:val="es-ES"/>
        </w:rPr>
        <w:sym w:font="Symbol" w:char="F0B7"/>
      </w:r>
      <w:r w:rsidRPr="00FF5E1A" w:rsidR="00A4080A">
        <w:rPr>
          <w:szCs w:val="24"/>
        </w:rPr>
        <w:tab/>
        <w:t>indigestion</w:t>
      </w:r>
    </w:p>
    <w:p w:rsidR="008D43BD" w:rsidRPr="00FF5E1A" w:rsidP="008D43BD">
      <w:pPr>
        <w:ind w:left="357" w:hanging="357"/>
        <w:rPr>
          <w:szCs w:val="24"/>
        </w:rPr>
      </w:pPr>
      <w:r w:rsidRPr="000F58D7" w:rsidR="00A4080A">
        <w:rPr>
          <w:rFonts w:ascii="Symbol" w:hAnsi="Symbol"/>
          <w:szCs w:val="24"/>
          <w:lang w:val="es-ES"/>
        </w:rPr>
        <w:sym w:font="Symbol" w:char="F0B7"/>
      </w:r>
      <w:r w:rsidRPr="00FF5E1A" w:rsidR="00A4080A">
        <w:rPr>
          <w:szCs w:val="24"/>
        </w:rPr>
        <w:tab/>
        <w:t>swelling of legs and/or arms</w:t>
      </w:r>
    </w:p>
    <w:p w:rsidR="008D43BD" w:rsidRPr="00FF5E1A" w:rsidP="008D43BD">
      <w:pPr>
        <w:ind w:left="357" w:hanging="357"/>
        <w:rPr>
          <w:szCs w:val="24"/>
        </w:rPr>
      </w:pPr>
      <w:r w:rsidRPr="000F58D7" w:rsidR="00A4080A">
        <w:rPr>
          <w:rFonts w:ascii="Symbol" w:hAnsi="Symbol"/>
          <w:szCs w:val="24"/>
          <w:lang w:val="es-ES"/>
        </w:rPr>
        <w:sym w:font="Symbol" w:char="F0B7"/>
      </w:r>
      <w:r w:rsidRPr="00FF5E1A" w:rsidR="00A4080A">
        <w:rPr>
          <w:szCs w:val="24"/>
        </w:rPr>
        <w:tab/>
        <w:t>bleeding from the gums</w:t>
      </w:r>
    </w:p>
    <w:p w:rsidR="008D43BD" w:rsidRPr="00FF5E1A" w:rsidP="008D43BD">
      <w:pPr>
        <w:ind w:left="357" w:hanging="357"/>
        <w:rPr>
          <w:szCs w:val="24"/>
        </w:rPr>
      </w:pPr>
      <w:r w:rsidRPr="000F58D7" w:rsidR="00A4080A">
        <w:rPr>
          <w:rFonts w:ascii="Symbol" w:hAnsi="Symbol"/>
          <w:szCs w:val="24"/>
          <w:lang w:val="es-ES"/>
        </w:rPr>
        <w:sym w:font="Symbol" w:char="F0B7"/>
      </w:r>
      <w:r w:rsidRPr="00FF5E1A" w:rsidR="00A4080A">
        <w:rPr>
          <w:szCs w:val="24"/>
        </w:rPr>
        <w:tab/>
        <w:t xml:space="preserve">increase in blood pressure </w:t>
      </w:r>
    </w:p>
    <w:p w:rsidR="008D43BD" w:rsidRPr="00FF5E1A" w:rsidP="008D43BD">
      <w:pPr>
        <w:ind w:left="357" w:hanging="357"/>
        <w:rPr>
          <w:szCs w:val="24"/>
        </w:rPr>
      </w:pPr>
      <w:r w:rsidRPr="000F58D7" w:rsidR="00A4080A">
        <w:rPr>
          <w:rFonts w:ascii="Symbol" w:hAnsi="Symbol"/>
          <w:szCs w:val="24"/>
          <w:lang w:val="es-ES"/>
        </w:rPr>
        <w:sym w:font="Symbol" w:char="F0B7"/>
      </w:r>
      <w:r w:rsidRPr="00FF5E1A" w:rsidR="00A4080A">
        <w:rPr>
          <w:szCs w:val="24"/>
        </w:rPr>
        <w:tab/>
        <w:t>feeling dizzy</w:t>
      </w:r>
    </w:p>
    <w:p w:rsidR="008D43BD" w:rsidRPr="00FF5E1A" w:rsidP="008D43BD">
      <w:pPr>
        <w:ind w:left="357" w:hanging="357"/>
        <w:rPr>
          <w:szCs w:val="24"/>
        </w:rPr>
      </w:pPr>
      <w:r w:rsidRPr="000F58D7" w:rsidR="00A4080A">
        <w:rPr>
          <w:rFonts w:ascii="Symbol" w:hAnsi="Symbol"/>
          <w:szCs w:val="24"/>
          <w:lang w:val="es-ES"/>
        </w:rPr>
        <w:sym w:font="Symbol" w:char="F0B7"/>
      </w:r>
      <w:r w:rsidRPr="00FF5E1A" w:rsidR="00A4080A">
        <w:rPr>
          <w:szCs w:val="24"/>
        </w:rPr>
        <w:tab/>
        <w:t>taste disturbances</w:t>
      </w:r>
    </w:p>
    <w:p w:rsidR="008D43BD" w:rsidRPr="00FF5E1A" w:rsidP="008D43BD">
      <w:pPr>
        <w:ind w:left="357" w:hanging="357"/>
        <w:rPr>
          <w:szCs w:val="24"/>
        </w:rPr>
      </w:pPr>
      <w:r w:rsidRPr="000F58D7" w:rsidR="00A4080A">
        <w:rPr>
          <w:rFonts w:ascii="Symbol" w:hAnsi="Symbol"/>
          <w:szCs w:val="24"/>
          <w:lang w:val="es-ES"/>
        </w:rPr>
        <w:sym w:font="Symbol" w:char="F0B7"/>
      </w:r>
      <w:r w:rsidRPr="00FF5E1A" w:rsidR="00A4080A">
        <w:rPr>
          <w:szCs w:val="24"/>
        </w:rPr>
        <w:tab/>
        <w:t>itching</w:t>
      </w:r>
    </w:p>
    <w:p w:rsidR="008D43BD" w:rsidRPr="00FF5E1A" w:rsidP="008D43BD">
      <w:pPr>
        <w:ind w:left="357" w:hanging="357"/>
        <w:rPr>
          <w:szCs w:val="24"/>
        </w:rPr>
      </w:pPr>
      <w:r w:rsidRPr="000F58D7" w:rsidR="00A4080A">
        <w:rPr>
          <w:rFonts w:ascii="Symbol" w:hAnsi="Symbol"/>
          <w:szCs w:val="24"/>
          <w:lang w:val="es-ES"/>
        </w:rPr>
        <w:sym w:font="Symbol" w:char="F0B7"/>
      </w:r>
      <w:r w:rsidRPr="00FF5E1A" w:rsidR="00A4080A">
        <w:rPr>
          <w:szCs w:val="24"/>
        </w:rPr>
        <w:tab/>
        <w:t>difficulty in remembering</w:t>
      </w:r>
    </w:p>
    <w:p w:rsidR="008D43BD" w:rsidRPr="00FF5E1A" w:rsidP="008D43BD">
      <w:pPr>
        <w:ind w:left="357" w:hanging="357"/>
        <w:rPr>
          <w:szCs w:val="24"/>
        </w:rPr>
      </w:pPr>
      <w:r w:rsidRPr="000F58D7" w:rsidR="00A4080A">
        <w:rPr>
          <w:rFonts w:ascii="Symbol" w:hAnsi="Symbol"/>
          <w:szCs w:val="24"/>
          <w:lang w:val="es-ES"/>
        </w:rPr>
        <w:sym w:font="Symbol" w:char="F0B7"/>
      </w:r>
      <w:r w:rsidRPr="00FF5E1A" w:rsidR="00A4080A">
        <w:rPr>
          <w:szCs w:val="24"/>
        </w:rPr>
        <w:tab/>
        <w:t>hair loss</w:t>
      </w:r>
    </w:p>
    <w:p w:rsidR="008D43BD" w:rsidRPr="00FF5E1A" w:rsidP="008D43BD">
      <w:pPr>
        <w:ind w:left="357" w:hanging="357"/>
        <w:rPr>
          <w:szCs w:val="24"/>
        </w:rPr>
      </w:pPr>
      <w:r w:rsidRPr="000F58D7" w:rsidR="00A4080A">
        <w:rPr>
          <w:rFonts w:ascii="Symbol" w:hAnsi="Symbol"/>
          <w:szCs w:val="24"/>
          <w:lang w:val="es-ES"/>
        </w:rPr>
        <w:sym w:font="Symbol" w:char="F0B7"/>
      </w:r>
      <w:r w:rsidRPr="00FF5E1A" w:rsidR="00A4080A">
        <w:rPr>
          <w:szCs w:val="24"/>
        </w:rPr>
        <w:tab/>
        <w:t>hand-and-foot skin reaction (Palmar-plantar erythrodysaesthesia syndrome)</w:t>
      </w:r>
    </w:p>
    <w:p w:rsidR="008D43BD" w:rsidRPr="00854590" w:rsidP="008D43BD">
      <w:pPr>
        <w:ind w:left="357" w:hanging="357"/>
        <w:rPr>
          <w:szCs w:val="22"/>
        </w:rPr>
      </w:pPr>
      <w:r w:rsidRPr="000F58D7" w:rsidR="00A4080A">
        <w:rPr>
          <w:rFonts w:ascii="Symbol" w:hAnsi="Symbol"/>
          <w:szCs w:val="24"/>
          <w:lang w:val="es-ES"/>
        </w:rPr>
        <w:sym w:font="Symbol" w:char="F0B7"/>
      </w:r>
      <w:r w:rsidRPr="00FF5E1A" w:rsidR="00A4080A">
        <w:rPr>
          <w:szCs w:val="24"/>
        </w:rPr>
        <w:tab/>
        <w:t>nail disorder</w:t>
      </w:r>
    </w:p>
    <w:p w:rsidR="008D43BD" w:rsidP="008D43BD">
      <w:pPr>
        <w:keepNext/>
        <w:rPr>
          <w:b/>
          <w:szCs w:val="22"/>
        </w:rPr>
      </w:pPr>
    </w:p>
    <w:p w:rsidR="008D43BD" w:rsidRPr="00854590" w:rsidP="008D43BD">
      <w:pPr>
        <w:keepNext/>
        <w:rPr>
          <w:b/>
          <w:szCs w:val="22"/>
        </w:rPr>
      </w:pPr>
      <w:r w:rsidRPr="00854590" w:rsidR="00A4080A">
        <w:rPr>
          <w:b/>
          <w:szCs w:val="22"/>
        </w:rPr>
        <w:t>Uncommon:</w:t>
      </w:r>
    </w:p>
    <w:p w:rsidR="008D43BD" w:rsidRPr="00854590" w:rsidP="008D43BD">
      <w:pPr>
        <w:ind w:left="562" w:hanging="562"/>
        <w:rPr>
          <w:szCs w:val="22"/>
        </w:rPr>
      </w:pPr>
      <w:r w:rsidRPr="002D59C9" w:rsidR="00A4080A">
        <w:rPr>
          <w:rFonts w:ascii="Symbol" w:hAnsi="Symbol"/>
          <w:szCs w:val="22"/>
          <w:lang w:val="es-ES"/>
        </w:rPr>
        <w:sym w:font="Symbol" w:char="F0B7"/>
      </w:r>
      <w:r w:rsidRPr="00FF5E1A" w:rsidR="00A4080A">
        <w:rPr>
          <w:szCs w:val="24"/>
        </w:rPr>
        <w:tab/>
      </w:r>
      <w:r w:rsidRPr="00854590" w:rsidR="00A4080A">
        <w:rPr>
          <w:szCs w:val="22"/>
        </w:rPr>
        <w:t>Another abnormality that can be caused by Kadcyla is a condition known as nodular regenerative hyperplasia of the liver. This abnormality causes the structure of the liver to change. Patients develop multiple nodules in the liver that can change how the liver functions. Over time, this may lead to symptoms such as a bloated sensation or swelling of the abdomen due to fluid accumulation or bleeding from abnormal blood vessels in the gullet or rectum.</w:t>
      </w:r>
    </w:p>
    <w:p w:rsidR="008D43BD" w:rsidRPr="00463EB2" w:rsidP="008D43BD">
      <w:pPr>
        <w:ind w:left="562" w:hanging="562"/>
        <w:rPr>
          <w:szCs w:val="22"/>
        </w:rPr>
      </w:pPr>
      <w:r w:rsidRPr="002D59C9" w:rsidR="00A4080A">
        <w:rPr>
          <w:rFonts w:ascii="Symbol" w:hAnsi="Symbol"/>
          <w:szCs w:val="22"/>
          <w:lang w:val="es-ES"/>
        </w:rPr>
        <w:sym w:font="Symbol" w:char="F0B7"/>
      </w:r>
      <w:r w:rsidRPr="00FF5E1A" w:rsidR="00A4080A">
        <w:rPr>
          <w:szCs w:val="24"/>
        </w:rPr>
        <w:tab/>
      </w:r>
      <w:r w:rsidRPr="00854590" w:rsidR="00A4080A">
        <w:rPr>
          <w:szCs w:val="22"/>
        </w:rPr>
        <w:t>If the Kadcyla infusion solution leaks into the area around the infusion site you may develop tenderness or redness of your skin, or swelling at the infusion site.</w:t>
      </w:r>
      <w:r w:rsidRPr="001E0046" w:rsidR="00A4080A">
        <w:rPr>
          <w:szCs w:val="22"/>
        </w:rPr>
        <w:t xml:space="preserve"> </w:t>
      </w:r>
    </w:p>
    <w:p w:rsidR="008D43BD" w:rsidP="008D43BD">
      <w:pPr>
        <w:rPr>
          <w:szCs w:val="22"/>
        </w:rPr>
      </w:pPr>
    </w:p>
    <w:p w:rsidR="008D43BD" w:rsidRPr="005F62B2" w:rsidP="008D43BD">
      <w:pPr>
        <w:rPr>
          <w:szCs w:val="22"/>
        </w:rPr>
      </w:pPr>
      <w:r w:rsidRPr="005F62B2" w:rsidR="00A4080A">
        <w:rPr>
          <w:szCs w:val="22"/>
        </w:rPr>
        <w:t>If you get any of the side effects after your treatment with Kadcyla has stopped, talk to your doctor or nurse and tell them that you have been treated with Kadcyla.</w:t>
      </w:r>
    </w:p>
    <w:p w:rsidR="008D43BD" w:rsidRPr="005F62B2" w:rsidP="008D43BD">
      <w:pPr>
        <w:rPr>
          <w:szCs w:val="22"/>
        </w:rPr>
      </w:pPr>
    </w:p>
    <w:p w:rsidR="008D43BD" w:rsidRPr="005F62B2" w:rsidP="008D43BD">
      <w:pPr>
        <w:rPr>
          <w:b/>
          <w:szCs w:val="22"/>
        </w:rPr>
      </w:pPr>
      <w:r w:rsidRPr="005F62B2" w:rsidR="00A4080A">
        <w:rPr>
          <w:b/>
          <w:szCs w:val="22"/>
        </w:rPr>
        <w:t>Reporting of side effects</w:t>
      </w:r>
    </w:p>
    <w:p w:rsidR="008D43BD" w:rsidRPr="005F62B2" w:rsidP="008D43BD">
      <w:pPr>
        <w:rPr>
          <w:szCs w:val="22"/>
        </w:rPr>
      </w:pPr>
      <w:r w:rsidRPr="005F62B2" w:rsidR="00A4080A">
        <w:rPr>
          <w:szCs w:val="22"/>
        </w:rPr>
        <w:t xml:space="preserve">If you get any side effects, talk to your doctor or nurse. This includes any possible side effects not listed in this leaflet. </w:t>
      </w:r>
    </w:p>
    <w:p w:rsidR="008D43BD" w:rsidRPr="005F62B2" w:rsidP="008D43BD">
      <w:pPr>
        <w:rPr>
          <w:szCs w:val="22"/>
        </w:rPr>
      </w:pPr>
    </w:p>
    <w:p w:rsidR="008D43BD" w:rsidRPr="005F62B2" w:rsidP="008D43BD">
      <w:pPr>
        <w:rPr>
          <w:szCs w:val="22"/>
        </w:rPr>
      </w:pPr>
      <w:r w:rsidRPr="005F62B2" w:rsidR="00A4080A">
        <w:rPr>
          <w:szCs w:val="22"/>
        </w:rPr>
        <w:t xml:space="preserve">You can also report side effects directly via </w:t>
      </w:r>
      <w:r w:rsidRPr="002B1C38" w:rsidR="00A4080A">
        <w:rPr>
          <w:szCs w:val="22"/>
          <w:highlight w:val="lightGray"/>
        </w:rPr>
        <w:t xml:space="preserve">the national reporting system listed in </w:t>
      </w:r>
      <w:r w:rsidR="00BB453D">
        <w:fldChar w:fldCharType="begin"/>
      </w:r>
      <w:r w:rsidR="00BB453D">
        <w:instrText xml:space="preserve"> HYPERLINK "https://www.ema.europa.eu/documents/template-form/appendix-v-adverse-drug-reaction-reporting-details_en.doc" </w:instrText>
      </w:r>
      <w:r w:rsidR="00BB453D">
        <w:fldChar w:fldCharType="separate"/>
      </w:r>
      <w:r w:rsidRPr="002B1C38" w:rsidR="00A4080A">
        <w:rPr>
          <w:color w:val="0000FF"/>
          <w:szCs w:val="22"/>
          <w:highlight w:val="lightGray"/>
          <w:u w:val="single"/>
        </w:rPr>
        <w:t>Appendix V</w:t>
      </w:r>
      <w:r w:rsidRPr="002B1C38" w:rsidR="00BB453D">
        <w:rPr>
          <w:color w:val="0000FF"/>
          <w:szCs w:val="22"/>
          <w:highlight w:val="lightGray"/>
          <w:u w:val="single"/>
        </w:rPr>
        <w:fldChar w:fldCharType="end"/>
      </w:r>
      <w:r w:rsidRPr="00470313" w:rsidR="00A4080A">
        <w:rPr>
          <w:color w:val="3366FF"/>
          <w:szCs w:val="22"/>
        </w:rPr>
        <w:t>.</w:t>
      </w:r>
      <w:r w:rsidRPr="005F62B2" w:rsidR="00A4080A">
        <w:rPr>
          <w:szCs w:val="22"/>
        </w:rPr>
        <w:t xml:space="preserve"> By reporting side effects you can help provide more information on the safety of this medicine.</w:t>
      </w:r>
    </w:p>
    <w:p w:rsidR="008D43BD" w:rsidRPr="005F62B2" w:rsidP="008D43BD">
      <w:pPr>
        <w:rPr>
          <w:b/>
          <w:szCs w:val="22"/>
        </w:rPr>
      </w:pPr>
    </w:p>
    <w:p w:rsidR="008D43BD" w:rsidRPr="005F62B2" w:rsidP="008D43BD">
      <w:pPr>
        <w:rPr>
          <w:b/>
          <w:szCs w:val="22"/>
        </w:rPr>
      </w:pPr>
    </w:p>
    <w:p w:rsidR="008D43BD" w:rsidRPr="005F62B2" w:rsidP="008D43BD">
      <w:pPr>
        <w:keepNext/>
        <w:keepLines/>
        <w:rPr>
          <w:b/>
          <w:szCs w:val="22"/>
        </w:rPr>
      </w:pPr>
      <w:r w:rsidRPr="005F62B2" w:rsidR="00A4080A">
        <w:rPr>
          <w:b/>
          <w:szCs w:val="22"/>
        </w:rPr>
        <w:t>5.</w:t>
        <w:tab/>
        <w:t>How to store Kadcyla</w:t>
      </w:r>
    </w:p>
    <w:p w:rsidR="008D43BD" w:rsidRPr="005F62B2" w:rsidP="008D43BD">
      <w:pPr>
        <w:keepNext/>
        <w:keepLines/>
        <w:rPr>
          <w:szCs w:val="22"/>
        </w:rPr>
      </w:pPr>
    </w:p>
    <w:p w:rsidR="008D43BD" w:rsidRPr="005F62B2" w:rsidP="008D43BD">
      <w:pPr>
        <w:keepNext/>
        <w:keepLines/>
        <w:rPr>
          <w:szCs w:val="22"/>
        </w:rPr>
      </w:pPr>
      <w:r w:rsidRPr="005F62B2" w:rsidR="00A4080A">
        <w:rPr>
          <w:szCs w:val="22"/>
        </w:rPr>
        <w:t>Kadcyla will be stored by the health professionals at the hospital or clinic.</w:t>
      </w:r>
    </w:p>
    <w:p w:rsidR="008D43BD" w:rsidRPr="005F62B2" w:rsidP="008D43BD">
      <w:pPr>
        <w:keepNext/>
        <w:keepLines/>
        <w:rPr>
          <w:szCs w:val="22"/>
        </w:rPr>
      </w:pPr>
    </w:p>
    <w:p w:rsidR="008D43BD" w:rsidRPr="005F62B2" w:rsidP="008D43BD">
      <w:pPr>
        <w:ind w:left="567" w:hanging="567"/>
        <w:rPr>
          <w:szCs w:val="22"/>
        </w:rPr>
      </w:pPr>
      <w:r w:rsidRPr="002D59C9" w:rsidR="00A4080A">
        <w:rPr>
          <w:rFonts w:ascii="Symbol" w:hAnsi="Symbol"/>
          <w:szCs w:val="22"/>
          <w:lang w:val="es-ES"/>
        </w:rPr>
        <w:sym w:font="Symbol" w:char="F0B7"/>
      </w:r>
      <w:r w:rsidRPr="00FF5E1A" w:rsidR="00A4080A">
        <w:rPr>
          <w:szCs w:val="24"/>
        </w:rPr>
        <w:tab/>
      </w:r>
      <w:r w:rsidRPr="005F62B2" w:rsidR="00A4080A">
        <w:rPr>
          <w:szCs w:val="22"/>
        </w:rPr>
        <w:t>Keep this medicine out of the sight and reach of children.</w:t>
      </w:r>
    </w:p>
    <w:p w:rsidR="008D43BD" w:rsidRPr="005F62B2" w:rsidP="008D43BD">
      <w:pPr>
        <w:ind w:left="567" w:hanging="567"/>
        <w:rPr>
          <w:szCs w:val="22"/>
        </w:rPr>
      </w:pPr>
      <w:r w:rsidRPr="002D59C9" w:rsidR="00A4080A">
        <w:rPr>
          <w:rFonts w:ascii="Symbol" w:hAnsi="Symbol"/>
          <w:szCs w:val="22"/>
          <w:lang w:val="es-ES"/>
        </w:rPr>
        <w:sym w:font="Symbol" w:char="F0B7"/>
      </w:r>
      <w:r w:rsidRPr="00FF5E1A" w:rsidR="00A4080A">
        <w:rPr>
          <w:szCs w:val="24"/>
        </w:rPr>
        <w:tab/>
      </w:r>
      <w:r w:rsidRPr="005F62B2" w:rsidR="00A4080A">
        <w:rPr>
          <w:szCs w:val="22"/>
        </w:rPr>
        <w:t xml:space="preserve">Do not use this medicine after the expiry date which is stated on the outer carton </w:t>
      </w:r>
      <w:r w:rsidR="00A4080A">
        <w:rPr>
          <w:szCs w:val="22"/>
        </w:rPr>
        <w:t xml:space="preserve">and vial </w:t>
      </w:r>
      <w:r w:rsidRPr="005F62B2" w:rsidR="00A4080A">
        <w:rPr>
          <w:szCs w:val="22"/>
        </w:rPr>
        <w:t>after EXP. The expiry date refers to the last day of that month.</w:t>
      </w:r>
    </w:p>
    <w:p w:rsidR="008D43BD" w:rsidRPr="005F62B2" w:rsidP="008D43BD">
      <w:pPr>
        <w:ind w:left="567" w:hanging="567"/>
        <w:rPr>
          <w:szCs w:val="22"/>
        </w:rPr>
      </w:pPr>
      <w:r w:rsidRPr="002D59C9" w:rsidR="00A4080A">
        <w:rPr>
          <w:rFonts w:ascii="Symbol" w:hAnsi="Symbol"/>
          <w:szCs w:val="22"/>
          <w:lang w:val="es-ES"/>
        </w:rPr>
        <w:sym w:font="Symbol" w:char="F0B7"/>
      </w:r>
      <w:r w:rsidRPr="00FF5E1A" w:rsidR="00A4080A">
        <w:rPr>
          <w:szCs w:val="24"/>
        </w:rPr>
        <w:tab/>
      </w:r>
      <w:r w:rsidRPr="005F62B2" w:rsidR="00A4080A">
        <w:rPr>
          <w:szCs w:val="22"/>
        </w:rPr>
        <w:t xml:space="preserve">Store in a refrigerator at (2°C </w:t>
      </w:r>
      <w:r w:rsidRPr="005F62B2" w:rsidR="00A4080A">
        <w:rPr>
          <w:szCs w:val="22"/>
        </w:rPr>
        <w:noBreakHyphen/>
        <w:t xml:space="preserve"> 8°C). Do not freeze.</w:t>
      </w:r>
    </w:p>
    <w:p w:rsidR="008D43BD" w:rsidRPr="005F62B2" w:rsidP="008D43BD">
      <w:pPr>
        <w:ind w:left="567" w:hanging="567"/>
        <w:rPr>
          <w:szCs w:val="22"/>
        </w:rPr>
      </w:pPr>
      <w:r w:rsidRPr="002D59C9" w:rsidR="00A4080A">
        <w:rPr>
          <w:rFonts w:ascii="Symbol" w:hAnsi="Symbol"/>
          <w:szCs w:val="22"/>
          <w:lang w:val="es-ES"/>
        </w:rPr>
        <w:sym w:font="Symbol" w:char="F0B7"/>
      </w:r>
      <w:r w:rsidRPr="00FF5E1A" w:rsidR="00A4080A">
        <w:rPr>
          <w:szCs w:val="24"/>
        </w:rPr>
        <w:tab/>
      </w:r>
      <w:r w:rsidRPr="005F62B2" w:rsidR="00A4080A">
        <w:rPr>
          <w:szCs w:val="22"/>
        </w:rPr>
        <w:t xml:space="preserve">When prepared as a solution for infusion Kadcyla is stable for up to 24 hours at 2°C to 8°C, and must be discarded thereafter. </w:t>
      </w:r>
    </w:p>
    <w:p w:rsidR="008D43BD" w:rsidRPr="005F62B2" w:rsidP="008D43BD">
      <w:pPr>
        <w:ind w:left="567" w:hanging="567"/>
        <w:rPr>
          <w:szCs w:val="22"/>
        </w:rPr>
      </w:pPr>
      <w:r w:rsidRPr="002D59C9" w:rsidR="00A4080A">
        <w:rPr>
          <w:rFonts w:ascii="Symbol" w:hAnsi="Symbol"/>
          <w:szCs w:val="22"/>
          <w:lang w:val="es-ES"/>
        </w:rPr>
        <w:sym w:font="Symbol" w:char="F0B7"/>
      </w:r>
      <w:r w:rsidRPr="00FF5E1A" w:rsidR="00A4080A">
        <w:rPr>
          <w:szCs w:val="24"/>
        </w:rPr>
        <w:tab/>
      </w:r>
      <w:r w:rsidRPr="005F62B2" w:rsidR="00A4080A">
        <w:rPr>
          <w:szCs w:val="22"/>
        </w:rPr>
        <w:t>Do not throw away any medicines via wastewater or household waste. Ask your pharmacist how to dispose of medicines you no longer use. These measures will help to protect the environment.</w:t>
      </w:r>
    </w:p>
    <w:p w:rsidR="008D43BD" w:rsidRPr="005F62B2" w:rsidP="008D43BD">
      <w:pPr>
        <w:rPr>
          <w:szCs w:val="22"/>
        </w:rPr>
      </w:pPr>
    </w:p>
    <w:p w:rsidR="008D43BD" w:rsidRPr="005F62B2" w:rsidP="008D43BD">
      <w:pPr>
        <w:rPr>
          <w:szCs w:val="22"/>
        </w:rPr>
      </w:pPr>
    </w:p>
    <w:p w:rsidR="008D43BD" w:rsidRPr="005F62B2" w:rsidP="008D43BD">
      <w:pPr>
        <w:rPr>
          <w:b/>
          <w:szCs w:val="22"/>
        </w:rPr>
      </w:pPr>
      <w:r w:rsidRPr="005F62B2" w:rsidR="00A4080A">
        <w:rPr>
          <w:b/>
          <w:szCs w:val="22"/>
        </w:rPr>
        <w:t>6.</w:t>
        <w:tab/>
        <w:t>Contents of the pack and other information</w:t>
      </w:r>
    </w:p>
    <w:p w:rsidR="008D43BD" w:rsidRPr="005F62B2" w:rsidP="008D43BD">
      <w:pPr>
        <w:rPr>
          <w:b/>
          <w:szCs w:val="22"/>
        </w:rPr>
      </w:pPr>
    </w:p>
    <w:p w:rsidR="008D43BD" w:rsidRPr="005F62B2" w:rsidP="008D43BD">
      <w:pPr>
        <w:rPr>
          <w:b/>
          <w:bCs/>
          <w:szCs w:val="22"/>
        </w:rPr>
      </w:pPr>
      <w:r w:rsidRPr="005F62B2" w:rsidR="00A4080A">
        <w:rPr>
          <w:b/>
          <w:bCs/>
          <w:szCs w:val="22"/>
        </w:rPr>
        <w:t>What Kadcyla contains</w:t>
      </w:r>
    </w:p>
    <w:p w:rsidR="008D43BD" w:rsidRPr="005F62B2"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5F62B2" w:rsidR="00A4080A">
        <w:rPr>
          <w:szCs w:val="22"/>
        </w:rPr>
        <w:t xml:space="preserve">The active substance is trastuzumab emtansine. </w:t>
      </w:r>
    </w:p>
    <w:p w:rsidR="008D43BD" w:rsidRPr="00854590"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854590" w:rsidR="00A4080A">
        <w:rPr>
          <w:szCs w:val="22"/>
        </w:rPr>
        <w:t xml:space="preserve"> </w:t>
      </w:r>
      <w:r w:rsidR="00A4080A">
        <w:rPr>
          <w:szCs w:val="22"/>
        </w:rPr>
        <w:t xml:space="preserve">Kadcyla 100mg: </w:t>
      </w:r>
      <w:r w:rsidRPr="007C6EE1" w:rsidR="00A4080A">
        <w:rPr>
          <w:szCs w:val="22"/>
        </w:rPr>
        <w:t>One vial of powder for concentrate for solution for infusion contains 100 mg of trastuzumab emtansine. After reconstitution one vial of 5 mL solution contains 20 mg/mL of trastuzumab emtansine</w:t>
      </w:r>
      <w:r w:rsidR="00A4080A">
        <w:rPr>
          <w:szCs w:val="22"/>
        </w:rPr>
        <w:t>.</w:t>
      </w:r>
    </w:p>
    <w:p w:rsidR="008D43BD" w:rsidRPr="00854590"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00A4080A">
        <w:rPr>
          <w:szCs w:val="22"/>
        </w:rPr>
        <w:t xml:space="preserve">Kadcyla 160mg: </w:t>
      </w:r>
      <w:r w:rsidRPr="007C6EE1" w:rsidR="00A4080A">
        <w:rPr>
          <w:szCs w:val="22"/>
        </w:rPr>
        <w:t>One vial of powder for concentrate for solution for infusion contains 160 mg of trastuzumab emtansine. After reconstitution one vial of 8 mL solution contains 20 mg/mL of trastuzumab emtansine.</w:t>
      </w:r>
    </w:p>
    <w:p w:rsidR="008D43BD" w:rsidRPr="00854590" w:rsidP="008D43BD">
      <w:pPr>
        <w:ind w:left="357" w:hanging="357"/>
        <w:rPr>
          <w:szCs w:val="22"/>
          <w:u w:val="single"/>
        </w:rPr>
      </w:pPr>
      <w:r w:rsidRPr="002D59C9" w:rsidR="00A4080A">
        <w:rPr>
          <w:rFonts w:ascii="Symbol" w:hAnsi="Symbol"/>
          <w:szCs w:val="22"/>
          <w:lang w:val="es-ES"/>
        </w:rPr>
        <w:sym w:font="Symbol" w:char="F0B7"/>
      </w:r>
      <w:r w:rsidRPr="00FF5E1A" w:rsidR="00A4080A">
        <w:rPr>
          <w:szCs w:val="24"/>
        </w:rPr>
        <w:tab/>
      </w:r>
      <w:r w:rsidRPr="00854590" w:rsidR="00A4080A">
        <w:rPr>
          <w:szCs w:val="22"/>
        </w:rPr>
        <w:t>The other ingredients are succinic acid, sodium hydroxide</w:t>
      </w:r>
      <w:r w:rsidR="00A4080A">
        <w:rPr>
          <w:szCs w:val="22"/>
        </w:rPr>
        <w:t xml:space="preserve"> </w:t>
      </w:r>
      <w:r w:rsidRPr="00854590" w:rsidR="00A4080A">
        <w:rPr>
          <w:szCs w:val="22"/>
        </w:rPr>
        <w:t>(see section 2 under ‘Important information about some of the ingredients of Kadcyla’), sucrose, and polysorbate 20.</w:t>
      </w:r>
    </w:p>
    <w:p w:rsidR="008D43BD" w:rsidP="008D43BD">
      <w:pPr>
        <w:rPr>
          <w:b/>
          <w:szCs w:val="22"/>
        </w:rPr>
      </w:pPr>
    </w:p>
    <w:p w:rsidR="008D43BD" w:rsidRPr="005F62B2" w:rsidP="008D43BD">
      <w:pPr>
        <w:rPr>
          <w:b/>
          <w:szCs w:val="22"/>
        </w:rPr>
      </w:pPr>
      <w:r w:rsidRPr="005F62B2" w:rsidR="00A4080A">
        <w:rPr>
          <w:b/>
          <w:szCs w:val="22"/>
        </w:rPr>
        <w:t>What Kadcyla looks like and contents of the pack</w:t>
      </w:r>
    </w:p>
    <w:p w:rsidR="008D43BD"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5F62B2" w:rsidR="00A4080A">
        <w:rPr>
          <w:szCs w:val="22"/>
        </w:rPr>
        <w:t xml:space="preserve">Kadcyla is a white to off-white lyophilised powder </w:t>
      </w:r>
      <w:r w:rsidRPr="005F62B2" w:rsidR="00A4080A">
        <w:rPr>
          <w:rFonts w:eastAsia="SimSun"/>
          <w:szCs w:val="22"/>
        </w:rPr>
        <w:t xml:space="preserve">for concentrate for solution for infusion supplied in glass vials. </w:t>
      </w:r>
    </w:p>
    <w:p w:rsidR="008D43BD" w:rsidRPr="008D47FA" w:rsidP="008D43BD">
      <w:pPr>
        <w:ind w:left="357" w:hanging="357"/>
        <w:rPr>
          <w:szCs w:val="22"/>
        </w:rPr>
      </w:pPr>
      <w:r w:rsidRPr="002D59C9" w:rsidR="00A4080A">
        <w:rPr>
          <w:rFonts w:ascii="Symbol" w:hAnsi="Symbol"/>
          <w:szCs w:val="22"/>
          <w:lang w:val="es-ES"/>
        </w:rPr>
        <w:sym w:font="Symbol" w:char="F0B7"/>
      </w:r>
      <w:r w:rsidRPr="00FF5E1A" w:rsidR="00A4080A">
        <w:rPr>
          <w:szCs w:val="24"/>
        </w:rPr>
        <w:tab/>
      </w:r>
      <w:r w:rsidRPr="008D47FA" w:rsidR="00A4080A">
        <w:rPr>
          <w:szCs w:val="22"/>
        </w:rPr>
        <w:t>Kadcyla is available in packs containing 1 vial.</w:t>
      </w:r>
    </w:p>
    <w:p w:rsidR="008D43BD" w:rsidRPr="005F62B2" w:rsidP="008D43BD">
      <w:pPr>
        <w:rPr>
          <w:szCs w:val="22"/>
        </w:rPr>
      </w:pPr>
    </w:p>
    <w:p w:rsidR="008D43BD" w:rsidRPr="005F62B2" w:rsidP="008D43BD">
      <w:pPr>
        <w:rPr>
          <w:b/>
          <w:szCs w:val="22"/>
        </w:rPr>
      </w:pPr>
      <w:r w:rsidRPr="005F62B2" w:rsidR="00A4080A">
        <w:rPr>
          <w:b/>
          <w:szCs w:val="22"/>
        </w:rPr>
        <w:t>Marketing Authorisation Holder</w:t>
      </w:r>
    </w:p>
    <w:p w:rsidR="008D43BD" w:rsidRPr="000103AF" w:rsidP="008D43BD">
      <w:pPr>
        <w:rPr>
          <w:szCs w:val="22"/>
          <w:lang w:val="en-029"/>
        </w:rPr>
      </w:pPr>
      <w:r w:rsidRPr="000103AF" w:rsidR="00A4080A">
        <w:rPr>
          <w:szCs w:val="22"/>
          <w:lang w:val="en-029"/>
        </w:rPr>
        <w:t xml:space="preserve">Roche Registration GmbH </w:t>
      </w:r>
    </w:p>
    <w:p w:rsidR="008D43BD" w:rsidRPr="000103AF" w:rsidP="008D43BD">
      <w:pPr>
        <w:rPr>
          <w:szCs w:val="22"/>
          <w:lang w:val="en-029"/>
        </w:rPr>
      </w:pPr>
      <w:r w:rsidRPr="000103AF" w:rsidR="00A4080A">
        <w:rPr>
          <w:szCs w:val="22"/>
          <w:lang w:val="en-029"/>
        </w:rPr>
        <w:t>Emil-Barell-Strasse 1</w:t>
      </w:r>
    </w:p>
    <w:p w:rsidR="008D43BD" w:rsidRPr="000103AF" w:rsidP="008D43BD">
      <w:pPr>
        <w:rPr>
          <w:szCs w:val="22"/>
          <w:lang w:val="en-029"/>
        </w:rPr>
      </w:pPr>
      <w:r w:rsidRPr="000103AF" w:rsidR="00A4080A">
        <w:rPr>
          <w:szCs w:val="22"/>
          <w:lang w:val="en-029"/>
        </w:rPr>
        <w:t>79639 Grenzach-Wyhlen</w:t>
      </w:r>
    </w:p>
    <w:p w:rsidR="008D43BD" w:rsidP="008D43BD">
      <w:pPr>
        <w:rPr>
          <w:szCs w:val="22"/>
        </w:rPr>
      </w:pPr>
      <w:r w:rsidRPr="007C6EE1" w:rsidR="00A4080A">
        <w:rPr>
          <w:szCs w:val="22"/>
        </w:rPr>
        <w:t>Germany</w:t>
      </w:r>
    </w:p>
    <w:p w:rsidR="008D43BD" w:rsidRPr="005F62B2" w:rsidP="008D43BD">
      <w:pPr>
        <w:rPr>
          <w:szCs w:val="22"/>
        </w:rPr>
      </w:pPr>
    </w:p>
    <w:p w:rsidR="008D43BD" w:rsidRPr="005F62B2" w:rsidP="008D43BD">
      <w:pPr>
        <w:keepNext/>
        <w:keepLines/>
        <w:rPr>
          <w:b/>
          <w:szCs w:val="22"/>
        </w:rPr>
      </w:pPr>
      <w:r w:rsidRPr="005F62B2" w:rsidR="00A4080A">
        <w:rPr>
          <w:b/>
          <w:szCs w:val="22"/>
        </w:rPr>
        <w:t>Manufacturer</w:t>
      </w:r>
    </w:p>
    <w:p w:rsidR="008D43BD" w:rsidRPr="000103AF" w:rsidP="008D43BD">
      <w:pPr>
        <w:keepNext/>
        <w:keepLines/>
        <w:rPr>
          <w:szCs w:val="22"/>
          <w:lang w:val="de-CH"/>
        </w:rPr>
      </w:pPr>
      <w:r w:rsidRPr="000103AF" w:rsidR="00A4080A">
        <w:rPr>
          <w:szCs w:val="22"/>
          <w:lang w:val="de-CH"/>
        </w:rPr>
        <w:t>Roche Pharma AG</w:t>
      </w:r>
    </w:p>
    <w:p w:rsidR="008D43BD" w:rsidRPr="0012606C" w:rsidP="008D43BD">
      <w:pPr>
        <w:rPr>
          <w:szCs w:val="22"/>
          <w:lang w:val="de-CH"/>
        </w:rPr>
      </w:pPr>
      <w:r w:rsidRPr="0012606C" w:rsidR="00A4080A">
        <w:rPr>
          <w:szCs w:val="22"/>
          <w:lang w:val="de-CH"/>
        </w:rPr>
        <w:t>Emil-Barell-Strasse 1</w:t>
      </w:r>
    </w:p>
    <w:p w:rsidR="008D43BD" w:rsidRPr="000103AF" w:rsidP="008D43BD">
      <w:pPr>
        <w:rPr>
          <w:szCs w:val="22"/>
          <w:lang w:val="en-029"/>
        </w:rPr>
      </w:pPr>
      <w:r w:rsidRPr="000103AF" w:rsidR="00A4080A">
        <w:rPr>
          <w:szCs w:val="22"/>
          <w:lang w:val="en-029"/>
        </w:rPr>
        <w:t>D-79639 Grenzach-Wyhlen</w:t>
      </w:r>
    </w:p>
    <w:p w:rsidR="008D43BD" w:rsidRPr="005F62B2" w:rsidP="008D43BD">
      <w:pPr>
        <w:rPr>
          <w:szCs w:val="22"/>
        </w:rPr>
      </w:pPr>
      <w:r w:rsidRPr="005F62B2" w:rsidR="00A4080A">
        <w:rPr>
          <w:szCs w:val="22"/>
        </w:rPr>
        <w:t>Germany</w:t>
      </w:r>
    </w:p>
    <w:p w:rsidR="008D43BD" w:rsidRPr="005F62B2" w:rsidP="008D43BD">
      <w:pPr>
        <w:rPr>
          <w:szCs w:val="22"/>
        </w:rPr>
      </w:pPr>
    </w:p>
    <w:p w:rsidR="008D43BD" w:rsidRPr="005F62B2" w:rsidP="008D43BD">
      <w:pPr>
        <w:keepNext/>
        <w:keepLines/>
        <w:rPr>
          <w:szCs w:val="22"/>
        </w:rPr>
      </w:pPr>
      <w:r w:rsidRPr="005F62B2" w:rsidR="00A4080A">
        <w:rPr>
          <w:szCs w:val="22"/>
        </w:rPr>
        <w:t>For any information about this medicine, please contact the local repr</w:t>
      </w:r>
      <w:r w:rsidRPr="005F62B2" w:rsidR="00A4080A">
        <w:rPr>
          <w:szCs w:val="22"/>
        </w:rPr>
        <w:t>esentative of the Marketing Authorisation Holder:</w:t>
      </w:r>
    </w:p>
    <w:p w:rsidR="008D43BD" w:rsidRPr="005F62B2" w:rsidP="008D43BD">
      <w:pPr>
        <w:keepNext/>
        <w:keepLines/>
        <w:rPr>
          <w:szCs w:val="22"/>
        </w:rPr>
      </w:pPr>
    </w:p>
    <w:tbl>
      <w:tblPr>
        <w:tblStyle w:val="TableNormal"/>
        <w:tblW w:w="0" w:type="auto"/>
        <w:tblLayout w:type="fixed"/>
        <w:tblLook w:val="0000"/>
      </w:tblPr>
      <w:tblGrid>
        <w:gridCol w:w="4590"/>
        <w:gridCol w:w="4590"/>
      </w:tblGrid>
      <w:tr w:rsidTr="008D43BD">
        <w:tblPrEx>
          <w:tblW w:w="0" w:type="auto"/>
          <w:tblLayout w:type="fixed"/>
          <w:tblLook w:val="0000"/>
        </w:tblPrEx>
        <w:trPr>
          <w:cantSplit/>
        </w:trPr>
        <w:tc>
          <w:tcPr>
            <w:tcW w:w="4590" w:type="dxa"/>
          </w:tcPr>
          <w:p w:rsidR="008D43BD" w:rsidRPr="005F62B2" w:rsidP="008D43BD">
            <w:pPr>
              <w:rPr>
                <w:szCs w:val="22"/>
                <w:lang w:val="fr-CH"/>
              </w:rPr>
            </w:pPr>
            <w:r w:rsidRPr="005F62B2" w:rsidR="00A4080A">
              <w:rPr>
                <w:b/>
                <w:szCs w:val="22"/>
                <w:lang w:val="fr-CH"/>
              </w:rPr>
              <w:t>België/Belgique/Belgien</w:t>
            </w:r>
          </w:p>
          <w:p w:rsidR="008D43BD" w:rsidRPr="005F62B2" w:rsidP="008D43BD">
            <w:pPr>
              <w:rPr>
                <w:szCs w:val="22"/>
                <w:lang w:val="fr-CH"/>
              </w:rPr>
            </w:pPr>
            <w:r w:rsidRPr="005F62B2" w:rsidR="00A4080A">
              <w:rPr>
                <w:szCs w:val="22"/>
                <w:lang w:val="fr-CH"/>
              </w:rPr>
              <w:t>N.V. Roche S.A.</w:t>
            </w:r>
          </w:p>
          <w:p w:rsidR="008D43BD" w:rsidRPr="005F62B2" w:rsidP="008D43BD">
            <w:pPr>
              <w:rPr>
                <w:szCs w:val="22"/>
                <w:lang w:val="fr-FR"/>
              </w:rPr>
            </w:pPr>
            <w:r w:rsidRPr="005F62B2" w:rsidR="00A4080A">
              <w:rPr>
                <w:szCs w:val="22"/>
                <w:lang w:val="fr-FR"/>
              </w:rPr>
              <w:t>Tél/Tel: +32 (0) 2 525 82 11</w:t>
            </w:r>
          </w:p>
          <w:p w:rsidR="008D43BD" w:rsidRPr="005F62B2" w:rsidP="008D43BD">
            <w:pPr>
              <w:autoSpaceDE w:val="0"/>
              <w:autoSpaceDN w:val="0"/>
              <w:adjustRightInd w:val="0"/>
              <w:rPr>
                <w:b/>
                <w:bCs/>
                <w:szCs w:val="22"/>
                <w:lang w:val="fr-FR"/>
              </w:rPr>
            </w:pPr>
          </w:p>
          <w:p w:rsidR="008D43BD" w:rsidRPr="005F62B2" w:rsidP="008D43BD">
            <w:pPr>
              <w:autoSpaceDE w:val="0"/>
              <w:autoSpaceDN w:val="0"/>
              <w:adjustRightInd w:val="0"/>
              <w:rPr>
                <w:b/>
                <w:bCs/>
                <w:szCs w:val="22"/>
                <w:lang w:val="fr-FR"/>
              </w:rPr>
            </w:pPr>
            <w:r w:rsidRPr="005F62B2" w:rsidR="00A4080A">
              <w:rPr>
                <w:b/>
                <w:bCs/>
                <w:szCs w:val="22"/>
              </w:rPr>
              <w:t>България</w:t>
            </w:r>
          </w:p>
          <w:p w:rsidR="008D43BD" w:rsidRPr="005F62B2" w:rsidP="008D43BD">
            <w:pPr>
              <w:suppressAutoHyphens/>
              <w:rPr>
                <w:szCs w:val="22"/>
                <w:lang w:val="fr-FR"/>
              </w:rPr>
            </w:pPr>
            <w:r w:rsidRPr="005F62B2" w:rsidR="00A4080A">
              <w:rPr>
                <w:szCs w:val="22"/>
              </w:rPr>
              <w:t>Рош</w:t>
            </w:r>
            <w:r w:rsidRPr="005F62B2" w:rsidR="00A4080A">
              <w:rPr>
                <w:szCs w:val="22"/>
                <w:lang w:val="fr-FR"/>
              </w:rPr>
              <w:t xml:space="preserve"> </w:t>
            </w:r>
            <w:r w:rsidRPr="005F62B2" w:rsidR="00A4080A">
              <w:rPr>
                <w:szCs w:val="22"/>
              </w:rPr>
              <w:t>България</w:t>
            </w:r>
            <w:r w:rsidRPr="005F62B2" w:rsidR="00A4080A">
              <w:rPr>
                <w:szCs w:val="22"/>
                <w:lang w:val="fr-FR"/>
              </w:rPr>
              <w:t xml:space="preserve"> </w:t>
            </w:r>
            <w:r w:rsidRPr="005F62B2" w:rsidR="00A4080A">
              <w:rPr>
                <w:szCs w:val="22"/>
              </w:rPr>
              <w:t>ЕООД</w:t>
            </w:r>
          </w:p>
          <w:p w:rsidR="008D43BD" w:rsidRPr="005F62B2" w:rsidP="008D43BD">
            <w:pPr>
              <w:suppressAutoHyphens/>
              <w:rPr>
                <w:szCs w:val="22"/>
                <w:lang w:val="fr-FR"/>
              </w:rPr>
            </w:pPr>
            <w:r w:rsidRPr="005F62B2" w:rsidR="00A4080A">
              <w:rPr>
                <w:szCs w:val="22"/>
              </w:rPr>
              <w:t>Тел</w:t>
            </w:r>
            <w:r w:rsidRPr="005F62B2" w:rsidR="00A4080A">
              <w:rPr>
                <w:szCs w:val="22"/>
                <w:lang w:val="fr-FR"/>
              </w:rPr>
              <w:t>: +359 2 818 44 44</w:t>
            </w:r>
          </w:p>
          <w:p w:rsidR="008D43BD" w:rsidRPr="005F62B2" w:rsidP="008D43BD">
            <w:pPr>
              <w:rPr>
                <w:b/>
                <w:szCs w:val="22"/>
                <w:lang w:val="fr-FR"/>
              </w:rPr>
            </w:pPr>
          </w:p>
        </w:tc>
        <w:tc>
          <w:tcPr>
            <w:tcW w:w="4590" w:type="dxa"/>
          </w:tcPr>
          <w:p w:rsidR="008D43BD" w:rsidRPr="005F62B2" w:rsidP="008D43BD">
            <w:pPr>
              <w:suppressAutoHyphens/>
              <w:rPr>
                <w:b/>
                <w:szCs w:val="22"/>
                <w:lang w:val="de-DE"/>
              </w:rPr>
            </w:pPr>
            <w:r w:rsidRPr="005F62B2" w:rsidR="00A4080A">
              <w:rPr>
                <w:b/>
                <w:szCs w:val="22"/>
                <w:lang w:val="de-DE"/>
              </w:rPr>
              <w:t>Lietuva</w:t>
            </w:r>
          </w:p>
          <w:p w:rsidR="008D43BD" w:rsidRPr="005F62B2" w:rsidP="008D43BD">
            <w:pPr>
              <w:suppressAutoHyphens/>
              <w:rPr>
                <w:szCs w:val="22"/>
                <w:lang w:val="de-DE"/>
              </w:rPr>
            </w:pPr>
            <w:r w:rsidRPr="005F62B2" w:rsidR="00A4080A">
              <w:rPr>
                <w:szCs w:val="22"/>
                <w:lang w:val="de-DE"/>
              </w:rPr>
              <w:t>UAB “Roche Lietuva”</w:t>
            </w:r>
          </w:p>
          <w:p w:rsidR="008D43BD" w:rsidRPr="005F62B2" w:rsidP="008D43BD">
            <w:pPr>
              <w:suppressAutoHyphens/>
              <w:rPr>
                <w:szCs w:val="22"/>
                <w:lang w:val="de-DE"/>
              </w:rPr>
            </w:pPr>
            <w:r w:rsidRPr="005F62B2" w:rsidR="00A4080A">
              <w:rPr>
                <w:szCs w:val="22"/>
                <w:lang w:val="de-DE"/>
              </w:rPr>
              <w:t>Tel: +370 5 2546799</w:t>
            </w:r>
          </w:p>
          <w:p w:rsidR="008D43BD" w:rsidRPr="005F62B2" w:rsidP="008D43BD">
            <w:pPr>
              <w:suppressAutoHyphens/>
              <w:rPr>
                <w:b/>
                <w:szCs w:val="22"/>
                <w:lang w:val="de-CH"/>
              </w:rPr>
            </w:pPr>
          </w:p>
          <w:p w:rsidR="008D43BD" w:rsidRPr="005F62B2" w:rsidP="008D43BD">
            <w:pPr>
              <w:suppressAutoHyphens/>
              <w:rPr>
                <w:szCs w:val="22"/>
                <w:lang w:val="de-CH"/>
              </w:rPr>
            </w:pPr>
            <w:r w:rsidRPr="005F62B2" w:rsidR="00A4080A">
              <w:rPr>
                <w:b/>
                <w:szCs w:val="22"/>
                <w:lang w:val="de-CH"/>
              </w:rPr>
              <w:t>Luxembourg/Luxemburg</w:t>
            </w:r>
          </w:p>
          <w:p w:rsidR="008D43BD" w:rsidRPr="005F62B2" w:rsidP="008D43BD">
            <w:pPr>
              <w:rPr>
                <w:szCs w:val="22"/>
                <w:lang w:val="de-CH"/>
              </w:rPr>
            </w:pPr>
            <w:r w:rsidRPr="005F62B2" w:rsidR="00A4080A">
              <w:rPr>
                <w:szCs w:val="22"/>
                <w:lang w:val="de-CH"/>
              </w:rPr>
              <w:t>(Voir/siehe Bel</w:t>
            </w:r>
            <w:r w:rsidRPr="005F62B2" w:rsidR="00A4080A">
              <w:rPr>
                <w:szCs w:val="22"/>
                <w:lang w:val="de-CH"/>
              </w:rPr>
              <w:t>gique/Belgien)</w:t>
            </w:r>
          </w:p>
          <w:p w:rsidR="008D43BD" w:rsidRPr="005F62B2" w:rsidP="008D43BD">
            <w:pPr>
              <w:suppressAutoHyphens/>
              <w:rPr>
                <w:b/>
                <w:szCs w:val="22"/>
                <w:lang w:val="de-CH"/>
              </w:rPr>
            </w:pPr>
          </w:p>
        </w:tc>
      </w:tr>
      <w:tr w:rsidTr="008D43BD">
        <w:tblPrEx>
          <w:tblW w:w="0" w:type="auto"/>
          <w:tblLayout w:type="fixed"/>
          <w:tblLook w:val="0000"/>
        </w:tblPrEx>
        <w:trPr>
          <w:cantSplit/>
        </w:trPr>
        <w:tc>
          <w:tcPr>
            <w:tcW w:w="4590" w:type="dxa"/>
          </w:tcPr>
          <w:p w:rsidR="008D43BD" w:rsidRPr="005F62B2" w:rsidP="008D43BD">
            <w:pPr>
              <w:rPr>
                <w:b/>
                <w:szCs w:val="22"/>
                <w:lang w:val="de-CH"/>
              </w:rPr>
            </w:pPr>
            <w:r w:rsidRPr="005F62B2" w:rsidR="00A4080A">
              <w:rPr>
                <w:b/>
                <w:szCs w:val="22"/>
                <w:lang w:val="de-CH"/>
              </w:rPr>
              <w:t>Česká republika</w:t>
            </w:r>
          </w:p>
          <w:p w:rsidR="008D43BD" w:rsidRPr="005F62B2" w:rsidP="008D43BD">
            <w:pPr>
              <w:rPr>
                <w:bCs/>
                <w:szCs w:val="22"/>
                <w:lang w:val="de-CH" w:eastAsia="en-US"/>
              </w:rPr>
            </w:pPr>
            <w:r w:rsidRPr="005F62B2" w:rsidR="00A4080A">
              <w:rPr>
                <w:bCs/>
                <w:szCs w:val="22"/>
                <w:lang w:val="de-CH" w:eastAsia="en-US"/>
              </w:rPr>
              <w:t>Roche s. r. o.</w:t>
            </w:r>
          </w:p>
          <w:p w:rsidR="008D43BD" w:rsidRPr="000103AF" w:rsidP="008D43BD">
            <w:pPr>
              <w:rPr>
                <w:szCs w:val="22"/>
                <w:lang w:val="de-CH"/>
              </w:rPr>
            </w:pPr>
            <w:r w:rsidRPr="000103AF" w:rsidR="00A4080A">
              <w:rPr>
                <w:szCs w:val="22"/>
                <w:lang w:val="de-CH"/>
              </w:rPr>
              <w:t>Tel: +420 - 2 20382111</w:t>
            </w:r>
          </w:p>
          <w:p w:rsidR="008D43BD" w:rsidRPr="005F62B2" w:rsidP="008D43BD">
            <w:pPr>
              <w:suppressAutoHyphens/>
              <w:rPr>
                <w:szCs w:val="22"/>
                <w:lang w:val="de-CH"/>
              </w:rPr>
            </w:pPr>
          </w:p>
        </w:tc>
        <w:tc>
          <w:tcPr>
            <w:tcW w:w="4590" w:type="dxa"/>
          </w:tcPr>
          <w:p w:rsidR="008D43BD" w:rsidRPr="0089231D" w:rsidP="008D43BD">
            <w:pPr>
              <w:rPr>
                <w:b/>
                <w:szCs w:val="22"/>
                <w:lang w:val="de-CH"/>
              </w:rPr>
            </w:pPr>
            <w:r w:rsidRPr="0089231D" w:rsidR="00A4080A">
              <w:rPr>
                <w:b/>
                <w:szCs w:val="22"/>
                <w:lang w:val="de-CH"/>
              </w:rPr>
              <w:t>Magyarország</w:t>
            </w:r>
          </w:p>
          <w:p w:rsidR="008D43BD" w:rsidRPr="0089231D" w:rsidP="008D43BD">
            <w:pPr>
              <w:rPr>
                <w:szCs w:val="22"/>
                <w:lang w:val="de-CH"/>
              </w:rPr>
            </w:pPr>
            <w:r w:rsidRPr="0089231D" w:rsidR="00A4080A">
              <w:rPr>
                <w:szCs w:val="22"/>
                <w:lang w:val="de-CH"/>
              </w:rPr>
              <w:t>Roche (Magyarország) Kft.</w:t>
            </w:r>
          </w:p>
          <w:p w:rsidR="008D43BD" w:rsidRPr="0089231D" w:rsidP="008D43BD">
            <w:pPr>
              <w:rPr>
                <w:szCs w:val="22"/>
                <w:lang w:val="de-CH"/>
              </w:rPr>
            </w:pPr>
            <w:r w:rsidRPr="0089231D" w:rsidR="00A4080A">
              <w:rPr>
                <w:szCs w:val="22"/>
                <w:lang w:val="de-CH"/>
              </w:rPr>
              <w:t>Tel: +36 - 23 446 800</w:t>
            </w:r>
          </w:p>
          <w:p w:rsidR="008D43BD" w:rsidRPr="0089231D" w:rsidP="008D43BD">
            <w:pPr>
              <w:rPr>
                <w:szCs w:val="22"/>
                <w:lang w:val="de-CH"/>
              </w:rPr>
            </w:pPr>
          </w:p>
        </w:tc>
      </w:tr>
      <w:tr w:rsidTr="008D43BD">
        <w:tblPrEx>
          <w:tblW w:w="0" w:type="auto"/>
          <w:tblLayout w:type="fixed"/>
          <w:tblLook w:val="0000"/>
        </w:tblPrEx>
        <w:trPr>
          <w:cantSplit/>
        </w:trPr>
        <w:tc>
          <w:tcPr>
            <w:tcW w:w="4590" w:type="dxa"/>
          </w:tcPr>
          <w:p w:rsidR="008D43BD" w:rsidRPr="005F62B2" w:rsidP="008D43BD">
            <w:pPr>
              <w:rPr>
                <w:szCs w:val="22"/>
              </w:rPr>
            </w:pPr>
            <w:r w:rsidRPr="005F62B2" w:rsidR="00A4080A">
              <w:rPr>
                <w:b/>
                <w:szCs w:val="22"/>
              </w:rPr>
              <w:t>Danmark</w:t>
            </w:r>
          </w:p>
          <w:p w:rsidR="008D43BD" w:rsidRPr="005F62B2" w:rsidP="008D43BD">
            <w:pPr>
              <w:rPr>
                <w:szCs w:val="22"/>
              </w:rPr>
            </w:pPr>
            <w:r w:rsidRPr="005F62B2" w:rsidR="00A4080A">
              <w:rPr>
                <w:szCs w:val="22"/>
              </w:rPr>
              <w:t>Roche a/s</w:t>
            </w:r>
          </w:p>
          <w:p w:rsidR="008D43BD" w:rsidRPr="005F62B2" w:rsidP="008D43BD">
            <w:pPr>
              <w:rPr>
                <w:szCs w:val="22"/>
              </w:rPr>
            </w:pPr>
            <w:r w:rsidRPr="005F62B2" w:rsidR="00A4080A">
              <w:rPr>
                <w:szCs w:val="22"/>
              </w:rPr>
              <w:t>Tlf: +45 - 36 39 99 99</w:t>
            </w:r>
          </w:p>
          <w:p w:rsidR="008D43BD" w:rsidRPr="005F62B2" w:rsidP="008D43BD">
            <w:pPr>
              <w:rPr>
                <w:szCs w:val="22"/>
              </w:rPr>
            </w:pPr>
          </w:p>
        </w:tc>
        <w:tc>
          <w:tcPr>
            <w:tcW w:w="4590" w:type="dxa"/>
          </w:tcPr>
          <w:p w:rsidR="008D43BD" w:rsidRPr="005F62B2" w:rsidP="008D43BD">
            <w:pPr>
              <w:rPr>
                <w:b/>
                <w:szCs w:val="22"/>
              </w:rPr>
            </w:pPr>
            <w:r w:rsidRPr="005F62B2" w:rsidR="00A4080A">
              <w:rPr>
                <w:b/>
                <w:szCs w:val="22"/>
              </w:rPr>
              <w:t>Malta</w:t>
            </w:r>
          </w:p>
          <w:p w:rsidR="008D43BD" w:rsidRPr="005F62B2" w:rsidP="008D43BD">
            <w:pPr>
              <w:autoSpaceDE w:val="0"/>
              <w:autoSpaceDN w:val="0"/>
              <w:adjustRightInd w:val="0"/>
              <w:rPr>
                <w:szCs w:val="22"/>
              </w:rPr>
            </w:pPr>
            <w:r w:rsidRPr="005F62B2" w:rsidR="00A4080A">
              <w:rPr>
                <w:szCs w:val="22"/>
              </w:rPr>
              <w:t>(See</w:t>
            </w:r>
            <w:r w:rsidR="00A4080A">
              <w:rPr>
                <w:szCs w:val="22"/>
              </w:rPr>
              <w:t xml:space="preserve"> </w:t>
            </w:r>
            <w:r w:rsidRPr="00174B40" w:rsidR="00A4080A">
              <w:rPr>
                <w:szCs w:val="22"/>
              </w:rPr>
              <w:t>Ireland</w:t>
            </w:r>
            <w:r w:rsidRPr="005F62B2" w:rsidR="00A4080A">
              <w:rPr>
                <w:szCs w:val="22"/>
              </w:rPr>
              <w:t>)</w:t>
            </w:r>
          </w:p>
        </w:tc>
      </w:tr>
      <w:tr w:rsidTr="008D43BD">
        <w:tblPrEx>
          <w:tblW w:w="0" w:type="auto"/>
          <w:tblLayout w:type="fixed"/>
          <w:tblLook w:val="0000"/>
        </w:tblPrEx>
        <w:trPr>
          <w:cantSplit/>
        </w:trPr>
        <w:tc>
          <w:tcPr>
            <w:tcW w:w="4590" w:type="dxa"/>
          </w:tcPr>
          <w:p w:rsidR="008D43BD" w:rsidRPr="005F62B2" w:rsidP="008D43BD">
            <w:pPr>
              <w:rPr>
                <w:szCs w:val="22"/>
                <w:lang w:val="de-CH"/>
              </w:rPr>
            </w:pPr>
            <w:r w:rsidRPr="005F62B2" w:rsidR="00A4080A">
              <w:rPr>
                <w:b/>
                <w:szCs w:val="22"/>
                <w:lang w:val="de-CH"/>
              </w:rPr>
              <w:t>Deutschland</w:t>
            </w:r>
          </w:p>
          <w:p w:rsidR="008D43BD" w:rsidRPr="005F62B2" w:rsidP="008D43BD">
            <w:pPr>
              <w:rPr>
                <w:szCs w:val="22"/>
                <w:lang w:val="de-CH"/>
              </w:rPr>
            </w:pPr>
            <w:r w:rsidRPr="005F62B2" w:rsidR="00A4080A">
              <w:rPr>
                <w:szCs w:val="22"/>
                <w:lang w:val="de-CH"/>
              </w:rPr>
              <w:t>Roche Pharma AG</w:t>
            </w:r>
          </w:p>
          <w:p w:rsidR="008D43BD" w:rsidRPr="005F62B2" w:rsidP="008D43BD">
            <w:pPr>
              <w:rPr>
                <w:szCs w:val="22"/>
                <w:lang w:val="de-CH"/>
              </w:rPr>
            </w:pPr>
            <w:r w:rsidRPr="005F62B2" w:rsidR="00A4080A">
              <w:rPr>
                <w:szCs w:val="22"/>
                <w:lang w:val="de-CH"/>
              </w:rPr>
              <w:t>Tel: +49 (0) 7624 140</w:t>
            </w:r>
          </w:p>
          <w:p w:rsidR="008D43BD" w:rsidRPr="005F62B2" w:rsidP="008D43BD">
            <w:pPr>
              <w:rPr>
                <w:b/>
                <w:szCs w:val="22"/>
                <w:lang w:val="de-DE"/>
              </w:rPr>
            </w:pPr>
          </w:p>
        </w:tc>
        <w:tc>
          <w:tcPr>
            <w:tcW w:w="4590" w:type="dxa"/>
          </w:tcPr>
          <w:p w:rsidR="008D43BD" w:rsidRPr="00837C32" w:rsidP="008D43BD">
            <w:pPr>
              <w:rPr>
                <w:szCs w:val="22"/>
                <w:lang w:val="de-CH"/>
              </w:rPr>
            </w:pPr>
            <w:r w:rsidRPr="00837C32" w:rsidR="00A4080A">
              <w:rPr>
                <w:b/>
                <w:szCs w:val="22"/>
                <w:lang w:val="de-CH"/>
              </w:rPr>
              <w:t>Nederla</w:t>
            </w:r>
            <w:r w:rsidRPr="00837C32" w:rsidR="00A4080A">
              <w:rPr>
                <w:b/>
                <w:szCs w:val="22"/>
                <w:lang w:val="de-CH"/>
              </w:rPr>
              <w:t>nd</w:t>
            </w:r>
          </w:p>
          <w:p w:rsidR="008D43BD" w:rsidRPr="00837C32" w:rsidP="008D43BD">
            <w:pPr>
              <w:rPr>
                <w:szCs w:val="22"/>
                <w:lang w:val="de-CH"/>
              </w:rPr>
            </w:pPr>
            <w:r w:rsidRPr="00837C32" w:rsidR="00A4080A">
              <w:rPr>
                <w:szCs w:val="22"/>
                <w:lang w:val="de-CH"/>
              </w:rPr>
              <w:t>Roche Nederland B.V.</w:t>
            </w:r>
          </w:p>
          <w:p w:rsidR="008D43BD" w:rsidRPr="005F62B2" w:rsidP="008D43BD">
            <w:pPr>
              <w:rPr>
                <w:szCs w:val="22"/>
              </w:rPr>
            </w:pPr>
            <w:r w:rsidRPr="005F62B2" w:rsidR="00A4080A">
              <w:rPr>
                <w:szCs w:val="22"/>
              </w:rPr>
              <w:t>Tel: +31 (</w:t>
            </w:r>
            <w:r w:rsidRPr="005F62B2" w:rsidR="00A4080A">
              <w:rPr>
                <w:snapToGrid w:val="0"/>
                <w:szCs w:val="22"/>
                <w:lang w:eastAsia="en-US"/>
              </w:rPr>
              <w:t>0) 348 438050</w:t>
            </w:r>
          </w:p>
          <w:p w:rsidR="008D43BD" w:rsidRPr="005F62B2" w:rsidP="008D43BD">
            <w:pPr>
              <w:rPr>
                <w:szCs w:val="22"/>
              </w:rPr>
            </w:pPr>
          </w:p>
        </w:tc>
      </w:tr>
      <w:tr w:rsidTr="008D43BD">
        <w:tblPrEx>
          <w:tblW w:w="0" w:type="auto"/>
          <w:tblLayout w:type="fixed"/>
          <w:tblLook w:val="0000"/>
        </w:tblPrEx>
        <w:trPr>
          <w:cantSplit/>
        </w:trPr>
        <w:tc>
          <w:tcPr>
            <w:tcW w:w="4590" w:type="dxa"/>
          </w:tcPr>
          <w:p w:rsidR="008D43BD" w:rsidRPr="000103AF" w:rsidP="008D43BD">
            <w:pPr>
              <w:rPr>
                <w:b/>
                <w:szCs w:val="22"/>
                <w:lang w:val="it-IT"/>
              </w:rPr>
            </w:pPr>
            <w:r w:rsidRPr="000103AF" w:rsidR="00A4080A">
              <w:rPr>
                <w:b/>
                <w:szCs w:val="22"/>
                <w:lang w:val="it-IT"/>
              </w:rPr>
              <w:t>Eesti</w:t>
            </w:r>
          </w:p>
          <w:p w:rsidR="008D43BD" w:rsidRPr="000103AF" w:rsidP="008D43BD">
            <w:pPr>
              <w:rPr>
                <w:szCs w:val="22"/>
                <w:lang w:val="it-IT"/>
              </w:rPr>
            </w:pPr>
            <w:r w:rsidRPr="000103AF" w:rsidR="00A4080A">
              <w:rPr>
                <w:bCs/>
                <w:szCs w:val="22"/>
                <w:lang w:val="it-IT"/>
              </w:rPr>
              <w:t>Roche Eesti OÜ</w:t>
            </w:r>
          </w:p>
          <w:p w:rsidR="008D43BD" w:rsidRPr="000103AF" w:rsidP="008D43BD">
            <w:pPr>
              <w:rPr>
                <w:szCs w:val="22"/>
                <w:lang w:val="it-IT"/>
              </w:rPr>
            </w:pPr>
            <w:r w:rsidRPr="000103AF" w:rsidR="00A4080A">
              <w:rPr>
                <w:szCs w:val="22"/>
                <w:lang w:val="it-IT"/>
              </w:rPr>
              <w:t>Tel: + 372 - 6 177 380</w:t>
            </w:r>
          </w:p>
          <w:p w:rsidR="008D43BD" w:rsidRPr="000103AF" w:rsidP="008D43BD">
            <w:pPr>
              <w:rPr>
                <w:b/>
                <w:szCs w:val="22"/>
                <w:lang w:val="it-IT"/>
              </w:rPr>
            </w:pPr>
          </w:p>
        </w:tc>
        <w:tc>
          <w:tcPr>
            <w:tcW w:w="4590" w:type="dxa"/>
          </w:tcPr>
          <w:p w:rsidR="008D43BD" w:rsidRPr="005F62B2" w:rsidP="008D43BD">
            <w:pPr>
              <w:rPr>
                <w:b/>
                <w:snapToGrid w:val="0"/>
                <w:szCs w:val="22"/>
              </w:rPr>
            </w:pPr>
            <w:r w:rsidRPr="005F62B2" w:rsidR="00A4080A">
              <w:rPr>
                <w:b/>
                <w:snapToGrid w:val="0"/>
                <w:szCs w:val="22"/>
              </w:rPr>
              <w:t>Norge</w:t>
            </w:r>
          </w:p>
          <w:p w:rsidR="008D43BD" w:rsidRPr="005F62B2" w:rsidP="008D43BD">
            <w:pPr>
              <w:rPr>
                <w:snapToGrid w:val="0"/>
                <w:szCs w:val="22"/>
              </w:rPr>
            </w:pPr>
            <w:r w:rsidRPr="005F62B2" w:rsidR="00A4080A">
              <w:rPr>
                <w:snapToGrid w:val="0"/>
                <w:szCs w:val="22"/>
              </w:rPr>
              <w:t>Roche Norge AS</w:t>
            </w:r>
          </w:p>
          <w:p w:rsidR="008D43BD" w:rsidRPr="005F62B2" w:rsidP="008D43BD">
            <w:pPr>
              <w:rPr>
                <w:szCs w:val="22"/>
              </w:rPr>
            </w:pPr>
            <w:r w:rsidRPr="005F62B2" w:rsidR="00A4080A">
              <w:rPr>
                <w:snapToGrid w:val="0"/>
                <w:szCs w:val="22"/>
              </w:rPr>
              <w:t>Tlf: +47 - 22 78 90 00</w:t>
            </w:r>
          </w:p>
          <w:p w:rsidR="008D43BD" w:rsidRPr="005F62B2" w:rsidP="008D43BD">
            <w:pPr>
              <w:rPr>
                <w:szCs w:val="22"/>
              </w:rPr>
            </w:pPr>
          </w:p>
        </w:tc>
      </w:tr>
      <w:tr w:rsidTr="008D43BD">
        <w:tblPrEx>
          <w:tblW w:w="0" w:type="auto"/>
          <w:tblLayout w:type="fixed"/>
          <w:tblLook w:val="0000"/>
        </w:tblPrEx>
        <w:trPr>
          <w:cantSplit/>
        </w:trPr>
        <w:tc>
          <w:tcPr>
            <w:tcW w:w="4590" w:type="dxa"/>
          </w:tcPr>
          <w:p w:rsidR="008D43BD" w:rsidRPr="005F62B2" w:rsidP="008D43BD">
            <w:pPr>
              <w:rPr>
                <w:szCs w:val="22"/>
              </w:rPr>
            </w:pPr>
            <w:r w:rsidRPr="005F62B2" w:rsidR="00A4080A">
              <w:rPr>
                <w:b/>
                <w:szCs w:val="22"/>
              </w:rPr>
              <w:t>Ελλάδα</w:t>
            </w:r>
          </w:p>
          <w:p w:rsidR="008D43BD" w:rsidRPr="005F62B2" w:rsidP="008D43BD">
            <w:pPr>
              <w:rPr>
                <w:szCs w:val="22"/>
              </w:rPr>
            </w:pPr>
            <w:r w:rsidRPr="005F62B2" w:rsidR="00A4080A">
              <w:rPr>
                <w:szCs w:val="22"/>
              </w:rPr>
              <w:t xml:space="preserve">Roche (Hellas) A.E. </w:t>
            </w:r>
          </w:p>
          <w:p w:rsidR="008D43BD" w:rsidRPr="005F62B2" w:rsidP="008D43BD">
            <w:pPr>
              <w:rPr>
                <w:szCs w:val="22"/>
              </w:rPr>
            </w:pPr>
            <w:r w:rsidRPr="005F62B2" w:rsidR="00A4080A">
              <w:rPr>
                <w:szCs w:val="22"/>
              </w:rPr>
              <w:t>Τηλ: +30 210 61 66 100</w:t>
            </w:r>
          </w:p>
          <w:p w:rsidR="008D43BD" w:rsidRPr="005F62B2" w:rsidP="008D43BD">
            <w:pPr>
              <w:rPr>
                <w:szCs w:val="22"/>
              </w:rPr>
            </w:pPr>
          </w:p>
        </w:tc>
        <w:tc>
          <w:tcPr>
            <w:tcW w:w="4590" w:type="dxa"/>
          </w:tcPr>
          <w:p w:rsidR="008D43BD" w:rsidRPr="005F62B2" w:rsidP="008D43BD">
            <w:pPr>
              <w:rPr>
                <w:szCs w:val="22"/>
                <w:lang w:val="de-CH"/>
              </w:rPr>
            </w:pPr>
            <w:r w:rsidRPr="005F62B2" w:rsidR="00A4080A">
              <w:rPr>
                <w:b/>
                <w:szCs w:val="22"/>
                <w:lang w:val="de-CH"/>
              </w:rPr>
              <w:t>Österreich</w:t>
            </w:r>
          </w:p>
          <w:p w:rsidR="008D43BD" w:rsidRPr="005F62B2" w:rsidP="008D43BD">
            <w:pPr>
              <w:rPr>
                <w:szCs w:val="22"/>
                <w:lang w:val="de-CH"/>
              </w:rPr>
            </w:pPr>
            <w:r w:rsidRPr="005F62B2" w:rsidR="00A4080A">
              <w:rPr>
                <w:szCs w:val="22"/>
                <w:lang w:val="de-CH"/>
              </w:rPr>
              <w:t>Roche Austria GmbH</w:t>
            </w:r>
          </w:p>
          <w:p w:rsidR="008D43BD" w:rsidRPr="005F62B2" w:rsidP="008D43BD">
            <w:pPr>
              <w:rPr>
                <w:szCs w:val="22"/>
                <w:lang w:val="de-CH"/>
              </w:rPr>
            </w:pPr>
            <w:r w:rsidRPr="005F62B2" w:rsidR="00A4080A">
              <w:rPr>
                <w:szCs w:val="22"/>
                <w:lang w:val="de-CH"/>
              </w:rPr>
              <w:t>Tel: +43 (0) 1 27739</w:t>
            </w:r>
          </w:p>
          <w:p w:rsidR="008D43BD" w:rsidRPr="005F62B2" w:rsidP="008D43BD">
            <w:pPr>
              <w:rPr>
                <w:szCs w:val="22"/>
                <w:lang w:val="de-CH"/>
              </w:rPr>
            </w:pPr>
          </w:p>
        </w:tc>
      </w:tr>
      <w:tr w:rsidTr="008D43BD">
        <w:tblPrEx>
          <w:tblW w:w="0" w:type="auto"/>
          <w:tblLayout w:type="fixed"/>
          <w:tblLook w:val="0000"/>
        </w:tblPrEx>
        <w:trPr>
          <w:cantSplit/>
        </w:trPr>
        <w:tc>
          <w:tcPr>
            <w:tcW w:w="4590" w:type="dxa"/>
          </w:tcPr>
          <w:p w:rsidR="008D43BD" w:rsidRPr="005F62B2" w:rsidP="008D43BD">
            <w:pPr>
              <w:rPr>
                <w:b/>
                <w:szCs w:val="22"/>
                <w:lang w:val="es-ES"/>
              </w:rPr>
            </w:pPr>
            <w:r w:rsidRPr="005F62B2" w:rsidR="00A4080A">
              <w:rPr>
                <w:b/>
                <w:szCs w:val="22"/>
                <w:lang w:val="es-ES"/>
              </w:rPr>
              <w:t>España</w:t>
            </w:r>
          </w:p>
          <w:p w:rsidR="008D43BD" w:rsidRPr="005F62B2" w:rsidP="008D43BD">
            <w:pPr>
              <w:rPr>
                <w:szCs w:val="22"/>
                <w:lang w:val="es-ES"/>
              </w:rPr>
            </w:pPr>
            <w:r w:rsidRPr="005F62B2" w:rsidR="00A4080A">
              <w:rPr>
                <w:szCs w:val="22"/>
                <w:lang w:val="es-ES"/>
              </w:rPr>
              <w:t>Roc</w:t>
            </w:r>
            <w:r w:rsidRPr="005F62B2" w:rsidR="00A4080A">
              <w:rPr>
                <w:szCs w:val="22"/>
                <w:lang w:val="es-ES"/>
              </w:rPr>
              <w:t>he Farma S.A.</w:t>
            </w:r>
          </w:p>
          <w:p w:rsidR="008D43BD" w:rsidRPr="005F62B2" w:rsidP="008D43BD">
            <w:pPr>
              <w:rPr>
                <w:szCs w:val="22"/>
              </w:rPr>
            </w:pPr>
            <w:r w:rsidRPr="005F62B2" w:rsidR="00A4080A">
              <w:rPr>
                <w:szCs w:val="22"/>
              </w:rPr>
              <w:t>Tel: +34 - 91 324 81 00</w:t>
            </w:r>
          </w:p>
          <w:p w:rsidR="008D43BD" w:rsidRPr="005F62B2" w:rsidP="008D43BD">
            <w:pPr>
              <w:rPr>
                <w:szCs w:val="22"/>
              </w:rPr>
            </w:pPr>
          </w:p>
        </w:tc>
        <w:tc>
          <w:tcPr>
            <w:tcW w:w="4590" w:type="dxa"/>
          </w:tcPr>
          <w:p w:rsidR="008D43BD" w:rsidRPr="00735792" w:rsidP="008D43BD">
            <w:pPr>
              <w:rPr>
                <w:b/>
                <w:szCs w:val="22"/>
              </w:rPr>
            </w:pPr>
            <w:r w:rsidRPr="00735792" w:rsidR="00A4080A">
              <w:rPr>
                <w:b/>
                <w:szCs w:val="22"/>
              </w:rPr>
              <w:t>Polska</w:t>
            </w:r>
          </w:p>
          <w:p w:rsidR="008D43BD" w:rsidRPr="00735792" w:rsidP="008D43BD">
            <w:pPr>
              <w:rPr>
                <w:szCs w:val="22"/>
              </w:rPr>
            </w:pPr>
            <w:r w:rsidRPr="00735792" w:rsidR="00A4080A">
              <w:rPr>
                <w:szCs w:val="22"/>
              </w:rPr>
              <w:t>Roche Polska Sp.z o.o.</w:t>
            </w:r>
          </w:p>
          <w:p w:rsidR="008D43BD" w:rsidRPr="005F62B2" w:rsidP="008D43BD">
            <w:pPr>
              <w:rPr>
                <w:szCs w:val="22"/>
              </w:rPr>
            </w:pPr>
            <w:r w:rsidRPr="005F62B2" w:rsidR="00A4080A">
              <w:rPr>
                <w:szCs w:val="22"/>
              </w:rPr>
              <w:t>Tel: +48 - 22 345 18 88</w:t>
            </w:r>
          </w:p>
          <w:p w:rsidR="008D43BD" w:rsidRPr="005F62B2" w:rsidP="008D43BD">
            <w:pPr>
              <w:rPr>
                <w:szCs w:val="22"/>
              </w:rPr>
            </w:pPr>
          </w:p>
        </w:tc>
      </w:tr>
      <w:tr w:rsidTr="008D43BD">
        <w:tblPrEx>
          <w:tblW w:w="0" w:type="auto"/>
          <w:tblLayout w:type="fixed"/>
          <w:tblLook w:val="0000"/>
        </w:tblPrEx>
        <w:trPr>
          <w:cantSplit/>
        </w:trPr>
        <w:tc>
          <w:tcPr>
            <w:tcW w:w="4590" w:type="dxa"/>
          </w:tcPr>
          <w:p w:rsidR="008D43BD" w:rsidRPr="005F62B2" w:rsidP="008D43BD">
            <w:pPr>
              <w:rPr>
                <w:szCs w:val="22"/>
              </w:rPr>
            </w:pPr>
            <w:r w:rsidRPr="005F62B2" w:rsidR="00A4080A">
              <w:rPr>
                <w:b/>
                <w:szCs w:val="22"/>
              </w:rPr>
              <w:t>France</w:t>
            </w:r>
          </w:p>
          <w:p w:rsidR="008D43BD" w:rsidRPr="005F62B2" w:rsidP="008D43BD">
            <w:pPr>
              <w:rPr>
                <w:szCs w:val="22"/>
              </w:rPr>
            </w:pPr>
            <w:r w:rsidRPr="005F62B2" w:rsidR="00A4080A">
              <w:rPr>
                <w:szCs w:val="22"/>
              </w:rPr>
              <w:t>Roche</w:t>
            </w:r>
          </w:p>
          <w:p w:rsidR="008D43BD" w:rsidRPr="005F62B2" w:rsidP="008D43BD">
            <w:pPr>
              <w:rPr>
                <w:szCs w:val="22"/>
              </w:rPr>
            </w:pPr>
            <w:r w:rsidRPr="005F62B2" w:rsidR="00A4080A">
              <w:rPr>
                <w:szCs w:val="22"/>
              </w:rPr>
              <w:t>Tél: +33 (0)1 47 61 40 00</w:t>
            </w:r>
          </w:p>
          <w:p w:rsidR="008D43BD" w:rsidRPr="005F62B2" w:rsidP="008D43BD">
            <w:pPr>
              <w:rPr>
                <w:szCs w:val="22"/>
              </w:rPr>
            </w:pPr>
          </w:p>
        </w:tc>
        <w:tc>
          <w:tcPr>
            <w:tcW w:w="4590" w:type="dxa"/>
          </w:tcPr>
          <w:p w:rsidR="008D43BD" w:rsidRPr="000103AF" w:rsidP="008D43BD">
            <w:pPr>
              <w:rPr>
                <w:szCs w:val="22"/>
                <w:lang w:val="pt-BR"/>
              </w:rPr>
            </w:pPr>
            <w:r w:rsidRPr="000103AF" w:rsidR="00A4080A">
              <w:rPr>
                <w:b/>
                <w:szCs w:val="22"/>
                <w:lang w:val="pt-BR"/>
              </w:rPr>
              <w:t>Portugal</w:t>
            </w:r>
          </w:p>
          <w:p w:rsidR="008D43BD" w:rsidRPr="000103AF" w:rsidP="008D43BD">
            <w:pPr>
              <w:rPr>
                <w:szCs w:val="22"/>
                <w:lang w:val="pt-BR"/>
              </w:rPr>
            </w:pPr>
            <w:r w:rsidRPr="000103AF" w:rsidR="00A4080A">
              <w:rPr>
                <w:szCs w:val="22"/>
                <w:lang w:val="pt-BR"/>
              </w:rPr>
              <w:t>Roche Farmacêutica Química, Lda</w:t>
            </w:r>
          </w:p>
          <w:p w:rsidR="008D43BD" w:rsidRPr="000103AF" w:rsidP="008D43BD">
            <w:pPr>
              <w:rPr>
                <w:szCs w:val="22"/>
                <w:lang w:val="pt-BR"/>
              </w:rPr>
            </w:pPr>
            <w:r w:rsidRPr="000103AF" w:rsidR="00A4080A">
              <w:rPr>
                <w:szCs w:val="22"/>
                <w:lang w:val="pt-BR"/>
              </w:rPr>
              <w:t>Tel: +351 - 21 425 70 00</w:t>
            </w:r>
          </w:p>
          <w:p w:rsidR="008D43BD" w:rsidRPr="000103AF" w:rsidP="008D43BD">
            <w:pPr>
              <w:rPr>
                <w:szCs w:val="22"/>
                <w:lang w:val="pt-BR"/>
              </w:rPr>
            </w:pPr>
          </w:p>
        </w:tc>
      </w:tr>
      <w:tr w:rsidTr="008D43BD">
        <w:tblPrEx>
          <w:tblW w:w="0" w:type="auto"/>
          <w:tblLayout w:type="fixed"/>
          <w:tblLook w:val="0000"/>
        </w:tblPrEx>
        <w:trPr>
          <w:cantSplit/>
        </w:trPr>
        <w:tc>
          <w:tcPr>
            <w:tcW w:w="4590" w:type="dxa"/>
          </w:tcPr>
          <w:p w:rsidR="008D43BD" w:rsidRPr="005F62B2" w:rsidP="008D43BD">
            <w:pPr>
              <w:rPr>
                <w:szCs w:val="22"/>
                <w:lang w:val="de-CH"/>
              </w:rPr>
            </w:pPr>
            <w:r w:rsidRPr="005F62B2" w:rsidR="00A4080A">
              <w:rPr>
                <w:b/>
                <w:szCs w:val="22"/>
                <w:lang w:val="de-CH"/>
              </w:rPr>
              <w:t>Hrvatska</w:t>
            </w:r>
          </w:p>
          <w:p w:rsidR="008D43BD" w:rsidRPr="005F62B2" w:rsidP="008D43BD">
            <w:pPr>
              <w:rPr>
                <w:szCs w:val="22"/>
                <w:lang w:val="de-CH"/>
              </w:rPr>
            </w:pPr>
            <w:r w:rsidRPr="005F62B2" w:rsidR="00A4080A">
              <w:rPr>
                <w:szCs w:val="22"/>
                <w:lang w:val="de-CH"/>
              </w:rPr>
              <w:t>Roche d.o.o</w:t>
            </w:r>
          </w:p>
          <w:p w:rsidR="008D43BD" w:rsidRPr="005F62B2" w:rsidP="008D43BD">
            <w:pPr>
              <w:rPr>
                <w:b/>
                <w:szCs w:val="22"/>
                <w:lang w:val="de-DE"/>
              </w:rPr>
            </w:pPr>
            <w:r w:rsidRPr="005F62B2" w:rsidR="00A4080A">
              <w:rPr>
                <w:szCs w:val="22"/>
                <w:lang w:val="de-CH"/>
              </w:rPr>
              <w:t>Tel:  +385 1 4722 333</w:t>
            </w:r>
          </w:p>
        </w:tc>
        <w:tc>
          <w:tcPr>
            <w:tcW w:w="4590" w:type="dxa"/>
          </w:tcPr>
          <w:p w:rsidR="008D43BD" w:rsidRPr="000103AF" w:rsidP="008D43BD">
            <w:pPr>
              <w:tabs>
                <w:tab w:val="left" w:pos="-720"/>
                <w:tab w:val="left" w:pos="567"/>
                <w:tab w:val="left" w:pos="4536"/>
              </w:tabs>
              <w:suppressAutoHyphens/>
              <w:spacing w:line="260" w:lineRule="exact"/>
              <w:rPr>
                <w:b/>
                <w:szCs w:val="22"/>
                <w:lang w:val="it-IT" w:eastAsia="en-US"/>
              </w:rPr>
            </w:pPr>
            <w:r w:rsidRPr="000103AF" w:rsidR="00A4080A">
              <w:rPr>
                <w:b/>
                <w:szCs w:val="22"/>
                <w:lang w:val="it-IT" w:eastAsia="en-US"/>
              </w:rPr>
              <w:t>România</w:t>
            </w:r>
          </w:p>
          <w:p w:rsidR="008D43BD" w:rsidRPr="000103AF" w:rsidP="008D43BD">
            <w:pPr>
              <w:tabs>
                <w:tab w:val="left" w:pos="-720"/>
                <w:tab w:val="left" w:pos="4536"/>
              </w:tabs>
              <w:suppressAutoHyphens/>
              <w:rPr>
                <w:szCs w:val="22"/>
                <w:lang w:val="it-IT"/>
              </w:rPr>
            </w:pPr>
            <w:r w:rsidRPr="000103AF" w:rsidR="00A4080A">
              <w:rPr>
                <w:szCs w:val="22"/>
                <w:lang w:val="it-IT"/>
              </w:rPr>
              <w:t>Roche România S.R.L.</w:t>
            </w:r>
          </w:p>
          <w:p w:rsidR="008D43BD" w:rsidRPr="005F62B2" w:rsidP="008D43BD">
            <w:pPr>
              <w:tabs>
                <w:tab w:val="left" w:pos="-720"/>
                <w:tab w:val="left" w:pos="4536"/>
              </w:tabs>
              <w:suppressAutoHyphens/>
              <w:rPr>
                <w:szCs w:val="22"/>
              </w:rPr>
            </w:pPr>
            <w:r w:rsidRPr="005F62B2" w:rsidR="00A4080A">
              <w:rPr>
                <w:szCs w:val="22"/>
              </w:rPr>
              <w:t>Tel: +40 21 206 47 01</w:t>
            </w:r>
          </w:p>
          <w:p w:rsidR="008D43BD" w:rsidRPr="005F62B2" w:rsidP="008D43BD">
            <w:pPr>
              <w:tabs>
                <w:tab w:val="left" w:pos="-720"/>
                <w:tab w:val="left" w:pos="4536"/>
              </w:tabs>
              <w:suppressAutoHyphens/>
              <w:rPr>
                <w:szCs w:val="22"/>
              </w:rPr>
            </w:pPr>
          </w:p>
        </w:tc>
      </w:tr>
      <w:tr w:rsidTr="008D43BD">
        <w:tblPrEx>
          <w:tblW w:w="0" w:type="auto"/>
          <w:tblLayout w:type="fixed"/>
          <w:tblLook w:val="0000"/>
        </w:tblPrEx>
        <w:trPr>
          <w:cantSplit/>
        </w:trPr>
        <w:tc>
          <w:tcPr>
            <w:tcW w:w="4590" w:type="dxa"/>
          </w:tcPr>
          <w:p w:rsidR="008D43BD" w:rsidRPr="005F62B2" w:rsidP="008D43BD">
            <w:pPr>
              <w:rPr>
                <w:b/>
                <w:szCs w:val="22"/>
              </w:rPr>
            </w:pPr>
            <w:r w:rsidRPr="005F62B2" w:rsidR="00A4080A">
              <w:rPr>
                <w:b/>
                <w:szCs w:val="22"/>
              </w:rPr>
              <w:t>Ireland</w:t>
            </w:r>
          </w:p>
          <w:p w:rsidR="008D43BD" w:rsidRPr="005F62B2" w:rsidP="008D43BD">
            <w:pPr>
              <w:rPr>
                <w:szCs w:val="22"/>
              </w:rPr>
            </w:pPr>
            <w:r w:rsidRPr="005F62B2" w:rsidR="00A4080A">
              <w:rPr>
                <w:szCs w:val="22"/>
              </w:rPr>
              <w:t>Roche Products (Ireland) Ltd.</w:t>
            </w:r>
          </w:p>
          <w:p w:rsidR="008D43BD" w:rsidRPr="005F62B2" w:rsidP="008D43BD">
            <w:pPr>
              <w:rPr>
                <w:szCs w:val="22"/>
              </w:rPr>
            </w:pPr>
            <w:r w:rsidRPr="005F62B2" w:rsidR="00A4080A">
              <w:rPr>
                <w:szCs w:val="22"/>
              </w:rPr>
              <w:t>Tel: +353 (0) 1 469 0700</w:t>
            </w:r>
          </w:p>
          <w:p w:rsidR="008D43BD" w:rsidRPr="005F62B2" w:rsidP="008D43BD">
            <w:pPr>
              <w:rPr>
                <w:szCs w:val="22"/>
              </w:rPr>
            </w:pPr>
          </w:p>
        </w:tc>
        <w:tc>
          <w:tcPr>
            <w:tcW w:w="4590" w:type="dxa"/>
          </w:tcPr>
          <w:p w:rsidR="008D43BD" w:rsidRPr="005F62B2" w:rsidP="008D43BD">
            <w:pPr>
              <w:rPr>
                <w:b/>
                <w:szCs w:val="22"/>
              </w:rPr>
            </w:pPr>
            <w:r w:rsidRPr="005F62B2" w:rsidR="00A4080A">
              <w:rPr>
                <w:b/>
                <w:szCs w:val="22"/>
              </w:rPr>
              <w:t>Slovenija</w:t>
            </w:r>
          </w:p>
          <w:p w:rsidR="008D43BD" w:rsidRPr="005F62B2" w:rsidP="008D43BD">
            <w:pPr>
              <w:rPr>
                <w:szCs w:val="22"/>
              </w:rPr>
            </w:pPr>
            <w:r w:rsidRPr="005F62B2" w:rsidR="00A4080A">
              <w:rPr>
                <w:szCs w:val="22"/>
              </w:rPr>
              <w:t>Roche farmacevtska družba d.o.o.</w:t>
            </w:r>
          </w:p>
          <w:p w:rsidR="008D43BD" w:rsidRPr="005F62B2" w:rsidP="008D43BD">
            <w:pPr>
              <w:rPr>
                <w:rFonts w:eastAsia="MS Mincho"/>
                <w:szCs w:val="22"/>
              </w:rPr>
            </w:pPr>
            <w:r w:rsidRPr="005F62B2" w:rsidR="00A4080A">
              <w:rPr>
                <w:rFonts w:eastAsia="MS Mincho"/>
                <w:szCs w:val="22"/>
              </w:rPr>
              <w:t>Tel: +386 - 1 360 26 00</w:t>
            </w:r>
          </w:p>
          <w:p w:rsidR="008D43BD" w:rsidRPr="005F62B2" w:rsidP="008D43BD">
            <w:pPr>
              <w:rPr>
                <w:szCs w:val="22"/>
              </w:rPr>
            </w:pPr>
          </w:p>
        </w:tc>
      </w:tr>
      <w:tr w:rsidTr="008D43BD">
        <w:tblPrEx>
          <w:tblW w:w="0" w:type="auto"/>
          <w:tblLayout w:type="fixed"/>
          <w:tblLook w:val="0000"/>
        </w:tblPrEx>
        <w:trPr>
          <w:cantSplit/>
        </w:trPr>
        <w:tc>
          <w:tcPr>
            <w:tcW w:w="4590" w:type="dxa"/>
          </w:tcPr>
          <w:p w:rsidR="008D43BD" w:rsidRPr="000103AF" w:rsidP="008D43BD">
            <w:pPr>
              <w:tabs>
                <w:tab w:val="left" w:pos="720"/>
              </w:tabs>
              <w:rPr>
                <w:b/>
                <w:snapToGrid w:val="0"/>
                <w:szCs w:val="22"/>
                <w:lang w:val="pt-BR"/>
              </w:rPr>
            </w:pPr>
            <w:r w:rsidRPr="000103AF" w:rsidR="00A4080A">
              <w:rPr>
                <w:b/>
                <w:snapToGrid w:val="0"/>
                <w:szCs w:val="22"/>
                <w:lang w:val="pt-BR"/>
              </w:rPr>
              <w:t xml:space="preserve">Ísland </w:t>
            </w:r>
          </w:p>
          <w:p w:rsidR="008D43BD" w:rsidRPr="000103AF" w:rsidP="008D43BD">
            <w:pPr>
              <w:tabs>
                <w:tab w:val="left" w:pos="720"/>
              </w:tabs>
              <w:rPr>
                <w:snapToGrid w:val="0"/>
                <w:szCs w:val="22"/>
                <w:lang w:val="pt-BR"/>
              </w:rPr>
            </w:pPr>
            <w:r w:rsidRPr="000103AF" w:rsidR="00A4080A">
              <w:rPr>
                <w:snapToGrid w:val="0"/>
                <w:szCs w:val="22"/>
                <w:lang w:val="pt-BR"/>
              </w:rPr>
              <w:t>Roche a/s</w:t>
            </w:r>
          </w:p>
          <w:p w:rsidR="008D43BD" w:rsidRPr="000103AF" w:rsidP="008D43BD">
            <w:pPr>
              <w:tabs>
                <w:tab w:val="left" w:pos="720"/>
              </w:tabs>
              <w:rPr>
                <w:snapToGrid w:val="0"/>
                <w:szCs w:val="22"/>
                <w:lang w:val="pt-BR"/>
              </w:rPr>
            </w:pPr>
            <w:r w:rsidRPr="000103AF" w:rsidR="00A4080A">
              <w:rPr>
                <w:szCs w:val="22"/>
                <w:lang w:val="pt-BR" w:eastAsia="en-US"/>
              </w:rPr>
              <w:t>c/o Icepharma hf</w:t>
            </w:r>
          </w:p>
          <w:p w:rsidR="008D43BD" w:rsidRPr="000103AF" w:rsidP="008D43BD">
            <w:pPr>
              <w:rPr>
                <w:snapToGrid w:val="0"/>
                <w:szCs w:val="22"/>
                <w:lang w:val="pt-BR"/>
              </w:rPr>
            </w:pPr>
            <w:r w:rsidRPr="000103AF" w:rsidR="00A4080A">
              <w:rPr>
                <w:szCs w:val="22"/>
                <w:lang w:val="pt-BR"/>
              </w:rPr>
              <w:t>Sími</w:t>
            </w:r>
            <w:r w:rsidRPr="000103AF" w:rsidR="00A4080A">
              <w:rPr>
                <w:snapToGrid w:val="0"/>
                <w:szCs w:val="22"/>
                <w:lang w:val="pt-BR"/>
              </w:rPr>
              <w:t>: +354 540 8000</w:t>
            </w:r>
          </w:p>
          <w:p w:rsidR="008D43BD" w:rsidRPr="000103AF" w:rsidP="008D43BD">
            <w:pPr>
              <w:tabs>
                <w:tab w:val="left" w:pos="720"/>
              </w:tabs>
              <w:autoSpaceDE w:val="0"/>
              <w:autoSpaceDN w:val="0"/>
              <w:adjustRightInd w:val="0"/>
              <w:rPr>
                <w:b/>
                <w:szCs w:val="22"/>
                <w:lang w:val="pt-BR"/>
              </w:rPr>
            </w:pPr>
          </w:p>
        </w:tc>
        <w:tc>
          <w:tcPr>
            <w:tcW w:w="4590" w:type="dxa"/>
          </w:tcPr>
          <w:p w:rsidR="008D43BD" w:rsidRPr="000103AF" w:rsidP="008D43BD">
            <w:pPr>
              <w:rPr>
                <w:b/>
                <w:szCs w:val="22"/>
                <w:lang w:val="it-IT"/>
              </w:rPr>
            </w:pPr>
            <w:r w:rsidRPr="000103AF" w:rsidR="00A4080A">
              <w:rPr>
                <w:b/>
                <w:szCs w:val="22"/>
                <w:lang w:val="it-IT"/>
              </w:rPr>
              <w:t xml:space="preserve">Slovenská republika </w:t>
            </w:r>
          </w:p>
          <w:p w:rsidR="008D43BD" w:rsidRPr="000103AF" w:rsidP="008D43BD">
            <w:pPr>
              <w:rPr>
                <w:szCs w:val="22"/>
                <w:lang w:val="it-IT"/>
              </w:rPr>
            </w:pPr>
            <w:r w:rsidRPr="000103AF" w:rsidR="00A4080A">
              <w:rPr>
                <w:szCs w:val="22"/>
                <w:lang w:val="it-IT"/>
              </w:rPr>
              <w:t>Roche Slovensko, s.r.o.</w:t>
            </w:r>
          </w:p>
          <w:p w:rsidR="008D43BD" w:rsidRPr="005F62B2" w:rsidP="008D43BD">
            <w:pPr>
              <w:rPr>
                <w:szCs w:val="22"/>
              </w:rPr>
            </w:pPr>
            <w:r w:rsidRPr="005F62B2" w:rsidR="00A4080A">
              <w:rPr>
                <w:szCs w:val="22"/>
              </w:rPr>
              <w:t>Tel: +421 - 2 52638201</w:t>
            </w:r>
          </w:p>
          <w:p w:rsidR="008D43BD" w:rsidRPr="005F62B2" w:rsidP="008D43BD">
            <w:pPr>
              <w:rPr>
                <w:b/>
                <w:szCs w:val="22"/>
              </w:rPr>
            </w:pPr>
          </w:p>
        </w:tc>
      </w:tr>
      <w:tr w:rsidTr="008D43BD">
        <w:tblPrEx>
          <w:tblW w:w="0" w:type="auto"/>
          <w:tblLayout w:type="fixed"/>
          <w:tblLook w:val="0000"/>
        </w:tblPrEx>
        <w:trPr>
          <w:cantSplit/>
        </w:trPr>
        <w:tc>
          <w:tcPr>
            <w:tcW w:w="4590" w:type="dxa"/>
          </w:tcPr>
          <w:p w:rsidR="008D43BD" w:rsidRPr="000103AF" w:rsidP="008D43BD">
            <w:pPr>
              <w:rPr>
                <w:szCs w:val="22"/>
                <w:lang w:val="it-IT"/>
              </w:rPr>
            </w:pPr>
            <w:r w:rsidRPr="000103AF" w:rsidR="00A4080A">
              <w:rPr>
                <w:b/>
                <w:szCs w:val="22"/>
                <w:lang w:val="it-IT"/>
              </w:rPr>
              <w:t>Italia</w:t>
            </w:r>
          </w:p>
          <w:p w:rsidR="008D43BD" w:rsidRPr="000103AF" w:rsidP="008D43BD">
            <w:pPr>
              <w:rPr>
                <w:szCs w:val="22"/>
                <w:lang w:val="it-IT"/>
              </w:rPr>
            </w:pPr>
            <w:r w:rsidRPr="000103AF" w:rsidR="00A4080A">
              <w:rPr>
                <w:szCs w:val="22"/>
                <w:lang w:val="it-IT"/>
              </w:rPr>
              <w:t>Roche S.p.A.</w:t>
            </w:r>
          </w:p>
          <w:p w:rsidR="008D43BD" w:rsidRPr="005F62B2" w:rsidP="008D43BD">
            <w:pPr>
              <w:rPr>
                <w:b/>
                <w:szCs w:val="22"/>
                <w:lang w:val="de-CH"/>
              </w:rPr>
            </w:pPr>
            <w:r w:rsidRPr="005F62B2" w:rsidR="00A4080A">
              <w:rPr>
                <w:szCs w:val="22"/>
                <w:lang w:val="de-CH"/>
              </w:rPr>
              <w:t>Tel: +39 - 039 2471</w:t>
            </w:r>
          </w:p>
        </w:tc>
        <w:tc>
          <w:tcPr>
            <w:tcW w:w="4590" w:type="dxa"/>
          </w:tcPr>
          <w:p w:rsidR="008D43BD" w:rsidRPr="005F62B2" w:rsidP="008D43BD">
            <w:pPr>
              <w:rPr>
                <w:b/>
                <w:szCs w:val="22"/>
                <w:lang w:val="de-CH"/>
              </w:rPr>
            </w:pPr>
            <w:r w:rsidRPr="005F62B2" w:rsidR="00A4080A">
              <w:rPr>
                <w:b/>
                <w:szCs w:val="22"/>
                <w:lang w:val="de-CH"/>
              </w:rPr>
              <w:t>Suomi/Finland</w:t>
            </w:r>
          </w:p>
          <w:p w:rsidR="008D43BD" w:rsidRPr="005F62B2" w:rsidP="008D43BD">
            <w:pPr>
              <w:rPr>
                <w:snapToGrid w:val="0"/>
                <w:szCs w:val="22"/>
                <w:lang w:val="de-CH"/>
              </w:rPr>
            </w:pPr>
            <w:r w:rsidRPr="005F62B2" w:rsidR="00A4080A">
              <w:rPr>
                <w:szCs w:val="22"/>
                <w:lang w:val="de-CH"/>
              </w:rPr>
              <w:t>Roche Oy</w:t>
            </w:r>
            <w:r w:rsidRPr="005F62B2" w:rsidR="00A4080A">
              <w:rPr>
                <w:snapToGrid w:val="0"/>
                <w:szCs w:val="22"/>
                <w:lang w:val="de-CH"/>
              </w:rPr>
              <w:t xml:space="preserve"> </w:t>
            </w:r>
          </w:p>
          <w:p w:rsidR="008D43BD" w:rsidRPr="005F62B2" w:rsidP="008D43BD">
            <w:pPr>
              <w:rPr>
                <w:szCs w:val="22"/>
                <w:lang w:val="de-CH"/>
              </w:rPr>
            </w:pPr>
            <w:r w:rsidRPr="005F62B2" w:rsidR="00A4080A">
              <w:rPr>
                <w:szCs w:val="22"/>
                <w:lang w:val="de-CH"/>
              </w:rPr>
              <w:t>Puh/Tel</w:t>
            </w:r>
            <w:r w:rsidRPr="005F62B2" w:rsidR="00A4080A">
              <w:rPr>
                <w:szCs w:val="22"/>
                <w:lang w:val="de-CH"/>
              </w:rPr>
              <w:t>: +358 (0) 10 554 500</w:t>
            </w:r>
          </w:p>
          <w:p w:rsidR="008D43BD" w:rsidRPr="005F62B2" w:rsidP="008D43BD">
            <w:pPr>
              <w:rPr>
                <w:szCs w:val="22"/>
                <w:lang w:val="de-CH"/>
              </w:rPr>
            </w:pPr>
          </w:p>
        </w:tc>
      </w:tr>
      <w:tr w:rsidTr="008D43BD">
        <w:tblPrEx>
          <w:tblW w:w="0" w:type="auto"/>
          <w:tblLayout w:type="fixed"/>
          <w:tblLook w:val="0000"/>
        </w:tblPrEx>
        <w:trPr>
          <w:cantSplit/>
        </w:trPr>
        <w:tc>
          <w:tcPr>
            <w:tcW w:w="4590" w:type="dxa"/>
          </w:tcPr>
          <w:p w:rsidR="008D43BD" w:rsidRPr="00FF5E1A" w:rsidP="008D43BD">
            <w:pPr>
              <w:rPr>
                <w:szCs w:val="22"/>
                <w:lang w:val="el-GR" w:eastAsia="en-US"/>
              </w:rPr>
            </w:pPr>
            <w:r w:rsidRPr="005F62B2" w:rsidR="00A4080A">
              <w:rPr>
                <w:b/>
                <w:szCs w:val="22"/>
                <w:lang w:val="de-CH"/>
              </w:rPr>
              <w:t>K</w:t>
            </w:r>
            <w:r w:rsidRPr="00FF5E1A" w:rsidR="00A4080A">
              <w:rPr>
                <w:b/>
                <w:szCs w:val="22"/>
                <w:lang w:val="el-GR"/>
              </w:rPr>
              <w:t>ύπρος</w:t>
            </w:r>
            <w:r w:rsidRPr="00FF5E1A" w:rsidR="00A4080A">
              <w:rPr>
                <w:szCs w:val="22"/>
                <w:lang w:val="el-GR" w:eastAsia="en-US"/>
              </w:rPr>
              <w:t xml:space="preserve"> </w:t>
            </w:r>
          </w:p>
          <w:p w:rsidR="008D43BD" w:rsidRPr="00FF5E1A" w:rsidP="008D43BD">
            <w:pPr>
              <w:rPr>
                <w:szCs w:val="22"/>
                <w:lang w:val="el-GR"/>
              </w:rPr>
            </w:pPr>
            <w:r w:rsidRPr="00FF5E1A" w:rsidR="00A4080A">
              <w:rPr>
                <w:szCs w:val="22"/>
                <w:lang w:val="el-GR"/>
              </w:rPr>
              <w:t>Γ.Α.Σταμάτης &amp; Σια Λτδ.</w:t>
            </w:r>
          </w:p>
          <w:p w:rsidR="008D43BD" w:rsidRPr="005F62B2" w:rsidP="008D43BD">
            <w:pPr>
              <w:rPr>
                <w:szCs w:val="22"/>
              </w:rPr>
            </w:pPr>
            <w:r w:rsidRPr="005F62B2" w:rsidR="00A4080A">
              <w:rPr>
                <w:szCs w:val="22"/>
              </w:rPr>
              <w:t>Τηλ: +357 - 22 76 62 76</w:t>
            </w:r>
          </w:p>
          <w:p w:rsidR="008D43BD" w:rsidRPr="005F62B2" w:rsidP="008D43BD">
            <w:pPr>
              <w:rPr>
                <w:szCs w:val="22"/>
              </w:rPr>
            </w:pPr>
          </w:p>
        </w:tc>
        <w:tc>
          <w:tcPr>
            <w:tcW w:w="4590" w:type="dxa"/>
          </w:tcPr>
          <w:p w:rsidR="008D43BD" w:rsidRPr="005F62B2" w:rsidP="008D43BD">
            <w:pPr>
              <w:rPr>
                <w:szCs w:val="22"/>
              </w:rPr>
            </w:pPr>
            <w:r w:rsidRPr="005F62B2" w:rsidR="00A4080A">
              <w:rPr>
                <w:b/>
                <w:szCs w:val="22"/>
              </w:rPr>
              <w:t>Sverige</w:t>
            </w:r>
          </w:p>
          <w:p w:rsidR="008D43BD" w:rsidRPr="005F62B2" w:rsidP="008D43BD">
            <w:pPr>
              <w:rPr>
                <w:szCs w:val="22"/>
              </w:rPr>
            </w:pPr>
            <w:r w:rsidRPr="005F62B2" w:rsidR="00A4080A">
              <w:rPr>
                <w:szCs w:val="22"/>
              </w:rPr>
              <w:t>Roche AB</w:t>
            </w:r>
          </w:p>
          <w:p w:rsidR="008D43BD" w:rsidRPr="005F62B2" w:rsidP="008D43BD">
            <w:pPr>
              <w:suppressAutoHyphens/>
              <w:rPr>
                <w:szCs w:val="22"/>
              </w:rPr>
            </w:pPr>
            <w:r w:rsidRPr="005F62B2" w:rsidR="00A4080A">
              <w:rPr>
                <w:szCs w:val="22"/>
              </w:rPr>
              <w:t>Tel: +46 (0) 8 726 1200</w:t>
            </w:r>
          </w:p>
          <w:p w:rsidR="008D43BD" w:rsidRPr="005F62B2" w:rsidP="008D43BD">
            <w:pPr>
              <w:rPr>
                <w:szCs w:val="22"/>
              </w:rPr>
            </w:pPr>
          </w:p>
        </w:tc>
      </w:tr>
      <w:tr w:rsidTr="008D43BD">
        <w:tblPrEx>
          <w:tblW w:w="0" w:type="auto"/>
          <w:tblLayout w:type="fixed"/>
          <w:tblLook w:val="0000"/>
        </w:tblPrEx>
        <w:trPr>
          <w:cantSplit/>
        </w:trPr>
        <w:tc>
          <w:tcPr>
            <w:tcW w:w="4590" w:type="dxa"/>
          </w:tcPr>
          <w:p w:rsidR="008D43BD" w:rsidRPr="000103AF" w:rsidP="008D43BD">
            <w:pPr>
              <w:rPr>
                <w:b/>
                <w:szCs w:val="22"/>
                <w:lang w:val="it-IT"/>
              </w:rPr>
            </w:pPr>
            <w:r w:rsidRPr="000103AF" w:rsidR="00A4080A">
              <w:rPr>
                <w:b/>
                <w:szCs w:val="22"/>
                <w:lang w:val="it-IT"/>
              </w:rPr>
              <w:t>Latvija</w:t>
            </w:r>
          </w:p>
          <w:p w:rsidR="008D43BD" w:rsidRPr="000103AF" w:rsidP="008D43BD">
            <w:pPr>
              <w:rPr>
                <w:szCs w:val="22"/>
                <w:lang w:val="it-IT"/>
              </w:rPr>
            </w:pPr>
            <w:r w:rsidRPr="000103AF" w:rsidR="00A4080A">
              <w:rPr>
                <w:bCs/>
                <w:szCs w:val="22"/>
                <w:lang w:val="it-IT"/>
              </w:rPr>
              <w:t>Roche Latvija SIA</w:t>
            </w:r>
          </w:p>
          <w:p w:rsidR="008D43BD" w:rsidRPr="000103AF" w:rsidP="008D43BD">
            <w:pPr>
              <w:rPr>
                <w:szCs w:val="22"/>
                <w:lang w:val="it-IT"/>
              </w:rPr>
            </w:pPr>
            <w:r w:rsidRPr="000103AF" w:rsidR="00A4080A">
              <w:rPr>
                <w:szCs w:val="22"/>
                <w:lang w:val="it-IT"/>
              </w:rPr>
              <w:t>Tel: +371 - 6 7039831</w:t>
            </w:r>
          </w:p>
          <w:p w:rsidR="008D43BD" w:rsidRPr="000103AF" w:rsidP="008D43BD">
            <w:pPr>
              <w:rPr>
                <w:b/>
                <w:szCs w:val="22"/>
                <w:lang w:val="it-IT"/>
              </w:rPr>
            </w:pPr>
          </w:p>
        </w:tc>
        <w:tc>
          <w:tcPr>
            <w:tcW w:w="4590" w:type="dxa"/>
          </w:tcPr>
          <w:p w:rsidR="008D43BD" w:rsidRPr="005F62B2" w:rsidP="008D43BD">
            <w:pPr>
              <w:rPr>
                <w:b/>
                <w:szCs w:val="22"/>
              </w:rPr>
            </w:pPr>
            <w:r w:rsidRPr="005F62B2" w:rsidR="00A4080A">
              <w:rPr>
                <w:b/>
                <w:szCs w:val="22"/>
              </w:rPr>
              <w:t>United Kingdom</w:t>
            </w:r>
          </w:p>
          <w:p w:rsidR="008D43BD" w:rsidRPr="005F62B2" w:rsidP="008D43BD">
            <w:pPr>
              <w:rPr>
                <w:szCs w:val="22"/>
              </w:rPr>
            </w:pPr>
            <w:r w:rsidRPr="005F62B2" w:rsidR="00A4080A">
              <w:rPr>
                <w:szCs w:val="22"/>
              </w:rPr>
              <w:t>Roche Products Ltd.</w:t>
            </w:r>
          </w:p>
          <w:p w:rsidR="008D43BD" w:rsidRPr="005F62B2" w:rsidP="008D43BD">
            <w:pPr>
              <w:rPr>
                <w:szCs w:val="22"/>
              </w:rPr>
            </w:pPr>
            <w:r w:rsidRPr="005F62B2" w:rsidR="00A4080A">
              <w:rPr>
                <w:szCs w:val="22"/>
              </w:rPr>
              <w:t>Tel: +44 (0) 1707 366000</w:t>
            </w:r>
          </w:p>
          <w:p w:rsidR="008D43BD" w:rsidRPr="005F62B2" w:rsidP="008D43BD">
            <w:pPr>
              <w:suppressAutoHyphens/>
              <w:rPr>
                <w:szCs w:val="22"/>
              </w:rPr>
            </w:pPr>
          </w:p>
        </w:tc>
      </w:tr>
    </w:tbl>
    <w:p w:rsidR="008D43BD" w:rsidRPr="00123D7D" w:rsidP="008D43BD">
      <w:pPr>
        <w:rPr>
          <w:szCs w:val="22"/>
        </w:rPr>
      </w:pPr>
    </w:p>
    <w:p w:rsidR="008D43BD" w:rsidRPr="00123D7D" w:rsidP="008D43BD">
      <w:pPr>
        <w:keepNext/>
        <w:keepLines/>
        <w:rPr>
          <w:b/>
          <w:szCs w:val="22"/>
        </w:rPr>
      </w:pPr>
      <w:r w:rsidRPr="00123D7D" w:rsidR="00A4080A">
        <w:rPr>
          <w:b/>
          <w:szCs w:val="22"/>
        </w:rPr>
        <w:t>This leaflet was las</w:t>
      </w:r>
      <w:r w:rsidRPr="00123D7D" w:rsidR="00A4080A">
        <w:rPr>
          <w:b/>
          <w:szCs w:val="22"/>
        </w:rPr>
        <w:t xml:space="preserve">t revised in </w:t>
      </w:r>
    </w:p>
    <w:p w:rsidR="008D43BD" w:rsidRPr="005F62B2" w:rsidP="008D43BD">
      <w:pPr>
        <w:keepNext/>
        <w:keepLines/>
        <w:numPr>
          <w:ilvl w:val="12"/>
          <w:numId w:val="0"/>
        </w:numPr>
        <w:ind w:right="-2"/>
        <w:rPr>
          <w:iCs/>
          <w:noProof/>
          <w:szCs w:val="22"/>
        </w:rPr>
      </w:pPr>
    </w:p>
    <w:p w:rsidR="008D43BD" w:rsidRPr="005F62B2" w:rsidP="008D43BD">
      <w:pPr>
        <w:keepNext/>
        <w:keepLines/>
        <w:numPr>
          <w:ilvl w:val="12"/>
          <w:numId w:val="0"/>
        </w:numPr>
        <w:ind w:right="-2"/>
        <w:rPr>
          <w:b/>
          <w:noProof/>
          <w:szCs w:val="22"/>
        </w:rPr>
      </w:pPr>
      <w:r w:rsidRPr="005F62B2" w:rsidR="00A4080A">
        <w:rPr>
          <w:b/>
          <w:noProof/>
          <w:szCs w:val="22"/>
        </w:rPr>
        <w:t>Other sources of information</w:t>
      </w:r>
    </w:p>
    <w:p w:rsidR="008D43BD" w:rsidRPr="005F62B2" w:rsidP="008D43BD">
      <w:pPr>
        <w:numPr>
          <w:ilvl w:val="12"/>
          <w:numId w:val="0"/>
        </w:numPr>
        <w:ind w:right="-2"/>
        <w:rPr>
          <w:iCs/>
          <w:noProof/>
          <w:szCs w:val="22"/>
        </w:rPr>
      </w:pPr>
    </w:p>
    <w:p w:rsidR="008D43BD" w:rsidRPr="005F62B2" w:rsidP="008D43BD">
      <w:pPr>
        <w:numPr>
          <w:ilvl w:val="12"/>
          <w:numId w:val="0"/>
        </w:numPr>
        <w:ind w:right="-2"/>
        <w:rPr>
          <w:noProof/>
          <w:szCs w:val="22"/>
        </w:rPr>
      </w:pPr>
      <w:r w:rsidRPr="005F62B2" w:rsidR="00A4080A">
        <w:rPr>
          <w:iCs/>
          <w:noProof/>
          <w:szCs w:val="22"/>
        </w:rPr>
        <w:t xml:space="preserve">Detailed information on this medicine is available on the European Medicines Agency web site: </w:t>
      </w:r>
      <w:r w:rsidR="00BB453D">
        <w:fldChar w:fldCharType="begin"/>
      </w:r>
      <w:r w:rsidR="00BB453D">
        <w:instrText xml:space="preserve"> HYPERLINK "http://www.ema.europa.eu" </w:instrText>
      </w:r>
      <w:r w:rsidR="00BB453D">
        <w:fldChar w:fldCharType="separate"/>
      </w:r>
      <w:r w:rsidRPr="005F62B2" w:rsidR="00A4080A">
        <w:rPr>
          <w:rStyle w:val="Hyperlink"/>
          <w:szCs w:val="22"/>
        </w:rPr>
        <w:t>http://www.ema.europa.eu</w:t>
      </w:r>
      <w:r w:rsidR="00BB453D">
        <w:rPr>
          <w:rStyle w:val="Hyperlink"/>
          <w:szCs w:val="22"/>
        </w:rPr>
        <w:fldChar w:fldCharType="end"/>
      </w:r>
      <w:r w:rsidRPr="005F62B2" w:rsidR="00A4080A">
        <w:rPr>
          <w:noProof/>
          <w:color w:val="0000FF"/>
          <w:szCs w:val="22"/>
        </w:rPr>
        <w:t>.</w:t>
      </w:r>
      <w:r w:rsidRPr="005F62B2" w:rsidR="00A4080A">
        <w:rPr>
          <w:iCs/>
          <w:noProof/>
          <w:szCs w:val="22"/>
        </w:rPr>
        <w:t xml:space="preserve"> </w:t>
      </w:r>
    </w:p>
    <w:p w:rsidR="008D43BD" w:rsidRPr="005F62B2" w:rsidP="008D43BD">
      <w:pPr>
        <w:numPr>
          <w:ilvl w:val="12"/>
          <w:numId w:val="0"/>
        </w:numPr>
        <w:ind w:right="-2"/>
        <w:outlineLvl w:val="0"/>
        <w:rPr>
          <w:b/>
          <w:bCs/>
          <w:szCs w:val="22"/>
        </w:rPr>
      </w:pPr>
      <w:r w:rsidR="00A4080A">
        <w:rPr>
          <w:b/>
          <w:bCs/>
          <w:szCs w:val="22"/>
        </w:rPr>
        <w:br w:type="page"/>
      </w:r>
    </w:p>
    <w:p w:rsidR="008D43BD" w:rsidRPr="00123D7D" w:rsidP="008D43BD">
      <w:pPr>
        <w:keepNext/>
        <w:keepLines/>
        <w:numPr>
          <w:ilvl w:val="12"/>
          <w:numId w:val="0"/>
        </w:numPr>
        <w:ind w:right="-2"/>
        <w:rPr>
          <w:b/>
          <w:noProof/>
          <w:szCs w:val="22"/>
        </w:rPr>
      </w:pPr>
      <w:r w:rsidRPr="00123D7D" w:rsidR="00A4080A">
        <w:rPr>
          <w:b/>
          <w:noProof/>
          <w:szCs w:val="22"/>
        </w:rPr>
        <w:t xml:space="preserve">The following information is intended for medical or healthcare professionals only: </w:t>
      </w:r>
    </w:p>
    <w:p w:rsidR="008D43BD" w:rsidRPr="005F62B2" w:rsidP="008D43BD">
      <w:pPr>
        <w:rPr>
          <w:szCs w:val="22"/>
        </w:rPr>
      </w:pPr>
    </w:p>
    <w:p w:rsidR="008D43BD" w:rsidP="008D43BD">
      <w:pPr>
        <w:rPr>
          <w:szCs w:val="22"/>
        </w:rPr>
      </w:pPr>
      <w:r w:rsidRPr="00470313" w:rsidR="00A4080A">
        <w:rPr>
          <w:szCs w:val="22"/>
        </w:rPr>
        <w:t xml:space="preserve">In order to prevent </w:t>
      </w:r>
      <w:r w:rsidR="00A4080A">
        <w:rPr>
          <w:szCs w:val="22"/>
        </w:rPr>
        <w:t xml:space="preserve">medicinal product </w:t>
      </w:r>
      <w:r w:rsidRPr="00470313" w:rsidR="00A4080A">
        <w:rPr>
          <w:szCs w:val="22"/>
        </w:rPr>
        <w:t>errors it is important to check the vial labels to ensure that the medicinal product being prepared is Kadcyla (trastuzumab emtansine) and not Herceptin (trastuzumab).</w:t>
      </w:r>
    </w:p>
    <w:p w:rsidR="008D43BD" w:rsidRPr="005F62B2" w:rsidP="008D43BD">
      <w:pPr>
        <w:rPr>
          <w:szCs w:val="22"/>
        </w:rPr>
      </w:pPr>
    </w:p>
    <w:p w:rsidR="008D43BD" w:rsidRPr="005F62B2" w:rsidP="008D43BD">
      <w:pPr>
        <w:rPr>
          <w:szCs w:val="22"/>
        </w:rPr>
      </w:pPr>
      <w:r w:rsidRPr="005F62B2" w:rsidR="00A4080A">
        <w:rPr>
          <w:szCs w:val="22"/>
        </w:rPr>
        <w:t>Kadcyla must be reconstituted and diluted by a healthcare professional and administered as an intravenous infusion. It must not be administered as an intravenous push or bolus.</w:t>
      </w:r>
    </w:p>
    <w:p w:rsidR="008D43BD" w:rsidRPr="005F62B2" w:rsidP="008D43BD">
      <w:pPr>
        <w:rPr>
          <w:szCs w:val="22"/>
        </w:rPr>
      </w:pPr>
    </w:p>
    <w:p w:rsidR="008D43BD" w:rsidP="008D43BD">
      <w:pPr>
        <w:rPr>
          <w:szCs w:val="22"/>
        </w:rPr>
      </w:pPr>
      <w:r w:rsidRPr="005F62B2" w:rsidR="00A4080A">
        <w:rPr>
          <w:szCs w:val="22"/>
        </w:rPr>
        <w:t xml:space="preserve">Always keep this medicine in the closed original pack at a temperature of 2ºC – 8 ºC in a refrigerator. A vial of Kadcyla reconstituted with water for injections (not supplied) is stable for 24 hours at </w:t>
      </w:r>
    </w:p>
    <w:p w:rsidR="008D43BD" w:rsidRPr="005F62B2" w:rsidP="008D43BD">
      <w:pPr>
        <w:rPr>
          <w:szCs w:val="22"/>
        </w:rPr>
      </w:pPr>
      <w:r w:rsidRPr="005F62B2" w:rsidR="00A4080A">
        <w:rPr>
          <w:szCs w:val="22"/>
        </w:rPr>
        <w:t xml:space="preserve">2ºC – 8 ºC after reconstitution and must not be frozen. </w:t>
      </w:r>
    </w:p>
    <w:p w:rsidR="008D43BD" w:rsidRPr="005F62B2" w:rsidP="008D43BD">
      <w:pPr>
        <w:rPr>
          <w:szCs w:val="22"/>
        </w:rPr>
      </w:pPr>
    </w:p>
    <w:p w:rsidR="008D43BD" w:rsidRPr="00854590" w:rsidP="008D43BD">
      <w:pPr>
        <w:rPr>
          <w:szCs w:val="22"/>
        </w:rPr>
      </w:pPr>
      <w:r w:rsidRPr="005F62B2" w:rsidR="00A4080A">
        <w:rPr>
          <w:szCs w:val="22"/>
        </w:rPr>
        <w:t xml:space="preserve">Appropriate aseptic </w:t>
      </w:r>
      <w:r w:rsidRPr="00854590" w:rsidR="00A4080A">
        <w:rPr>
          <w:szCs w:val="22"/>
        </w:rPr>
        <w:t>technique should be used. Appropriate procedures for the preparation of chemotherapeutic medicinal products should be used.</w:t>
      </w:r>
      <w:r w:rsidRPr="00123D7D" w:rsidR="00A4080A">
        <w:rPr>
          <w:szCs w:val="22"/>
        </w:rPr>
        <w:t xml:space="preserve"> </w:t>
      </w:r>
    </w:p>
    <w:p w:rsidR="008D43BD" w:rsidRPr="00854590" w:rsidP="008D43BD">
      <w:pPr>
        <w:rPr>
          <w:szCs w:val="22"/>
        </w:rPr>
      </w:pPr>
    </w:p>
    <w:p w:rsidR="008D43BD" w:rsidRPr="00854590" w:rsidP="008D43BD">
      <w:pPr>
        <w:rPr>
          <w:szCs w:val="22"/>
        </w:rPr>
      </w:pPr>
      <w:r w:rsidRPr="00854590" w:rsidR="00A4080A">
        <w:rPr>
          <w:szCs w:val="22"/>
        </w:rPr>
        <w:t>The reconstituted Kadcyla solution should be diluted in polyvinyl chloride (PVC) or latex</w:t>
      </w:r>
      <w:r w:rsidRPr="00854590" w:rsidR="00A4080A">
        <w:rPr>
          <w:szCs w:val="22"/>
        </w:rPr>
        <w:noBreakHyphen/>
        <w:t>free PVC</w:t>
      </w:r>
      <w:r w:rsidRPr="00854590" w:rsidR="00A4080A">
        <w:rPr>
          <w:szCs w:val="22"/>
        </w:rPr>
        <w:noBreakHyphen/>
        <w:t>free polyolefin infusion bags.</w:t>
      </w:r>
    </w:p>
    <w:p w:rsidR="008D43BD" w:rsidRPr="00854590" w:rsidP="008D43BD">
      <w:pPr>
        <w:rPr>
          <w:szCs w:val="22"/>
        </w:rPr>
      </w:pPr>
    </w:p>
    <w:p w:rsidR="008D43BD" w:rsidRPr="005F62B2" w:rsidP="008D43BD">
      <w:pPr>
        <w:rPr>
          <w:szCs w:val="22"/>
        </w:rPr>
      </w:pPr>
      <w:r w:rsidRPr="00854590" w:rsidR="00A4080A">
        <w:rPr>
          <w:szCs w:val="22"/>
        </w:rPr>
        <w:t xml:space="preserve">The use of </w:t>
      </w:r>
      <w:r w:rsidR="00A4080A">
        <w:rPr>
          <w:szCs w:val="22"/>
        </w:rPr>
        <w:t xml:space="preserve">0.20 or </w:t>
      </w:r>
      <w:r w:rsidRPr="00854590" w:rsidR="00A4080A">
        <w:rPr>
          <w:szCs w:val="22"/>
        </w:rPr>
        <w:t>0.22 micron in-line polyethersulfone (PES) filter is required for the infusion when the concentrate for infusion is diluted with sodium chloride 9 mg/</w:t>
      </w:r>
      <w:r w:rsidRPr="00174B40" w:rsidR="00A4080A">
        <w:rPr>
          <w:szCs w:val="22"/>
        </w:rPr>
        <w:t>mL</w:t>
      </w:r>
      <w:r w:rsidRPr="00854590" w:rsidR="00A4080A">
        <w:rPr>
          <w:szCs w:val="22"/>
        </w:rPr>
        <w:t xml:space="preserve"> (0.9%) solution for infusion.</w:t>
      </w:r>
      <w:r w:rsidRPr="005F62B2" w:rsidR="00A4080A">
        <w:rPr>
          <w:szCs w:val="22"/>
        </w:rPr>
        <w:t xml:space="preserve"> </w:t>
      </w:r>
    </w:p>
    <w:p w:rsidR="008D43BD" w:rsidRPr="005F62B2" w:rsidP="008D43BD">
      <w:pPr>
        <w:rPr>
          <w:szCs w:val="22"/>
        </w:rPr>
      </w:pPr>
    </w:p>
    <w:p w:rsidR="008D43BD" w:rsidRPr="00123D7D" w:rsidP="008D43BD">
      <w:pPr>
        <w:rPr>
          <w:i/>
          <w:szCs w:val="22"/>
        </w:rPr>
      </w:pPr>
      <w:r w:rsidRPr="00123D7D" w:rsidR="00A4080A">
        <w:rPr>
          <w:i/>
          <w:szCs w:val="22"/>
        </w:rPr>
        <w:t>Instructions for reconstitution</w:t>
      </w:r>
    </w:p>
    <w:p w:rsidR="008D43BD" w:rsidRPr="005F62B2" w:rsidP="008D43BD">
      <w:pPr>
        <w:ind w:left="450" w:hanging="450"/>
        <w:rPr>
          <w:szCs w:val="22"/>
        </w:rPr>
      </w:pPr>
      <w:r w:rsidRPr="00123D7D" w:rsidR="00A4080A">
        <w:rPr>
          <w:rFonts w:ascii="Symbol" w:hAnsi="Symbol"/>
          <w:szCs w:val="22"/>
        </w:rPr>
        <w:sym w:font="Symbol" w:char="F0B7"/>
      </w:r>
      <w:r w:rsidRPr="00123D7D" w:rsidR="00A4080A">
        <w:rPr>
          <w:szCs w:val="22"/>
        </w:rPr>
        <w:tab/>
      </w:r>
      <w:r w:rsidRPr="00123D7D" w:rsidR="00A4080A">
        <w:rPr>
          <w:szCs w:val="22"/>
          <w:u w:val="single"/>
        </w:rPr>
        <w:t>Kadcyla 100mg</w:t>
      </w:r>
      <w:r w:rsidRPr="005F62B2" w:rsidR="00A4080A">
        <w:rPr>
          <w:szCs w:val="22"/>
        </w:rPr>
        <w:t xml:space="preserve">: using a sterile syringe, slowly inject 5 mL of sterile water for injection into the 100 mg trastuzumab emtansine vial. </w:t>
      </w:r>
    </w:p>
    <w:p w:rsidR="008D43BD" w:rsidRPr="005F62B2" w:rsidP="008D43BD">
      <w:pPr>
        <w:ind w:left="450" w:hanging="450"/>
        <w:rPr>
          <w:szCs w:val="22"/>
        </w:rPr>
      </w:pPr>
      <w:r w:rsidRPr="00123D7D" w:rsidR="00A4080A">
        <w:rPr>
          <w:rFonts w:ascii="Symbol" w:hAnsi="Symbol"/>
          <w:szCs w:val="22"/>
        </w:rPr>
        <w:sym w:font="Symbol" w:char="F0B7"/>
      </w:r>
      <w:r w:rsidRPr="00123D7D" w:rsidR="00A4080A">
        <w:rPr>
          <w:szCs w:val="22"/>
        </w:rPr>
        <w:tab/>
      </w:r>
      <w:r w:rsidRPr="00123D7D" w:rsidR="00A4080A">
        <w:rPr>
          <w:szCs w:val="22"/>
          <w:u w:val="single"/>
        </w:rPr>
        <w:t>Kadcyla 160mg</w:t>
      </w:r>
      <w:r w:rsidRPr="005F62B2" w:rsidR="00A4080A">
        <w:rPr>
          <w:szCs w:val="22"/>
        </w:rPr>
        <w:t>: using a sterile syringe, slowly inject 8 mL of sterile water for injection into the 160 mg trastuzumab emtansine vial.</w:t>
      </w:r>
    </w:p>
    <w:p w:rsidR="008D43BD" w:rsidRPr="005F62B2" w:rsidP="008D43BD">
      <w:pPr>
        <w:ind w:left="450" w:hanging="450"/>
        <w:rPr>
          <w:szCs w:val="22"/>
        </w:rPr>
      </w:pPr>
      <w:r w:rsidRPr="00123D7D" w:rsidR="00A4080A">
        <w:rPr>
          <w:rFonts w:ascii="Symbol" w:hAnsi="Symbol"/>
          <w:szCs w:val="22"/>
        </w:rPr>
        <w:sym w:font="Symbol" w:char="F0B7"/>
      </w:r>
      <w:r w:rsidRPr="00123D7D" w:rsidR="00A4080A">
        <w:rPr>
          <w:szCs w:val="22"/>
        </w:rPr>
        <w:tab/>
      </w:r>
      <w:r w:rsidRPr="005F62B2" w:rsidR="00A4080A">
        <w:rPr>
          <w:szCs w:val="22"/>
        </w:rPr>
        <w:t xml:space="preserve">Swirl the vial gently until completely dissolved. Do not shake. </w:t>
      </w:r>
    </w:p>
    <w:p w:rsidR="008D43BD" w:rsidRPr="005F62B2" w:rsidP="008D43BD">
      <w:pPr>
        <w:rPr>
          <w:szCs w:val="22"/>
        </w:rPr>
      </w:pPr>
    </w:p>
    <w:p w:rsidR="008D43BD" w:rsidRPr="005F62B2" w:rsidP="008D43BD">
      <w:pPr>
        <w:rPr>
          <w:szCs w:val="22"/>
        </w:rPr>
      </w:pPr>
      <w:r w:rsidRPr="005F62B2" w:rsidR="00A4080A">
        <w:rPr>
          <w:szCs w:val="22"/>
        </w:rPr>
        <w:t>Reconstituted solution should be inspected visually fo</w:t>
      </w:r>
      <w:r w:rsidRPr="005F62B2" w:rsidR="00A4080A">
        <w:rPr>
          <w:szCs w:val="22"/>
        </w:rPr>
        <w:t>r particulate matter and discolouration prior to administration. The reconstituted solution should be free of visible particulates, clear to slightly opalescent. The colour of the reconstituted solution should be colourless to pale brown. Do not use if reconstituted solution is cloudy or discoloured.</w:t>
      </w:r>
    </w:p>
    <w:p w:rsidR="008D43BD" w:rsidRPr="005F62B2" w:rsidP="008D43BD">
      <w:pPr>
        <w:rPr>
          <w:szCs w:val="22"/>
        </w:rPr>
      </w:pPr>
    </w:p>
    <w:p w:rsidR="008D43BD" w:rsidRPr="005F62B2" w:rsidP="008D43BD">
      <w:pPr>
        <w:rPr>
          <w:szCs w:val="22"/>
        </w:rPr>
      </w:pPr>
      <w:r w:rsidRPr="005F62B2" w:rsidR="00A4080A">
        <w:rPr>
          <w:szCs w:val="22"/>
        </w:rPr>
        <w:t>Discard any unused portion. The reconstituted product contains no preservative and is intended for single use only.</w:t>
      </w:r>
    </w:p>
    <w:p w:rsidR="008D43BD" w:rsidRPr="005F62B2" w:rsidP="008D43BD">
      <w:pPr>
        <w:rPr>
          <w:szCs w:val="22"/>
        </w:rPr>
      </w:pPr>
    </w:p>
    <w:p w:rsidR="008D43BD" w:rsidRPr="005F62B2" w:rsidP="008D43BD">
      <w:pPr>
        <w:rPr>
          <w:i/>
          <w:szCs w:val="22"/>
        </w:rPr>
      </w:pPr>
      <w:r w:rsidRPr="005F62B2" w:rsidR="00A4080A">
        <w:rPr>
          <w:i/>
          <w:szCs w:val="22"/>
        </w:rPr>
        <w:t>Instructions for dilution</w:t>
      </w:r>
    </w:p>
    <w:p w:rsidR="008D43BD" w:rsidRPr="005F62B2" w:rsidP="008D43BD">
      <w:pPr>
        <w:rPr>
          <w:szCs w:val="22"/>
        </w:rPr>
      </w:pPr>
      <w:r w:rsidRPr="005F62B2" w:rsidR="00A4080A">
        <w:rPr>
          <w:szCs w:val="22"/>
        </w:rPr>
        <w:t>Determine the volume of the reconstituted solution required based on a dose of 3.6 mg trastuzumab emtansine/kg body weight:</w:t>
      </w:r>
    </w:p>
    <w:p w:rsidR="008D43BD" w:rsidRPr="005F62B2" w:rsidP="008D43BD">
      <w:pPr>
        <w:rPr>
          <w:szCs w:val="22"/>
        </w:rPr>
      </w:pPr>
    </w:p>
    <w:p w:rsidR="008D43BD" w:rsidRPr="005F62B2" w:rsidP="008D43BD">
      <w:pPr>
        <w:keepNext/>
        <w:rPr>
          <w:szCs w:val="22"/>
        </w:rPr>
      </w:pPr>
      <w:r w:rsidRPr="005F62B2" w:rsidR="00A4080A">
        <w:rPr>
          <w:b/>
          <w:szCs w:val="22"/>
        </w:rPr>
        <w:t>Volume</w:t>
      </w:r>
      <w:r w:rsidRPr="005F62B2" w:rsidR="00A4080A">
        <w:rPr>
          <w:szCs w:val="22"/>
        </w:rPr>
        <w:t xml:space="preserve"> (mL) = </w:t>
      </w:r>
      <w:r w:rsidRPr="005F62B2" w:rsidR="00A4080A">
        <w:rPr>
          <w:i/>
          <w:szCs w:val="22"/>
          <w:u w:val="single"/>
        </w:rPr>
        <w:t>Total dose to be administered</w:t>
      </w:r>
      <w:r w:rsidRPr="005F62B2" w:rsidR="00A4080A">
        <w:rPr>
          <w:szCs w:val="22"/>
          <w:u w:val="single"/>
        </w:rPr>
        <w:t xml:space="preserve"> =(</w:t>
      </w:r>
      <w:r w:rsidRPr="005F62B2" w:rsidR="00A4080A">
        <w:rPr>
          <w:b/>
          <w:szCs w:val="22"/>
          <w:u w:val="single"/>
        </w:rPr>
        <w:t>body weight</w:t>
      </w:r>
      <w:r w:rsidRPr="005F62B2" w:rsidR="00A4080A">
        <w:rPr>
          <w:szCs w:val="22"/>
          <w:u w:val="single"/>
        </w:rPr>
        <w:t xml:space="preserve"> (kg) x </w:t>
      </w:r>
      <w:r w:rsidRPr="005F62B2" w:rsidR="00A4080A">
        <w:rPr>
          <w:b/>
          <w:szCs w:val="22"/>
          <w:u w:val="single"/>
        </w:rPr>
        <w:t>dose</w:t>
      </w:r>
      <w:r w:rsidRPr="005F62B2" w:rsidR="00A4080A">
        <w:rPr>
          <w:szCs w:val="22"/>
          <w:u w:val="single"/>
        </w:rPr>
        <w:t xml:space="preserve"> (mg/kg))</w:t>
      </w:r>
      <w:r w:rsidRPr="005F62B2" w:rsidR="00A4080A">
        <w:rPr>
          <w:szCs w:val="22"/>
        </w:rPr>
        <w:t xml:space="preserve"> </w:t>
      </w:r>
    </w:p>
    <w:p w:rsidR="008D43BD" w:rsidRPr="005F62B2" w:rsidP="008D43BD">
      <w:pPr>
        <w:keepNext/>
        <w:tabs>
          <w:tab w:val="left" w:pos="1418"/>
        </w:tabs>
        <w:rPr>
          <w:szCs w:val="22"/>
        </w:rPr>
      </w:pPr>
      <w:r w:rsidRPr="005F62B2" w:rsidR="00A4080A">
        <w:rPr>
          <w:szCs w:val="22"/>
        </w:rPr>
        <w:tab/>
        <w:t xml:space="preserve">          </w:t>
      </w:r>
      <w:r w:rsidRPr="005F62B2" w:rsidR="00A4080A">
        <w:rPr>
          <w:b/>
          <w:szCs w:val="22"/>
        </w:rPr>
        <w:t>20</w:t>
      </w:r>
      <w:r w:rsidRPr="005F62B2" w:rsidR="00A4080A">
        <w:rPr>
          <w:szCs w:val="22"/>
        </w:rPr>
        <w:t xml:space="preserve"> (mg/mL, concentration of reconstituted solution)</w:t>
      </w:r>
    </w:p>
    <w:p w:rsidR="008D43BD" w:rsidRPr="005F62B2" w:rsidP="008D43BD">
      <w:pPr>
        <w:rPr>
          <w:b/>
          <w:szCs w:val="22"/>
          <w:u w:val="single"/>
        </w:rPr>
      </w:pPr>
    </w:p>
    <w:p w:rsidR="008D43BD" w:rsidRPr="005F62B2" w:rsidP="008D43BD">
      <w:pPr>
        <w:rPr>
          <w:szCs w:val="22"/>
        </w:rPr>
      </w:pPr>
      <w:r w:rsidRPr="00174B40" w:rsidR="00A4080A">
        <w:rPr>
          <w:szCs w:val="22"/>
        </w:rPr>
        <w:t>The appropriate amount of solution should be withdrawn from the vial and added to an infusion bag containing 250 mL of sodium chloride 4.5 mg/</w:t>
      </w:r>
      <w:r w:rsidRPr="00405F86" w:rsidR="00A4080A">
        <w:rPr>
          <w:szCs w:val="22"/>
        </w:rPr>
        <w:t>mL (0.45%) solution for infusion or sodium chloride 9 mg/mL (0.9%) solution for infusion. Glucose (5%) solution should not be used Sodium chloride 4.5 mg/mL (0.45%) so</w:t>
      </w:r>
      <w:r w:rsidRPr="00405F86" w:rsidR="00A4080A">
        <w:rPr>
          <w:szCs w:val="22"/>
        </w:rPr>
        <w:t>lution for infusion may be used without a polyethersulfone (PES) 0.20 or 0.22</w:t>
      </w:r>
      <w:r w:rsidRPr="00405F86" w:rsidR="00A4080A">
        <w:rPr>
          <w:szCs w:val="22"/>
        </w:rPr>
        <w:noBreakHyphen/>
        <w:t>μm in</w:t>
      </w:r>
      <w:r w:rsidRPr="00405F86" w:rsidR="00A4080A">
        <w:rPr>
          <w:szCs w:val="22"/>
        </w:rPr>
        <w:noBreakHyphen/>
        <w:t>line filter. If sodium chloride 9 mg/mL (0.9%) solution for infusion is used for infusion, a 0.20 or 0.22 micron in-line polyethersulfone (PES) filter</w:t>
      </w:r>
      <w:r w:rsidRPr="005F62B2" w:rsidR="00A4080A">
        <w:rPr>
          <w:szCs w:val="22"/>
        </w:rPr>
        <w:t xml:space="preserve"> is required. Once the</w:t>
      </w:r>
      <w:r w:rsidRPr="005F62B2" w:rsidR="00A4080A">
        <w:rPr>
          <w:szCs w:val="22"/>
        </w:rPr>
        <w:t xml:space="preserve"> infusion is prepared it should be administered immediately. Do not freeze or shake the infusion during storage. If diluted aseptically, it may be stored for up to 24 hours at 2°C to 8°C.</w:t>
      </w:r>
    </w:p>
    <w:p w:rsidR="008D43BD" w:rsidRPr="005F62B2" w:rsidP="008D43BD">
      <w:pPr>
        <w:numPr>
          <w:ilvl w:val="12"/>
          <w:numId w:val="0"/>
        </w:numPr>
        <w:ind w:right="-2"/>
        <w:outlineLvl w:val="0"/>
      </w:pPr>
    </w:p>
    <w:sectPr w:rsidSect="008D43BD">
      <w:footerReference w:type="default" r:id="rId18"/>
      <w:footerReference w:type="first" r:id="rId19"/>
      <w:pgSz w:w="11907" w:h="16840" w:code="9"/>
      <w:pgMar w:top="1134" w:right="1418" w:bottom="1134" w:left="1418" w:header="737" w:footer="737" w:gutter="0"/>
      <w:cols w:space="720"/>
      <w:titlePg/>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00000000"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ourierStd">
    <w:altName w:val="Cambria"/>
    <w:panose1 w:val="00000000000000000000"/>
    <w:charset w:val="00"/>
    <w:family w:val="roman"/>
    <w:notTrueType/>
    <w:pitch w:val="default"/>
    <w:sig w:usb0="00000003" w:usb1="00000000" w:usb2="00000000" w:usb3="00000000" w:csb0="00000001" w:csb1="00000000"/>
  </w:font>
  <w:font w:name="Cambria">
    <w:panose1 w:val="00000000000000000000"/>
    <w:charset w:val="00"/>
    <w:family w:val="roman"/>
    <w:pitch w:val="variable"/>
    <w:sig w:usb0="E00006FF" w:usb1="420024FF" w:usb2="02000000" w:usb3="00000000" w:csb0="0000019F" w:csb1="00000000"/>
  </w:font>
  <w:font w:name="Tahoma">
    <w:panose1 w:val="00000000000000000000"/>
    <w:charset w:val="00"/>
    <w:family w:val="swiss"/>
    <w:pitch w:val="variable"/>
    <w:sig w:usb0="E1002EFF" w:usb1="C000605B" w:usb2="00000029" w:usb3="00000000" w:csb0="000101FF" w:csb1="00000000"/>
  </w:font>
  <w:font w:name="Verdana">
    <w:panose1 w:val="00000000000000000000"/>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53D">
    <w:pPr>
      <w:pStyle w:val="Footer"/>
      <w:tabs>
        <w:tab w:val="right" w:pos="8931"/>
      </w:tabs>
      <w:ind w:right="96"/>
      <w:jc w:val="center"/>
    </w:pPr>
    <w:r>
      <w:fldChar w:fldCharType="begin"/>
    </w:r>
    <w:r>
      <w:instrText xml:space="preserve"> EQ </w:instrText>
    </w:r>
    <w:r>
      <w:fldChar w:fldCharType="separate"/>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203395">
      <w:rPr>
        <w:rStyle w:val="PageNumber"/>
        <w:rFonts w:cs="Arial"/>
      </w:rPr>
      <w:t>31</w:t>
    </w:r>
    <w:r>
      <w:rPr>
        <w:rStyle w:val="PageNumber"/>
        <w:rFonts w:cs="Arial"/>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53D">
    <w:pPr>
      <w:pStyle w:val="Footer"/>
      <w:tabs>
        <w:tab w:val="right" w:pos="8931"/>
      </w:tabs>
      <w:ind w:right="96"/>
      <w:jc w:val="center"/>
    </w:pPr>
    <w:r>
      <w:fldChar w:fldCharType="begin"/>
    </w:r>
    <w:r>
      <w:instrText xml:space="preserve"> EQ </w:instrText>
    </w:r>
    <w:r>
      <w:fldChar w:fldCharType="separate"/>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203395">
      <w:rPr>
        <w:rStyle w:val="PageNumber"/>
        <w:rFonts w:cs="Arial"/>
      </w:rPr>
      <w:t>1</w:t>
    </w:r>
    <w:r>
      <w:rPr>
        <w:rStyle w:val="PageNumber"/>
        <w:rFonts w:cs="Arial"/>
      </w:rPr>
      <w:fldChar w:fldCharType="end"/>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430B806"/>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102EAEC"/>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97D44378"/>
    <w:lvl w:ilvl="0">
      <w:start w:val="1"/>
      <w:numFmt w:val="decimal"/>
      <w:pStyle w:val="ListNumber4"/>
      <w:lvlText w:val="%1."/>
      <w:lvlJc w:val="left"/>
      <w:pPr>
        <w:tabs>
          <w:tab w:val="num" w:pos="1209"/>
        </w:tabs>
        <w:ind w:left="1209" w:hanging="360"/>
      </w:pPr>
    </w:lvl>
  </w:abstractNum>
  <w:abstractNum w:abstractNumId="3">
    <w:nsid w:val="FFFFFF7E"/>
    <w:multiLevelType w:val="singleLevel"/>
    <w:tmpl w:val="485EC37A"/>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AA41B44"/>
    <w:lvl w:ilvl="0">
      <w:start w:val="1"/>
      <w:numFmt w:val="decimal"/>
      <w:pStyle w:val="ListNumber2"/>
      <w:lvlText w:val="%1."/>
      <w:lvlJc w:val="left"/>
      <w:pPr>
        <w:tabs>
          <w:tab w:val="num" w:pos="720"/>
        </w:tabs>
        <w:ind w:left="720" w:hanging="360"/>
      </w:pPr>
    </w:lvl>
  </w:abstractNum>
  <w:abstractNum w:abstractNumId="5">
    <w:nsid w:val="FFFFFF80"/>
    <w:multiLevelType w:val="singleLevel"/>
    <w:tmpl w:val="D58876A8"/>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2E34CEC4"/>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33083994"/>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178CCD7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9AA2D4D4"/>
    <w:lvl w:ilvl="0">
      <w:start w:val="1"/>
      <w:numFmt w:val="decimal"/>
      <w:pStyle w:val="ListNumber"/>
      <w:lvlText w:val="%1."/>
      <w:lvlJc w:val="left"/>
      <w:pPr>
        <w:tabs>
          <w:tab w:val="num" w:pos="360"/>
        </w:tabs>
        <w:ind w:left="360" w:hanging="360"/>
      </w:pPr>
    </w:lvl>
  </w:abstractNum>
  <w:abstractNum w:abstractNumId="10">
    <w:nsid w:val="FFFFFF89"/>
    <w:multiLevelType w:val="singleLevel"/>
    <w:tmpl w:val="2970037A"/>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9B47ED8"/>
    <w:multiLevelType w:val="hybridMultilevel"/>
    <w:tmpl w:val="75DCD36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09C44CC1"/>
    <w:multiLevelType w:val="hybridMultilevel"/>
    <w:tmpl w:val="7FF2C56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0B903D75"/>
    <w:multiLevelType w:val="hybridMultilevel"/>
    <w:tmpl w:val="405EEBD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4">
    <w:nsid w:val="0C0E1C57"/>
    <w:multiLevelType w:val="hybridMultilevel"/>
    <w:tmpl w:val="CCD476F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5">
    <w:nsid w:val="0C222C0D"/>
    <w:multiLevelType w:val="hybridMultilevel"/>
    <w:tmpl w:val="409032B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6">
    <w:nsid w:val="0E9105B4"/>
    <w:multiLevelType w:val="hybridMultilevel"/>
    <w:tmpl w:val="19B6B55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7">
    <w:nsid w:val="14CB5400"/>
    <w:multiLevelType w:val="hybridMultilevel"/>
    <w:tmpl w:val="B4C8FC1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8">
    <w:nsid w:val="196560AC"/>
    <w:multiLevelType w:val="hybridMultilevel"/>
    <w:tmpl w:val="072EAEC2"/>
    <w:lvl w:ilvl="0">
      <w:start w:val="1"/>
      <w:numFmt w:val="bullet"/>
      <w:lvlText w:val=""/>
      <w:lvlJc w:val="left"/>
      <w:pPr>
        <w:ind w:left="771" w:hanging="360"/>
      </w:pPr>
      <w:rPr>
        <w:rFonts w:ascii="Symbol" w:hAnsi="Symbol" w:hint="default"/>
      </w:rPr>
    </w:lvl>
    <w:lvl w:ilvl="1" w:tentative="1">
      <w:start w:val="1"/>
      <w:numFmt w:val="bullet"/>
      <w:lvlText w:val="o"/>
      <w:lvlJc w:val="left"/>
      <w:pPr>
        <w:ind w:left="1491" w:hanging="360"/>
      </w:pPr>
      <w:rPr>
        <w:rFonts w:ascii="Courier New" w:hAnsi="Courier New" w:cs="Courier New" w:hint="default"/>
      </w:rPr>
    </w:lvl>
    <w:lvl w:ilvl="2" w:tentative="1">
      <w:start w:val="1"/>
      <w:numFmt w:val="bullet"/>
      <w:lvlText w:val=""/>
      <w:lvlJc w:val="left"/>
      <w:pPr>
        <w:ind w:left="2211" w:hanging="360"/>
      </w:pPr>
      <w:rPr>
        <w:rFonts w:ascii="Wingdings" w:hAnsi="Wingdings" w:hint="default"/>
      </w:rPr>
    </w:lvl>
    <w:lvl w:ilvl="3" w:tentative="1">
      <w:start w:val="1"/>
      <w:numFmt w:val="bullet"/>
      <w:lvlText w:val=""/>
      <w:lvlJc w:val="left"/>
      <w:pPr>
        <w:ind w:left="2931" w:hanging="360"/>
      </w:pPr>
      <w:rPr>
        <w:rFonts w:ascii="Symbol" w:hAnsi="Symbol" w:hint="default"/>
      </w:rPr>
    </w:lvl>
    <w:lvl w:ilvl="4" w:tentative="1">
      <w:start w:val="1"/>
      <w:numFmt w:val="bullet"/>
      <w:lvlText w:val="o"/>
      <w:lvlJc w:val="left"/>
      <w:pPr>
        <w:ind w:left="3651" w:hanging="360"/>
      </w:pPr>
      <w:rPr>
        <w:rFonts w:ascii="Courier New" w:hAnsi="Courier New" w:cs="Courier New" w:hint="default"/>
      </w:rPr>
    </w:lvl>
    <w:lvl w:ilvl="5" w:tentative="1">
      <w:start w:val="1"/>
      <w:numFmt w:val="bullet"/>
      <w:lvlText w:val=""/>
      <w:lvlJc w:val="left"/>
      <w:pPr>
        <w:ind w:left="4371" w:hanging="360"/>
      </w:pPr>
      <w:rPr>
        <w:rFonts w:ascii="Wingdings" w:hAnsi="Wingdings" w:hint="default"/>
      </w:rPr>
    </w:lvl>
    <w:lvl w:ilvl="6" w:tentative="1">
      <w:start w:val="1"/>
      <w:numFmt w:val="bullet"/>
      <w:lvlText w:val=""/>
      <w:lvlJc w:val="left"/>
      <w:pPr>
        <w:ind w:left="5091" w:hanging="360"/>
      </w:pPr>
      <w:rPr>
        <w:rFonts w:ascii="Symbol" w:hAnsi="Symbol" w:hint="default"/>
      </w:rPr>
    </w:lvl>
    <w:lvl w:ilvl="7" w:tentative="1">
      <w:start w:val="1"/>
      <w:numFmt w:val="bullet"/>
      <w:lvlText w:val="o"/>
      <w:lvlJc w:val="left"/>
      <w:pPr>
        <w:ind w:left="5811" w:hanging="360"/>
      </w:pPr>
      <w:rPr>
        <w:rFonts w:ascii="Courier New" w:hAnsi="Courier New" w:cs="Courier New" w:hint="default"/>
      </w:rPr>
    </w:lvl>
    <w:lvl w:ilvl="8" w:tentative="1">
      <w:start w:val="1"/>
      <w:numFmt w:val="bullet"/>
      <w:lvlText w:val=""/>
      <w:lvlJc w:val="left"/>
      <w:pPr>
        <w:ind w:left="6531" w:hanging="360"/>
      </w:pPr>
      <w:rPr>
        <w:rFonts w:ascii="Wingdings" w:hAnsi="Wingdings" w:hint="default"/>
      </w:rPr>
    </w:lvl>
  </w:abstractNum>
  <w:abstractNum w:abstractNumId="19">
    <w:nsid w:val="19713A04"/>
    <w:multiLevelType w:val="hybridMultilevel"/>
    <w:tmpl w:val="DBACE0C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0">
    <w:nsid w:val="1E8E62A8"/>
    <w:multiLevelType w:val="hybridMultilevel"/>
    <w:tmpl w:val="2A8E08E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1">
    <w:nsid w:val="21D051B7"/>
    <w:multiLevelType w:val="hybridMultilevel"/>
    <w:tmpl w:val="4E5811B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2">
    <w:nsid w:val="2EE24575"/>
    <w:multiLevelType w:val="singleLevel"/>
    <w:tmpl w:val="AA5ADB5A"/>
    <w:lvl w:ilvl="0">
      <w:start w:val="1"/>
      <w:numFmt w:val="decimal"/>
      <w:lvlText w:val="%1."/>
      <w:lvlJc w:val="left"/>
      <w:pPr>
        <w:tabs>
          <w:tab w:val="num" w:pos="570"/>
        </w:tabs>
        <w:ind w:left="570" w:hanging="570"/>
      </w:pPr>
      <w:rPr>
        <w:rFonts w:hint="default"/>
      </w:rPr>
    </w:lvl>
  </w:abstractNum>
  <w:abstractNum w:abstractNumId="23">
    <w:nsid w:val="2F83689D"/>
    <w:multiLevelType w:val="hybridMultilevel"/>
    <w:tmpl w:val="3F14389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4">
    <w:nsid w:val="343923C8"/>
    <w:multiLevelType w:val="hybridMultilevel"/>
    <w:tmpl w:val="B9F20BD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34E20A84"/>
    <w:multiLevelType w:val="hybridMultilevel"/>
    <w:tmpl w:val="55FE67C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6">
    <w:nsid w:val="3B1F4E01"/>
    <w:multiLevelType w:val="hybridMultilevel"/>
    <w:tmpl w:val="94AE546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3DFB7EDD"/>
    <w:multiLevelType w:val="hybridMultilevel"/>
    <w:tmpl w:val="674A1E6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8">
    <w:nsid w:val="3FAC5BFC"/>
    <w:multiLevelType w:val="hybridMultilevel"/>
    <w:tmpl w:val="AD96F214"/>
    <w:lvl w:ilvl="0">
      <w:start w:val="1"/>
      <w:numFmt w:val="bullet"/>
      <w:lvlText w:val=""/>
      <w:lvlJc w:val="left"/>
      <w:pPr>
        <w:ind w:left="360" w:hanging="360"/>
      </w:pPr>
      <w:rPr>
        <w:rFonts w:ascii="Symbol" w:hAnsi="Symbol" w:hint="default"/>
      </w:rPr>
    </w:lvl>
    <w:lvl w:ilvl="1" w:tentative="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29">
    <w:nsid w:val="437E076B"/>
    <w:multiLevelType w:val="hybridMultilevel"/>
    <w:tmpl w:val="7C568D5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45226B82"/>
    <w:multiLevelType w:val="hybridMultilevel"/>
    <w:tmpl w:val="75DCD36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47AA03D6"/>
    <w:multiLevelType w:val="hybridMultilevel"/>
    <w:tmpl w:val="95F2CF9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2">
    <w:nsid w:val="47BF3A5A"/>
    <w:multiLevelType w:val="hybridMultilevel"/>
    <w:tmpl w:val="B0DEC54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3">
    <w:nsid w:val="4AF02C0C"/>
    <w:multiLevelType w:val="hybridMultilevel"/>
    <w:tmpl w:val="225C9D4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4">
    <w:nsid w:val="4E2A6854"/>
    <w:multiLevelType w:val="hybridMultilevel"/>
    <w:tmpl w:val="724EB12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5">
    <w:nsid w:val="4E497FD5"/>
    <w:multiLevelType w:val="hybridMultilevel"/>
    <w:tmpl w:val="CEE0F6A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6">
    <w:nsid w:val="52350532"/>
    <w:multiLevelType w:val="hybridMultilevel"/>
    <w:tmpl w:val="EBA49B3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7">
    <w:nsid w:val="5AAD5911"/>
    <w:multiLevelType w:val="hybridMultilevel"/>
    <w:tmpl w:val="9064BA2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8">
    <w:nsid w:val="649E4F82"/>
    <w:multiLevelType w:val="hybridMultilevel"/>
    <w:tmpl w:val="9440EF8E"/>
    <w:lvl w:ilvl="0">
      <w:start w:val="1"/>
      <w:numFmt w:val="upperLetter"/>
      <w:lvlText w:val="%1."/>
      <w:lvlJc w:val="left"/>
      <w:pPr>
        <w:ind w:left="927" w:hanging="360"/>
      </w:pPr>
    </w:lvl>
    <w:lvl w:ilvl="1" w:tentative="1">
      <w:start w:val="1"/>
      <w:numFmt w:val="lowerLetter"/>
      <w:lvlText w:val="%2."/>
      <w:lvlJc w:val="left"/>
      <w:pPr>
        <w:ind w:left="1647" w:hanging="360"/>
      </w:pPr>
    </w:lvl>
    <w:lvl w:ilvl="2" w:tentative="1">
      <w:start w:val="1"/>
      <w:numFmt w:val="lowerRoman"/>
      <w:lvlText w:val="%3."/>
      <w:lvlJc w:val="right"/>
      <w:pPr>
        <w:ind w:left="2367" w:hanging="180"/>
      </w:pPr>
    </w:lvl>
    <w:lvl w:ilvl="3" w:tentative="1">
      <w:start w:val="1"/>
      <w:numFmt w:val="decimal"/>
      <w:lvlText w:val="%4."/>
      <w:lvlJc w:val="left"/>
      <w:pPr>
        <w:ind w:left="3087" w:hanging="360"/>
      </w:pPr>
    </w:lvl>
    <w:lvl w:ilvl="4" w:tentative="1">
      <w:start w:val="1"/>
      <w:numFmt w:val="lowerLetter"/>
      <w:lvlText w:val="%5."/>
      <w:lvlJc w:val="left"/>
      <w:pPr>
        <w:ind w:left="3807" w:hanging="360"/>
      </w:pPr>
    </w:lvl>
    <w:lvl w:ilvl="5" w:tentative="1">
      <w:start w:val="1"/>
      <w:numFmt w:val="lowerRoman"/>
      <w:lvlText w:val="%6."/>
      <w:lvlJc w:val="right"/>
      <w:pPr>
        <w:ind w:left="4527" w:hanging="180"/>
      </w:pPr>
    </w:lvl>
    <w:lvl w:ilvl="6" w:tentative="1">
      <w:start w:val="1"/>
      <w:numFmt w:val="decimal"/>
      <w:lvlText w:val="%7."/>
      <w:lvlJc w:val="left"/>
      <w:pPr>
        <w:ind w:left="5247" w:hanging="360"/>
      </w:pPr>
    </w:lvl>
    <w:lvl w:ilvl="7" w:tentative="1">
      <w:start w:val="1"/>
      <w:numFmt w:val="lowerLetter"/>
      <w:lvlText w:val="%8."/>
      <w:lvlJc w:val="left"/>
      <w:pPr>
        <w:ind w:left="5967" w:hanging="360"/>
      </w:pPr>
    </w:lvl>
    <w:lvl w:ilvl="8" w:tentative="1">
      <w:start w:val="1"/>
      <w:numFmt w:val="lowerRoman"/>
      <w:lvlText w:val="%9."/>
      <w:lvlJc w:val="right"/>
      <w:pPr>
        <w:ind w:left="6687" w:hanging="180"/>
      </w:pPr>
    </w:lvl>
  </w:abstractNum>
  <w:abstractNum w:abstractNumId="39">
    <w:nsid w:val="675A3A46"/>
    <w:multiLevelType w:val="hybridMultilevel"/>
    <w:tmpl w:val="95823CC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0">
    <w:nsid w:val="681F2FAC"/>
    <w:multiLevelType w:val="hybridMultilevel"/>
    <w:tmpl w:val="2880FE00"/>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1">
    <w:nsid w:val="6A493AAF"/>
    <w:multiLevelType w:val="hybridMultilevel"/>
    <w:tmpl w:val="65CA56A8"/>
    <w:lvl w:ilvl="0">
      <w:start w:val="1"/>
      <w:numFmt w:val="bullet"/>
      <w:pStyle w:val="LUTOlist-bullets"/>
      <w:lvlText w:val=""/>
      <w:lvlJc w:val="left"/>
      <w:pPr>
        <w:tabs>
          <w:tab w:val="num" w:pos="1191"/>
        </w:tabs>
        <w:ind w:left="1191" w:hanging="340"/>
      </w:pPr>
      <w:rPr>
        <w:rFonts w:ascii="Symbol" w:hAnsi="Symbol" w:hint="default"/>
        <w:color w:val="auto"/>
      </w:rPr>
    </w:lvl>
    <w:lvl w:ilvl="1">
      <w:start w:val="1"/>
      <w:numFmt w:val="bullet"/>
      <w:lvlText w:val=""/>
      <w:lvlJc w:val="left"/>
      <w:pPr>
        <w:tabs>
          <w:tab w:val="num" w:pos="2291"/>
        </w:tabs>
        <w:ind w:left="2291" w:hanging="360"/>
      </w:pPr>
      <w:rPr>
        <w:rFonts w:ascii="Symbol" w:hAnsi="Symbol" w:hint="default"/>
        <w:color w:val="auto"/>
      </w:rPr>
    </w:lvl>
    <w:lvl w:ilvl="2" w:tentative="1">
      <w:start w:val="1"/>
      <w:numFmt w:val="bullet"/>
      <w:lvlText w:val=""/>
      <w:lvlJc w:val="left"/>
      <w:pPr>
        <w:tabs>
          <w:tab w:val="num" w:pos="3011"/>
        </w:tabs>
        <w:ind w:left="3011" w:hanging="360"/>
      </w:pPr>
      <w:rPr>
        <w:rFonts w:ascii="Wingdings" w:hAnsi="Wingdings" w:hint="default"/>
      </w:rPr>
    </w:lvl>
    <w:lvl w:ilvl="3" w:tentative="1">
      <w:start w:val="1"/>
      <w:numFmt w:val="bullet"/>
      <w:lvlText w:val=""/>
      <w:lvlJc w:val="left"/>
      <w:pPr>
        <w:tabs>
          <w:tab w:val="num" w:pos="3731"/>
        </w:tabs>
        <w:ind w:left="3731" w:hanging="360"/>
      </w:pPr>
      <w:rPr>
        <w:rFonts w:ascii="Symbol" w:hAnsi="Symbol" w:hint="default"/>
      </w:rPr>
    </w:lvl>
    <w:lvl w:ilvl="4" w:tentative="1">
      <w:start w:val="1"/>
      <w:numFmt w:val="bullet"/>
      <w:lvlText w:val="o"/>
      <w:lvlJc w:val="left"/>
      <w:pPr>
        <w:tabs>
          <w:tab w:val="num" w:pos="4451"/>
        </w:tabs>
        <w:ind w:left="4451" w:hanging="360"/>
      </w:pPr>
      <w:rPr>
        <w:rFonts w:ascii="Courier New" w:hAnsi="Courier New" w:cs="Courier New" w:hint="default"/>
      </w:rPr>
    </w:lvl>
    <w:lvl w:ilvl="5" w:tentative="1">
      <w:start w:val="1"/>
      <w:numFmt w:val="bullet"/>
      <w:lvlText w:val=""/>
      <w:lvlJc w:val="left"/>
      <w:pPr>
        <w:tabs>
          <w:tab w:val="num" w:pos="5171"/>
        </w:tabs>
        <w:ind w:left="5171" w:hanging="360"/>
      </w:pPr>
      <w:rPr>
        <w:rFonts w:ascii="Wingdings" w:hAnsi="Wingdings" w:hint="default"/>
      </w:rPr>
    </w:lvl>
    <w:lvl w:ilvl="6" w:tentative="1">
      <w:start w:val="1"/>
      <w:numFmt w:val="bullet"/>
      <w:lvlText w:val=""/>
      <w:lvlJc w:val="left"/>
      <w:pPr>
        <w:tabs>
          <w:tab w:val="num" w:pos="5891"/>
        </w:tabs>
        <w:ind w:left="5891" w:hanging="360"/>
      </w:pPr>
      <w:rPr>
        <w:rFonts w:ascii="Symbol" w:hAnsi="Symbol" w:hint="default"/>
      </w:rPr>
    </w:lvl>
    <w:lvl w:ilvl="7" w:tentative="1">
      <w:start w:val="1"/>
      <w:numFmt w:val="bullet"/>
      <w:lvlText w:val="o"/>
      <w:lvlJc w:val="left"/>
      <w:pPr>
        <w:tabs>
          <w:tab w:val="num" w:pos="6611"/>
        </w:tabs>
        <w:ind w:left="6611" w:hanging="360"/>
      </w:pPr>
      <w:rPr>
        <w:rFonts w:ascii="Courier New" w:hAnsi="Courier New" w:cs="Courier New" w:hint="default"/>
      </w:rPr>
    </w:lvl>
    <w:lvl w:ilvl="8" w:tentative="1">
      <w:start w:val="1"/>
      <w:numFmt w:val="bullet"/>
      <w:lvlText w:val=""/>
      <w:lvlJc w:val="left"/>
      <w:pPr>
        <w:tabs>
          <w:tab w:val="num" w:pos="7331"/>
        </w:tabs>
        <w:ind w:left="7331" w:hanging="360"/>
      </w:pPr>
      <w:rPr>
        <w:rFonts w:ascii="Wingdings" w:hAnsi="Wingdings" w:hint="default"/>
      </w:rPr>
    </w:lvl>
  </w:abstractNum>
  <w:abstractNum w:abstractNumId="42">
    <w:nsid w:val="6A6904A9"/>
    <w:multiLevelType w:val="hybridMultilevel"/>
    <w:tmpl w:val="EB06F66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3">
    <w:nsid w:val="6A8B3288"/>
    <w:multiLevelType w:val="hybridMultilevel"/>
    <w:tmpl w:val="367822E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4">
    <w:nsid w:val="6B742082"/>
    <w:multiLevelType w:val="hybridMultilevel"/>
    <w:tmpl w:val="9C7E3ED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5">
    <w:nsid w:val="6EC256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nsid w:val="6F9337D0"/>
    <w:multiLevelType w:val="hybridMultilevel"/>
    <w:tmpl w:val="B6C885E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7">
    <w:nsid w:val="7459448F"/>
    <w:multiLevelType w:val="hybridMultilevel"/>
    <w:tmpl w:val="D67A8454"/>
    <w:lvl w:ilvl="0">
      <w:start w:val="1"/>
      <w:numFmt w:val="bullet"/>
      <w:lvlText w:val=""/>
      <w:lvlJc w:val="left"/>
      <w:pPr>
        <w:ind w:left="502"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8">
    <w:nsid w:val="7BC203AB"/>
    <w:multiLevelType w:val="hybridMultilevel"/>
    <w:tmpl w:val="B1EAECA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9">
    <w:nsid w:val="7C9C3CA4"/>
    <w:multiLevelType w:val="hybridMultilevel"/>
    <w:tmpl w:val="42A2B564"/>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0">
    <w:nsid w:val="7D991DA0"/>
    <w:multiLevelType w:val="hybridMultilevel"/>
    <w:tmpl w:val="9856C52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47"/>
  </w:num>
  <w:num w:numId="2">
    <w:abstractNumId w:val="41"/>
  </w:num>
  <w:num w:numId="3">
    <w:abstractNumId w:val="10"/>
  </w:num>
  <w:num w:numId="4">
    <w:abstractNumId w:val="37"/>
  </w:num>
  <w:num w:numId="5">
    <w:abstractNumId w:val="24"/>
  </w:num>
  <w:num w:numId="6">
    <w:abstractNumId w:val="27"/>
  </w:num>
  <w:num w:numId="7">
    <w:abstractNumId w:val="34"/>
  </w:num>
  <w:num w:numId="8">
    <w:abstractNumId w:val="20"/>
  </w:num>
  <w:num w:numId="9">
    <w:abstractNumId w:val="42"/>
  </w:num>
  <w:num w:numId="10">
    <w:abstractNumId w:val="36"/>
  </w:num>
  <w:num w:numId="11">
    <w:abstractNumId w:val="14"/>
  </w:num>
  <w:num w:numId="12">
    <w:abstractNumId w:val="39"/>
  </w:num>
  <w:num w:numId="13">
    <w:abstractNumId w:val="40"/>
  </w:num>
  <w:num w:numId="14">
    <w:abstractNumId w:val="17"/>
  </w:num>
  <w:num w:numId="15">
    <w:abstractNumId w:val="13"/>
  </w:num>
  <w:num w:numId="16">
    <w:abstractNumId w:val="31"/>
  </w:num>
  <w:num w:numId="17">
    <w:abstractNumId w:val="35"/>
  </w:num>
  <w:num w:numId="18">
    <w:abstractNumId w:val="48"/>
  </w:num>
  <w:num w:numId="19">
    <w:abstractNumId w:val="23"/>
  </w:num>
  <w:num w:numId="20">
    <w:abstractNumId w:val="50"/>
  </w:num>
  <w:num w:numId="21">
    <w:abstractNumId w:val="32"/>
  </w:num>
  <w:num w:numId="22">
    <w:abstractNumId w:val="0"/>
  </w:num>
  <w:num w:numId="23">
    <w:abstractNumId w:val="25"/>
  </w:num>
  <w:num w:numId="24">
    <w:abstractNumId w:val="44"/>
  </w:num>
  <w:num w:numId="25">
    <w:abstractNumId w:val="12"/>
  </w:num>
  <w:num w:numId="26">
    <w:abstractNumId w:val="46"/>
  </w:num>
  <w:num w:numId="27">
    <w:abstractNumId w:val="18"/>
  </w:num>
  <w:num w:numId="28">
    <w:abstractNumId w:val="49"/>
  </w:num>
  <w:num w:numId="29">
    <w:abstractNumId w:val="38"/>
  </w:num>
  <w:num w:numId="30">
    <w:abstractNumId w:val="8"/>
  </w:num>
  <w:num w:numId="31">
    <w:abstractNumId w:val="7"/>
  </w:num>
  <w:num w:numId="32">
    <w:abstractNumId w:val="6"/>
  </w:num>
  <w:num w:numId="33">
    <w:abstractNumId w:val="5"/>
  </w:num>
  <w:num w:numId="34">
    <w:abstractNumId w:val="9"/>
  </w:num>
  <w:num w:numId="35">
    <w:abstractNumId w:val="4"/>
  </w:num>
  <w:num w:numId="36">
    <w:abstractNumId w:val="3"/>
  </w:num>
  <w:num w:numId="37">
    <w:abstractNumId w:val="2"/>
  </w:num>
  <w:num w:numId="38">
    <w:abstractNumId w:val="1"/>
  </w:num>
  <w:num w:numId="39">
    <w:abstractNumId w:val="22"/>
  </w:num>
  <w:num w:numId="40">
    <w:abstractNumId w:val="45"/>
  </w:num>
  <w:num w:numId="41">
    <w:abstractNumId w:val="43"/>
  </w:num>
  <w:num w:numId="42">
    <w:abstractNumId w:val="19"/>
  </w:num>
  <w:num w:numId="43">
    <w:abstractNumId w:val="15"/>
  </w:num>
  <w:num w:numId="44">
    <w:abstractNumId w:val="33"/>
  </w:num>
  <w:num w:numId="45">
    <w:abstractNumId w:val="16"/>
  </w:num>
  <w:num w:numId="46">
    <w:abstractNumId w:val="29"/>
  </w:num>
  <w:num w:numId="47">
    <w:abstractNumId w:val="21"/>
  </w:num>
  <w:num w:numId="48">
    <w:abstractNumId w:val="11"/>
  </w:num>
  <w:num w:numId="49">
    <w:abstractNumId w:val="30"/>
  </w:num>
  <w:num w:numId="50">
    <w:abstractNumId w:val="26"/>
  </w:num>
  <w:num w:numId="51">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3F04"/>
  <w:doNotTrackMoves/>
  <w:defaultTabStop w:val="567"/>
  <w:hyphenationZone w:val="425"/>
  <w:doNotHyphenateCaps/>
  <w:displayHorizontalDrawingGridEvery w:val="0"/>
  <w:displayVerticalDrawingGridEvery w:val="0"/>
  <w:doNotUseMarginsForDrawingGridOrigin/>
  <w:drawingGridHorizontalOrigin w:val="1701"/>
  <w:drawingGridVerticalOrigin w:val="1984"/>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431E8"/>
    <w:rsid w:val="000012B4"/>
    <w:rsid w:val="000103AF"/>
    <w:rsid w:val="00012F92"/>
    <w:rsid w:val="0002271E"/>
    <w:rsid w:val="00024261"/>
    <w:rsid w:val="00025227"/>
    <w:rsid w:val="00034259"/>
    <w:rsid w:val="000348BE"/>
    <w:rsid w:val="00036A9F"/>
    <w:rsid w:val="0004270C"/>
    <w:rsid w:val="000464A3"/>
    <w:rsid w:val="00047210"/>
    <w:rsid w:val="00053AE6"/>
    <w:rsid w:val="00060691"/>
    <w:rsid w:val="00062D3F"/>
    <w:rsid w:val="00070E92"/>
    <w:rsid w:val="0007167A"/>
    <w:rsid w:val="00077907"/>
    <w:rsid w:val="000855E9"/>
    <w:rsid w:val="00090A7E"/>
    <w:rsid w:val="000911BD"/>
    <w:rsid w:val="00091B59"/>
    <w:rsid w:val="0009597F"/>
    <w:rsid w:val="00095DED"/>
    <w:rsid w:val="00095F37"/>
    <w:rsid w:val="000A0E5B"/>
    <w:rsid w:val="000A6994"/>
    <w:rsid w:val="000A6C60"/>
    <w:rsid w:val="000B57C5"/>
    <w:rsid w:val="000B5BA8"/>
    <w:rsid w:val="000B6D36"/>
    <w:rsid w:val="000B782E"/>
    <w:rsid w:val="000C063C"/>
    <w:rsid w:val="000C06E0"/>
    <w:rsid w:val="000C1E78"/>
    <w:rsid w:val="000C44BA"/>
    <w:rsid w:val="000C5589"/>
    <w:rsid w:val="000D5CBB"/>
    <w:rsid w:val="000E041C"/>
    <w:rsid w:val="000E24ED"/>
    <w:rsid w:val="000E288A"/>
    <w:rsid w:val="000F4BD8"/>
    <w:rsid w:val="000F58D7"/>
    <w:rsid w:val="000F5FAB"/>
    <w:rsid w:val="00101395"/>
    <w:rsid w:val="001030AD"/>
    <w:rsid w:val="00110ACA"/>
    <w:rsid w:val="00112274"/>
    <w:rsid w:val="00113711"/>
    <w:rsid w:val="00113FF0"/>
    <w:rsid w:val="00114489"/>
    <w:rsid w:val="00120A8F"/>
    <w:rsid w:val="00123D7D"/>
    <w:rsid w:val="00125877"/>
    <w:rsid w:val="0012606C"/>
    <w:rsid w:val="00132E3E"/>
    <w:rsid w:val="001370B4"/>
    <w:rsid w:val="001456AB"/>
    <w:rsid w:val="00145C0D"/>
    <w:rsid w:val="00155069"/>
    <w:rsid w:val="001562CA"/>
    <w:rsid w:val="00156E61"/>
    <w:rsid w:val="00161F3E"/>
    <w:rsid w:val="00173038"/>
    <w:rsid w:val="00173A1E"/>
    <w:rsid w:val="00174B40"/>
    <w:rsid w:val="00180C9D"/>
    <w:rsid w:val="00184E88"/>
    <w:rsid w:val="0019023B"/>
    <w:rsid w:val="001902C8"/>
    <w:rsid w:val="00192F06"/>
    <w:rsid w:val="00195165"/>
    <w:rsid w:val="00195830"/>
    <w:rsid w:val="001963FA"/>
    <w:rsid w:val="001A1B36"/>
    <w:rsid w:val="001A34F3"/>
    <w:rsid w:val="001A714F"/>
    <w:rsid w:val="001B419D"/>
    <w:rsid w:val="001B4A07"/>
    <w:rsid w:val="001B67A9"/>
    <w:rsid w:val="001B7375"/>
    <w:rsid w:val="001C1BED"/>
    <w:rsid w:val="001C233F"/>
    <w:rsid w:val="001C3942"/>
    <w:rsid w:val="001C3B7D"/>
    <w:rsid w:val="001C7D4F"/>
    <w:rsid w:val="001D484D"/>
    <w:rsid w:val="001E0046"/>
    <w:rsid w:val="001E07C9"/>
    <w:rsid w:val="001E1E24"/>
    <w:rsid w:val="001E345B"/>
    <w:rsid w:val="001E39B3"/>
    <w:rsid w:val="001E7191"/>
    <w:rsid w:val="001F04D4"/>
    <w:rsid w:val="001F1083"/>
    <w:rsid w:val="001F266D"/>
    <w:rsid w:val="00203395"/>
    <w:rsid w:val="00205E79"/>
    <w:rsid w:val="002067DA"/>
    <w:rsid w:val="0021112B"/>
    <w:rsid w:val="00212BAF"/>
    <w:rsid w:val="00215368"/>
    <w:rsid w:val="0021659A"/>
    <w:rsid w:val="00223B86"/>
    <w:rsid w:val="00223D84"/>
    <w:rsid w:val="002254F1"/>
    <w:rsid w:val="002267BF"/>
    <w:rsid w:val="002352CF"/>
    <w:rsid w:val="00236229"/>
    <w:rsid w:val="00240584"/>
    <w:rsid w:val="0024306E"/>
    <w:rsid w:val="002550E6"/>
    <w:rsid w:val="0025542C"/>
    <w:rsid w:val="00257156"/>
    <w:rsid w:val="0027161B"/>
    <w:rsid w:val="00273052"/>
    <w:rsid w:val="00273347"/>
    <w:rsid w:val="00273F05"/>
    <w:rsid w:val="002757F6"/>
    <w:rsid w:val="0028068C"/>
    <w:rsid w:val="00281000"/>
    <w:rsid w:val="002826F6"/>
    <w:rsid w:val="00282AC6"/>
    <w:rsid w:val="002831C9"/>
    <w:rsid w:val="00283CA7"/>
    <w:rsid w:val="00284E09"/>
    <w:rsid w:val="0028551C"/>
    <w:rsid w:val="002875F9"/>
    <w:rsid w:val="00290EE7"/>
    <w:rsid w:val="002915D4"/>
    <w:rsid w:val="002930E5"/>
    <w:rsid w:val="00293138"/>
    <w:rsid w:val="002A2F31"/>
    <w:rsid w:val="002A5187"/>
    <w:rsid w:val="002A7745"/>
    <w:rsid w:val="002A7E96"/>
    <w:rsid w:val="002B11E8"/>
    <w:rsid w:val="002B1C38"/>
    <w:rsid w:val="002B5D66"/>
    <w:rsid w:val="002C203B"/>
    <w:rsid w:val="002C25C7"/>
    <w:rsid w:val="002C3286"/>
    <w:rsid w:val="002C39B2"/>
    <w:rsid w:val="002D0245"/>
    <w:rsid w:val="002D09F0"/>
    <w:rsid w:val="002D1C66"/>
    <w:rsid w:val="002D4732"/>
    <w:rsid w:val="002D59C9"/>
    <w:rsid w:val="002E59B8"/>
    <w:rsid w:val="002E758A"/>
    <w:rsid w:val="002F2C4C"/>
    <w:rsid w:val="002F7373"/>
    <w:rsid w:val="0030091C"/>
    <w:rsid w:val="00302D3D"/>
    <w:rsid w:val="003032C1"/>
    <w:rsid w:val="00303F7A"/>
    <w:rsid w:val="003042BF"/>
    <w:rsid w:val="003076E3"/>
    <w:rsid w:val="00313485"/>
    <w:rsid w:val="0031370B"/>
    <w:rsid w:val="00315E59"/>
    <w:rsid w:val="003162CE"/>
    <w:rsid w:val="003168AE"/>
    <w:rsid w:val="003169C6"/>
    <w:rsid w:val="003205B0"/>
    <w:rsid w:val="00321091"/>
    <w:rsid w:val="00321DDB"/>
    <w:rsid w:val="00321F0C"/>
    <w:rsid w:val="0032511C"/>
    <w:rsid w:val="00334B44"/>
    <w:rsid w:val="0034246F"/>
    <w:rsid w:val="003538B2"/>
    <w:rsid w:val="003557EA"/>
    <w:rsid w:val="003615CB"/>
    <w:rsid w:val="00375DD5"/>
    <w:rsid w:val="003841C5"/>
    <w:rsid w:val="003851B4"/>
    <w:rsid w:val="003904DB"/>
    <w:rsid w:val="00390EF5"/>
    <w:rsid w:val="003920A7"/>
    <w:rsid w:val="003925CA"/>
    <w:rsid w:val="00393C17"/>
    <w:rsid w:val="003A3937"/>
    <w:rsid w:val="003A4615"/>
    <w:rsid w:val="003A6ABE"/>
    <w:rsid w:val="003B7569"/>
    <w:rsid w:val="003B7A77"/>
    <w:rsid w:val="003B7E6C"/>
    <w:rsid w:val="003C43A3"/>
    <w:rsid w:val="003D33D4"/>
    <w:rsid w:val="003D51C6"/>
    <w:rsid w:val="003E617C"/>
    <w:rsid w:val="003F2B6C"/>
    <w:rsid w:val="00405F86"/>
    <w:rsid w:val="00406AD2"/>
    <w:rsid w:val="004123AC"/>
    <w:rsid w:val="00413BB6"/>
    <w:rsid w:val="00417DAC"/>
    <w:rsid w:val="00420B95"/>
    <w:rsid w:val="0043030D"/>
    <w:rsid w:val="0043500F"/>
    <w:rsid w:val="004359B7"/>
    <w:rsid w:val="00436F68"/>
    <w:rsid w:val="00437963"/>
    <w:rsid w:val="00442D9B"/>
    <w:rsid w:val="00443A21"/>
    <w:rsid w:val="00447C90"/>
    <w:rsid w:val="004507A1"/>
    <w:rsid w:val="0045105B"/>
    <w:rsid w:val="004530B8"/>
    <w:rsid w:val="00454B11"/>
    <w:rsid w:val="00454BA1"/>
    <w:rsid w:val="004550B0"/>
    <w:rsid w:val="004550DB"/>
    <w:rsid w:val="00460A82"/>
    <w:rsid w:val="004614F1"/>
    <w:rsid w:val="00463EB2"/>
    <w:rsid w:val="00465126"/>
    <w:rsid w:val="004662A0"/>
    <w:rsid w:val="00470313"/>
    <w:rsid w:val="004735D6"/>
    <w:rsid w:val="00482778"/>
    <w:rsid w:val="004926D2"/>
    <w:rsid w:val="004A2497"/>
    <w:rsid w:val="004A5A53"/>
    <w:rsid w:val="004B0311"/>
    <w:rsid w:val="004B056C"/>
    <w:rsid w:val="004B0808"/>
    <w:rsid w:val="004B1796"/>
    <w:rsid w:val="004B4CCD"/>
    <w:rsid w:val="004B5664"/>
    <w:rsid w:val="004B6A50"/>
    <w:rsid w:val="004B746C"/>
    <w:rsid w:val="004C017C"/>
    <w:rsid w:val="004C2B81"/>
    <w:rsid w:val="004C36BA"/>
    <w:rsid w:val="004D3A86"/>
    <w:rsid w:val="004D52CA"/>
    <w:rsid w:val="004E38C1"/>
    <w:rsid w:val="004E7460"/>
    <w:rsid w:val="004F10F5"/>
    <w:rsid w:val="004F1833"/>
    <w:rsid w:val="004F2193"/>
    <w:rsid w:val="00501BFD"/>
    <w:rsid w:val="00503001"/>
    <w:rsid w:val="00503DA1"/>
    <w:rsid w:val="00503EE6"/>
    <w:rsid w:val="00503F91"/>
    <w:rsid w:val="005049D4"/>
    <w:rsid w:val="00511478"/>
    <w:rsid w:val="005114CC"/>
    <w:rsid w:val="00517A75"/>
    <w:rsid w:val="00517ACE"/>
    <w:rsid w:val="0052333F"/>
    <w:rsid w:val="00523F20"/>
    <w:rsid w:val="005315DD"/>
    <w:rsid w:val="00532D1A"/>
    <w:rsid w:val="0053431A"/>
    <w:rsid w:val="00534835"/>
    <w:rsid w:val="00540DB5"/>
    <w:rsid w:val="005423CE"/>
    <w:rsid w:val="00556CF5"/>
    <w:rsid w:val="00562476"/>
    <w:rsid w:val="005642D3"/>
    <w:rsid w:val="0056510B"/>
    <w:rsid w:val="00573613"/>
    <w:rsid w:val="00574240"/>
    <w:rsid w:val="00583BF9"/>
    <w:rsid w:val="00583DA1"/>
    <w:rsid w:val="00585600"/>
    <w:rsid w:val="005906FE"/>
    <w:rsid w:val="00592288"/>
    <w:rsid w:val="00592477"/>
    <w:rsid w:val="005A24D0"/>
    <w:rsid w:val="005A54E4"/>
    <w:rsid w:val="005A58AA"/>
    <w:rsid w:val="005B1024"/>
    <w:rsid w:val="005B5457"/>
    <w:rsid w:val="005C1744"/>
    <w:rsid w:val="005C649C"/>
    <w:rsid w:val="005D09DA"/>
    <w:rsid w:val="005D4B7E"/>
    <w:rsid w:val="005D55AD"/>
    <w:rsid w:val="005D5E49"/>
    <w:rsid w:val="005D6319"/>
    <w:rsid w:val="005E0EA8"/>
    <w:rsid w:val="005E125D"/>
    <w:rsid w:val="005E259C"/>
    <w:rsid w:val="005E36AA"/>
    <w:rsid w:val="005E7A0E"/>
    <w:rsid w:val="005E7E7C"/>
    <w:rsid w:val="005F5F87"/>
    <w:rsid w:val="005F62B2"/>
    <w:rsid w:val="00600AC6"/>
    <w:rsid w:val="0060141A"/>
    <w:rsid w:val="00601BFA"/>
    <w:rsid w:val="006021B6"/>
    <w:rsid w:val="006069C3"/>
    <w:rsid w:val="00607204"/>
    <w:rsid w:val="006127C2"/>
    <w:rsid w:val="00621665"/>
    <w:rsid w:val="00625293"/>
    <w:rsid w:val="00632E85"/>
    <w:rsid w:val="0063691D"/>
    <w:rsid w:val="006417B1"/>
    <w:rsid w:val="00651AA6"/>
    <w:rsid w:val="00662565"/>
    <w:rsid w:val="006643CC"/>
    <w:rsid w:val="00666BD6"/>
    <w:rsid w:val="006769F0"/>
    <w:rsid w:val="006827E8"/>
    <w:rsid w:val="00684D3C"/>
    <w:rsid w:val="006A1C53"/>
    <w:rsid w:val="006A4574"/>
    <w:rsid w:val="006A6270"/>
    <w:rsid w:val="006A6BDE"/>
    <w:rsid w:val="006B3623"/>
    <w:rsid w:val="006C0961"/>
    <w:rsid w:val="006C474E"/>
    <w:rsid w:val="006C5E94"/>
    <w:rsid w:val="006D0EEA"/>
    <w:rsid w:val="006D79D9"/>
    <w:rsid w:val="006F38C9"/>
    <w:rsid w:val="006F4E3C"/>
    <w:rsid w:val="00701840"/>
    <w:rsid w:val="00702CBC"/>
    <w:rsid w:val="00704B79"/>
    <w:rsid w:val="00706CE1"/>
    <w:rsid w:val="0071097F"/>
    <w:rsid w:val="00713806"/>
    <w:rsid w:val="00734838"/>
    <w:rsid w:val="00735792"/>
    <w:rsid w:val="00745653"/>
    <w:rsid w:val="00747B44"/>
    <w:rsid w:val="00751836"/>
    <w:rsid w:val="00751E82"/>
    <w:rsid w:val="007532B6"/>
    <w:rsid w:val="0075354A"/>
    <w:rsid w:val="007604B7"/>
    <w:rsid w:val="007619CA"/>
    <w:rsid w:val="007672BD"/>
    <w:rsid w:val="00771C05"/>
    <w:rsid w:val="00772951"/>
    <w:rsid w:val="00780D25"/>
    <w:rsid w:val="007814C1"/>
    <w:rsid w:val="00783ABF"/>
    <w:rsid w:val="00787AA8"/>
    <w:rsid w:val="00791ABE"/>
    <w:rsid w:val="007A0E0C"/>
    <w:rsid w:val="007A2606"/>
    <w:rsid w:val="007A4181"/>
    <w:rsid w:val="007A6D17"/>
    <w:rsid w:val="007B04AE"/>
    <w:rsid w:val="007B0637"/>
    <w:rsid w:val="007B0AB6"/>
    <w:rsid w:val="007B0BC3"/>
    <w:rsid w:val="007B5CB9"/>
    <w:rsid w:val="007C5BD6"/>
    <w:rsid w:val="007C68CF"/>
    <w:rsid w:val="007C6EE1"/>
    <w:rsid w:val="007D1078"/>
    <w:rsid w:val="007D77FB"/>
    <w:rsid w:val="007E0948"/>
    <w:rsid w:val="007E2DEF"/>
    <w:rsid w:val="007E337A"/>
    <w:rsid w:val="007E5FB9"/>
    <w:rsid w:val="007E6831"/>
    <w:rsid w:val="007F42F4"/>
    <w:rsid w:val="007F6A6D"/>
    <w:rsid w:val="007F6F2B"/>
    <w:rsid w:val="00802424"/>
    <w:rsid w:val="008035C0"/>
    <w:rsid w:val="008069A5"/>
    <w:rsid w:val="0081618B"/>
    <w:rsid w:val="008169D7"/>
    <w:rsid w:val="00817B9A"/>
    <w:rsid w:val="00823F3E"/>
    <w:rsid w:val="008242A7"/>
    <w:rsid w:val="00825F02"/>
    <w:rsid w:val="008266B3"/>
    <w:rsid w:val="00830C64"/>
    <w:rsid w:val="00830CF9"/>
    <w:rsid w:val="00836FAD"/>
    <w:rsid w:val="00837C32"/>
    <w:rsid w:val="00841A74"/>
    <w:rsid w:val="00844828"/>
    <w:rsid w:val="00846CCF"/>
    <w:rsid w:val="00850931"/>
    <w:rsid w:val="008511AC"/>
    <w:rsid w:val="008529B5"/>
    <w:rsid w:val="008542E2"/>
    <w:rsid w:val="00854590"/>
    <w:rsid w:val="008564C2"/>
    <w:rsid w:val="00857309"/>
    <w:rsid w:val="00860B62"/>
    <w:rsid w:val="00860C74"/>
    <w:rsid w:val="00861218"/>
    <w:rsid w:val="00861F4D"/>
    <w:rsid w:val="00874251"/>
    <w:rsid w:val="00874CE2"/>
    <w:rsid w:val="00874DB6"/>
    <w:rsid w:val="008755D8"/>
    <w:rsid w:val="008775C8"/>
    <w:rsid w:val="00880A8E"/>
    <w:rsid w:val="0088327D"/>
    <w:rsid w:val="0088581A"/>
    <w:rsid w:val="008920D4"/>
    <w:rsid w:val="0089231D"/>
    <w:rsid w:val="0089284C"/>
    <w:rsid w:val="008A1056"/>
    <w:rsid w:val="008A2E93"/>
    <w:rsid w:val="008A3920"/>
    <w:rsid w:val="008A4E7B"/>
    <w:rsid w:val="008A6CB0"/>
    <w:rsid w:val="008A70CA"/>
    <w:rsid w:val="008B60EE"/>
    <w:rsid w:val="008C0315"/>
    <w:rsid w:val="008C0B6B"/>
    <w:rsid w:val="008D43BD"/>
    <w:rsid w:val="008D47FA"/>
    <w:rsid w:val="008D6976"/>
    <w:rsid w:val="008D739A"/>
    <w:rsid w:val="008E063F"/>
    <w:rsid w:val="008E1DA8"/>
    <w:rsid w:val="008F177A"/>
    <w:rsid w:val="00902D54"/>
    <w:rsid w:val="00902E22"/>
    <w:rsid w:val="00903809"/>
    <w:rsid w:val="0090478A"/>
    <w:rsid w:val="00906132"/>
    <w:rsid w:val="00911DEE"/>
    <w:rsid w:val="0091272C"/>
    <w:rsid w:val="00913B0D"/>
    <w:rsid w:val="009172FF"/>
    <w:rsid w:val="00921BCA"/>
    <w:rsid w:val="0093078F"/>
    <w:rsid w:val="00931D8D"/>
    <w:rsid w:val="009331F4"/>
    <w:rsid w:val="00935394"/>
    <w:rsid w:val="00937163"/>
    <w:rsid w:val="00957BF8"/>
    <w:rsid w:val="00962ECA"/>
    <w:rsid w:val="00965D3F"/>
    <w:rsid w:val="00971F41"/>
    <w:rsid w:val="009747F9"/>
    <w:rsid w:val="00980C61"/>
    <w:rsid w:val="009816E1"/>
    <w:rsid w:val="009945F5"/>
    <w:rsid w:val="00997A39"/>
    <w:rsid w:val="009A0005"/>
    <w:rsid w:val="009A07C9"/>
    <w:rsid w:val="009A1030"/>
    <w:rsid w:val="009A128E"/>
    <w:rsid w:val="009A63AA"/>
    <w:rsid w:val="009B35BF"/>
    <w:rsid w:val="009B4F04"/>
    <w:rsid w:val="009B7150"/>
    <w:rsid w:val="009C63D1"/>
    <w:rsid w:val="009C6486"/>
    <w:rsid w:val="009D34B2"/>
    <w:rsid w:val="009D68DB"/>
    <w:rsid w:val="009D7EC1"/>
    <w:rsid w:val="009E0FCC"/>
    <w:rsid w:val="009E3416"/>
    <w:rsid w:val="009E62AA"/>
    <w:rsid w:val="009F0E0A"/>
    <w:rsid w:val="009F2F20"/>
    <w:rsid w:val="009F2F32"/>
    <w:rsid w:val="009F39F6"/>
    <w:rsid w:val="009F44D5"/>
    <w:rsid w:val="009F5B38"/>
    <w:rsid w:val="009F6CCF"/>
    <w:rsid w:val="00A12367"/>
    <w:rsid w:val="00A16005"/>
    <w:rsid w:val="00A211D8"/>
    <w:rsid w:val="00A22202"/>
    <w:rsid w:val="00A30921"/>
    <w:rsid w:val="00A31F93"/>
    <w:rsid w:val="00A32BDA"/>
    <w:rsid w:val="00A32C9B"/>
    <w:rsid w:val="00A33928"/>
    <w:rsid w:val="00A4080A"/>
    <w:rsid w:val="00A415B0"/>
    <w:rsid w:val="00A42852"/>
    <w:rsid w:val="00A45B5C"/>
    <w:rsid w:val="00A47890"/>
    <w:rsid w:val="00A51B17"/>
    <w:rsid w:val="00A52C79"/>
    <w:rsid w:val="00A557EB"/>
    <w:rsid w:val="00A5591C"/>
    <w:rsid w:val="00A5756A"/>
    <w:rsid w:val="00A57D66"/>
    <w:rsid w:val="00A62793"/>
    <w:rsid w:val="00A63367"/>
    <w:rsid w:val="00A633F4"/>
    <w:rsid w:val="00A6534C"/>
    <w:rsid w:val="00A65782"/>
    <w:rsid w:val="00A67B2E"/>
    <w:rsid w:val="00A70638"/>
    <w:rsid w:val="00A71E02"/>
    <w:rsid w:val="00A74CD2"/>
    <w:rsid w:val="00A75B19"/>
    <w:rsid w:val="00A77C39"/>
    <w:rsid w:val="00A866F2"/>
    <w:rsid w:val="00A977E8"/>
    <w:rsid w:val="00AA09E3"/>
    <w:rsid w:val="00AA17C2"/>
    <w:rsid w:val="00AA3D03"/>
    <w:rsid w:val="00AB1257"/>
    <w:rsid w:val="00AB3CF7"/>
    <w:rsid w:val="00AC0D5F"/>
    <w:rsid w:val="00AC165E"/>
    <w:rsid w:val="00AC318A"/>
    <w:rsid w:val="00AD2FB9"/>
    <w:rsid w:val="00AD770B"/>
    <w:rsid w:val="00AE1482"/>
    <w:rsid w:val="00AE1EBF"/>
    <w:rsid w:val="00AE2A51"/>
    <w:rsid w:val="00AF3487"/>
    <w:rsid w:val="00AF7DAB"/>
    <w:rsid w:val="00AF7F4C"/>
    <w:rsid w:val="00B007EA"/>
    <w:rsid w:val="00B02926"/>
    <w:rsid w:val="00B02DB1"/>
    <w:rsid w:val="00B041B3"/>
    <w:rsid w:val="00B0564C"/>
    <w:rsid w:val="00B06F60"/>
    <w:rsid w:val="00B108EC"/>
    <w:rsid w:val="00B120A7"/>
    <w:rsid w:val="00B1301E"/>
    <w:rsid w:val="00B146B4"/>
    <w:rsid w:val="00B25CD5"/>
    <w:rsid w:val="00B264AF"/>
    <w:rsid w:val="00B31C1B"/>
    <w:rsid w:val="00B34766"/>
    <w:rsid w:val="00B36A79"/>
    <w:rsid w:val="00B50026"/>
    <w:rsid w:val="00B5194C"/>
    <w:rsid w:val="00B526D4"/>
    <w:rsid w:val="00B53B00"/>
    <w:rsid w:val="00B57834"/>
    <w:rsid w:val="00B628A1"/>
    <w:rsid w:val="00B6504A"/>
    <w:rsid w:val="00B659E3"/>
    <w:rsid w:val="00B661E6"/>
    <w:rsid w:val="00B70673"/>
    <w:rsid w:val="00B70BB0"/>
    <w:rsid w:val="00B72F6F"/>
    <w:rsid w:val="00B84E4A"/>
    <w:rsid w:val="00B866F3"/>
    <w:rsid w:val="00BA0AF1"/>
    <w:rsid w:val="00BA0C71"/>
    <w:rsid w:val="00BA155D"/>
    <w:rsid w:val="00BA768D"/>
    <w:rsid w:val="00BB453D"/>
    <w:rsid w:val="00BC11A4"/>
    <w:rsid w:val="00BC4AEA"/>
    <w:rsid w:val="00BD0066"/>
    <w:rsid w:val="00BE05F2"/>
    <w:rsid w:val="00BE190F"/>
    <w:rsid w:val="00BE25CB"/>
    <w:rsid w:val="00BE73AF"/>
    <w:rsid w:val="00BF21C0"/>
    <w:rsid w:val="00BF5BC6"/>
    <w:rsid w:val="00C01110"/>
    <w:rsid w:val="00C0374A"/>
    <w:rsid w:val="00C0415A"/>
    <w:rsid w:val="00C04DC0"/>
    <w:rsid w:val="00C072CD"/>
    <w:rsid w:val="00C1050B"/>
    <w:rsid w:val="00C12092"/>
    <w:rsid w:val="00C16D42"/>
    <w:rsid w:val="00C20DF9"/>
    <w:rsid w:val="00C216BF"/>
    <w:rsid w:val="00C22725"/>
    <w:rsid w:val="00C27CC6"/>
    <w:rsid w:val="00C319C1"/>
    <w:rsid w:val="00C33CE9"/>
    <w:rsid w:val="00C34D87"/>
    <w:rsid w:val="00C35677"/>
    <w:rsid w:val="00C43261"/>
    <w:rsid w:val="00C47E02"/>
    <w:rsid w:val="00C50F24"/>
    <w:rsid w:val="00C51DEE"/>
    <w:rsid w:val="00C52166"/>
    <w:rsid w:val="00C5364A"/>
    <w:rsid w:val="00C56DE6"/>
    <w:rsid w:val="00C6067A"/>
    <w:rsid w:val="00C614C0"/>
    <w:rsid w:val="00C62698"/>
    <w:rsid w:val="00C65295"/>
    <w:rsid w:val="00C67C6A"/>
    <w:rsid w:val="00C71266"/>
    <w:rsid w:val="00C7213B"/>
    <w:rsid w:val="00C74372"/>
    <w:rsid w:val="00C763AB"/>
    <w:rsid w:val="00C77A18"/>
    <w:rsid w:val="00C77EBF"/>
    <w:rsid w:val="00C85031"/>
    <w:rsid w:val="00C86618"/>
    <w:rsid w:val="00C8702D"/>
    <w:rsid w:val="00C87E85"/>
    <w:rsid w:val="00C937E7"/>
    <w:rsid w:val="00C9449E"/>
    <w:rsid w:val="00C96192"/>
    <w:rsid w:val="00CA2BC6"/>
    <w:rsid w:val="00CA33DF"/>
    <w:rsid w:val="00CA5212"/>
    <w:rsid w:val="00CA649B"/>
    <w:rsid w:val="00CA6DA7"/>
    <w:rsid w:val="00CA788E"/>
    <w:rsid w:val="00CA7DC5"/>
    <w:rsid w:val="00CB2342"/>
    <w:rsid w:val="00CB2C3F"/>
    <w:rsid w:val="00CB7672"/>
    <w:rsid w:val="00CC4F20"/>
    <w:rsid w:val="00CD1B99"/>
    <w:rsid w:val="00CD2DD8"/>
    <w:rsid w:val="00CD3FFF"/>
    <w:rsid w:val="00CE069C"/>
    <w:rsid w:val="00CE7763"/>
    <w:rsid w:val="00CF1163"/>
    <w:rsid w:val="00CF35F3"/>
    <w:rsid w:val="00CF3A04"/>
    <w:rsid w:val="00CF529C"/>
    <w:rsid w:val="00CF5B1D"/>
    <w:rsid w:val="00CF5B2A"/>
    <w:rsid w:val="00D140DF"/>
    <w:rsid w:val="00D16BA4"/>
    <w:rsid w:val="00D16F64"/>
    <w:rsid w:val="00D21CD6"/>
    <w:rsid w:val="00D21D37"/>
    <w:rsid w:val="00D23412"/>
    <w:rsid w:val="00D275A2"/>
    <w:rsid w:val="00D27BC5"/>
    <w:rsid w:val="00D306A8"/>
    <w:rsid w:val="00D31EA3"/>
    <w:rsid w:val="00D3722F"/>
    <w:rsid w:val="00D40822"/>
    <w:rsid w:val="00D416E8"/>
    <w:rsid w:val="00D431E8"/>
    <w:rsid w:val="00D44987"/>
    <w:rsid w:val="00D47989"/>
    <w:rsid w:val="00D50E42"/>
    <w:rsid w:val="00D53A1C"/>
    <w:rsid w:val="00D573C6"/>
    <w:rsid w:val="00D6078F"/>
    <w:rsid w:val="00D616EE"/>
    <w:rsid w:val="00D651AF"/>
    <w:rsid w:val="00D66879"/>
    <w:rsid w:val="00D7339B"/>
    <w:rsid w:val="00D75082"/>
    <w:rsid w:val="00D75AA9"/>
    <w:rsid w:val="00D81C9D"/>
    <w:rsid w:val="00D82F03"/>
    <w:rsid w:val="00D8464A"/>
    <w:rsid w:val="00D849C8"/>
    <w:rsid w:val="00D87B86"/>
    <w:rsid w:val="00D937A4"/>
    <w:rsid w:val="00DA3AE5"/>
    <w:rsid w:val="00DC6390"/>
    <w:rsid w:val="00DD5154"/>
    <w:rsid w:val="00DE245B"/>
    <w:rsid w:val="00DE306D"/>
    <w:rsid w:val="00DF35C2"/>
    <w:rsid w:val="00E01701"/>
    <w:rsid w:val="00E07D6E"/>
    <w:rsid w:val="00E16796"/>
    <w:rsid w:val="00E16B7D"/>
    <w:rsid w:val="00E22A1E"/>
    <w:rsid w:val="00E22E84"/>
    <w:rsid w:val="00E26765"/>
    <w:rsid w:val="00E32064"/>
    <w:rsid w:val="00E36E57"/>
    <w:rsid w:val="00E3730A"/>
    <w:rsid w:val="00E458F7"/>
    <w:rsid w:val="00E46899"/>
    <w:rsid w:val="00E50BFB"/>
    <w:rsid w:val="00E62E5B"/>
    <w:rsid w:val="00E71F25"/>
    <w:rsid w:val="00E72AEC"/>
    <w:rsid w:val="00E81E83"/>
    <w:rsid w:val="00E83A98"/>
    <w:rsid w:val="00E87101"/>
    <w:rsid w:val="00E8772F"/>
    <w:rsid w:val="00E9211D"/>
    <w:rsid w:val="00E95079"/>
    <w:rsid w:val="00EA259F"/>
    <w:rsid w:val="00EB5910"/>
    <w:rsid w:val="00EB5CC5"/>
    <w:rsid w:val="00EC1B09"/>
    <w:rsid w:val="00EC593B"/>
    <w:rsid w:val="00EC5F33"/>
    <w:rsid w:val="00EC7B65"/>
    <w:rsid w:val="00ED6A9B"/>
    <w:rsid w:val="00ED7E06"/>
    <w:rsid w:val="00EE1C16"/>
    <w:rsid w:val="00EE1EF4"/>
    <w:rsid w:val="00EF08E2"/>
    <w:rsid w:val="00EF44A9"/>
    <w:rsid w:val="00EF4F5E"/>
    <w:rsid w:val="00EF62E0"/>
    <w:rsid w:val="00EF77A7"/>
    <w:rsid w:val="00F0126E"/>
    <w:rsid w:val="00F05585"/>
    <w:rsid w:val="00F11034"/>
    <w:rsid w:val="00F12399"/>
    <w:rsid w:val="00F143BC"/>
    <w:rsid w:val="00F20A72"/>
    <w:rsid w:val="00F26497"/>
    <w:rsid w:val="00F32444"/>
    <w:rsid w:val="00F33B0B"/>
    <w:rsid w:val="00F33F3B"/>
    <w:rsid w:val="00F34391"/>
    <w:rsid w:val="00F34F36"/>
    <w:rsid w:val="00F409D5"/>
    <w:rsid w:val="00F422E6"/>
    <w:rsid w:val="00F456C1"/>
    <w:rsid w:val="00F459D2"/>
    <w:rsid w:val="00F468D7"/>
    <w:rsid w:val="00F51490"/>
    <w:rsid w:val="00F53BF2"/>
    <w:rsid w:val="00F55C5F"/>
    <w:rsid w:val="00F5735C"/>
    <w:rsid w:val="00F574CC"/>
    <w:rsid w:val="00F61D17"/>
    <w:rsid w:val="00F626A8"/>
    <w:rsid w:val="00F6634F"/>
    <w:rsid w:val="00F714A0"/>
    <w:rsid w:val="00F72140"/>
    <w:rsid w:val="00F83538"/>
    <w:rsid w:val="00F874D0"/>
    <w:rsid w:val="00F90C75"/>
    <w:rsid w:val="00F91402"/>
    <w:rsid w:val="00F9198D"/>
    <w:rsid w:val="00F93065"/>
    <w:rsid w:val="00F9389E"/>
    <w:rsid w:val="00F96BA4"/>
    <w:rsid w:val="00FA0223"/>
    <w:rsid w:val="00FA05F4"/>
    <w:rsid w:val="00FA1D6F"/>
    <w:rsid w:val="00FA202F"/>
    <w:rsid w:val="00FA4023"/>
    <w:rsid w:val="00FA66F8"/>
    <w:rsid w:val="00FB08D7"/>
    <w:rsid w:val="00FB2FF3"/>
    <w:rsid w:val="00FB4C18"/>
    <w:rsid w:val="00FB5D35"/>
    <w:rsid w:val="00FB7A3D"/>
    <w:rsid w:val="00FC04C5"/>
    <w:rsid w:val="00FD4CA0"/>
    <w:rsid w:val="00FE19A6"/>
    <w:rsid w:val="00FE3306"/>
    <w:rsid w:val="00FE469F"/>
    <w:rsid w:val="00FF0F8A"/>
    <w:rsid w:val="00FF32D4"/>
    <w:rsid w:val="00FF3393"/>
    <w:rsid w:val="00FF4FAE"/>
    <w:rsid w:val="00FF5E1A"/>
  </w:rsids>
  <w:docVars>
    <w:docVar w:name="OldViewShowStyleArea" w:val="3"/>
    <w:docVar w:name="Registered" w:val="-1"/>
    <w:docVar w:name="Version" w:val="0"/>
  </w:docVar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de-CH"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semiHidden="0" w:uiPriority="0" w:unhideWhenUsed="0"/>
    <w:lsdException w:name="List 2" w:uiPriority="0"/>
    <w:lsdException w:name="List 3" w:uiPriority="0"/>
    <w:lsdException w:name="List 4" w:semiHidden="0" w:uiPriority="0" w:unhideWhenUsed="0"/>
    <w:lsdException w:name="List 5" w:semiHidden="0" w:uiPriority="0" w:unhideWhenUsed="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Closing" w:uiPriority="0"/>
    <w:lsdException w:name="Signature" w:uiPriority="0"/>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uiPriority="0"/>
    <w:lsdException w:name="Note Heading" w:semiHidden="0" w:uiPriority="0" w:unhideWhenUsed="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E-mail Signature" w:uiPriority="0"/>
    <w:lsdException w:name="HTML Top of Form" w:uiPriority="0"/>
    <w:lsdException w:name="HTML Bottom of Form"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0" w:uiPriority="0" w:unhideWhenUsed="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semiHidden="0" w:uiPriority="0" w:unhideWhenUsed="0"/>
    <w:lsdException w:name="Table Web 1" w:uiPriority="0"/>
    <w:lsdException w:name="Table Web 2" w:uiPriority="0"/>
    <w:lsdException w:name="Table Web 3" w:semiHidden="0" w:uiPriority="0" w:unhideWhenUsed="0"/>
    <w:lsdException w:name="Table Grid" w:semiHidden="0" w:uiPriority="39" w:unhideWhenUsed="0"/>
    <w:lsdException w:name="Table Theme" w:uiPriority="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143BC"/>
    <w:rPr>
      <w:rFonts w:eastAsia="Times New Roman"/>
      <w:sz w:val="22"/>
      <w:lang w:val="en-US" w:eastAsia="ja-JP" w:bidi="ar-SA"/>
    </w:rPr>
  </w:style>
  <w:style w:type="paragraph" w:styleId="Heading1">
    <w:name w:val="heading 1"/>
    <w:basedOn w:val="Normal"/>
    <w:next w:val="Normal"/>
    <w:link w:val="Heading1Char"/>
    <w:qFormat/>
    <w:rsid w:val="001038D3"/>
    <w:pPr>
      <w:ind w:left="567" w:hanging="567"/>
      <w:outlineLvl w:val="0"/>
    </w:pPr>
    <w:rPr>
      <w:b/>
      <w:caps/>
    </w:rPr>
  </w:style>
  <w:style w:type="paragraph" w:styleId="Heading2">
    <w:name w:val="heading 2"/>
    <w:basedOn w:val="Heading1"/>
    <w:next w:val="Normal"/>
    <w:qFormat/>
    <w:rsid w:val="001038D3"/>
    <w:pPr>
      <w:outlineLvl w:val="1"/>
    </w:pPr>
    <w:rPr>
      <w:caps w:val="0"/>
    </w:rPr>
  </w:style>
  <w:style w:type="paragraph" w:styleId="Heading3">
    <w:name w:val="heading 3"/>
    <w:basedOn w:val="Normal"/>
    <w:next w:val="Normal"/>
    <w:qFormat/>
    <w:rsid w:val="001038D3"/>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DF78F4"/>
    <w:pPr>
      <w:keepNext/>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DF78F4"/>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DF78F4"/>
    <w:pPr>
      <w:spacing w:before="240" w:after="60"/>
      <w:outlineLvl w:val="5"/>
    </w:pPr>
    <w:rPr>
      <w:rFonts w:ascii="Calibri" w:hAnsi="Calibri"/>
      <w:b/>
      <w:bCs/>
      <w:szCs w:val="22"/>
    </w:rPr>
  </w:style>
  <w:style w:type="paragraph" w:styleId="Heading7">
    <w:name w:val="heading 7"/>
    <w:basedOn w:val="Normal"/>
    <w:next w:val="Normal"/>
    <w:link w:val="Heading7Char"/>
    <w:semiHidden/>
    <w:unhideWhenUsed/>
    <w:qFormat/>
    <w:rsid w:val="00DF78F4"/>
    <w:p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DF78F4"/>
    <w:p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DF78F4"/>
    <w:pPr>
      <w:spacing w:before="240" w:after="60"/>
      <w:outlineLvl w:val="8"/>
    </w:pPr>
    <w:rPr>
      <w:rFonts w:ascii="Cambria" w:hAnsi="Cambria"/>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1038D3"/>
    <w:rPr>
      <w:rFonts w:ascii="Arial" w:hAnsi="Arial"/>
      <w:sz w:val="16"/>
    </w:rPr>
  </w:style>
  <w:style w:type="paragraph" w:styleId="Header">
    <w:name w:val="header"/>
    <w:basedOn w:val="Normal"/>
    <w:link w:val="HeaderChar"/>
    <w:rsid w:val="001038D3"/>
    <w:pPr>
      <w:tabs>
        <w:tab w:val="center" w:pos="4536"/>
        <w:tab w:val="right" w:pos="9072"/>
      </w:tabs>
    </w:p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rsid w:val="001038D3"/>
    <w:rPr>
      <w:rFonts w:ascii="Arial" w:hAnsi="Arial"/>
      <w:noProof/>
      <w:sz w:val="16"/>
    </w:rPr>
  </w:style>
  <w:style w:type="paragraph" w:styleId="BodyText">
    <w:name w:val="Body Text"/>
    <w:basedOn w:val="Normal"/>
    <w:link w:val="BodyTextChar"/>
    <w:rsid w:val="00812D16"/>
    <w:rPr>
      <w:i/>
      <w:color w:val="008000"/>
    </w:rPr>
  </w:style>
  <w:style w:type="paragraph" w:styleId="CommentText">
    <w:name w:val="annotation text"/>
    <w:aliases w:val="Comment Text Char Char Char Char Char Char1 Ch,Comment Text Char Char1,Comment Text Char Char1 Char Char,Comment Text Char1 Char Char Char Char1 Char,Comment Text Char2 Char Char,Comment Text Char2 Char Char Char Char"/>
    <w:basedOn w:val="Normal"/>
    <w:link w:val="CommentTextChar1"/>
    <w:rsid w:val="00812D16"/>
    <w:rPr>
      <w:noProof/>
      <w:sz w:val="20"/>
    </w:rPr>
  </w:style>
  <w:style w:type="character" w:styleId="Hyperlink">
    <w:name w:val="Hyperlink"/>
    <w:rsid w:val="00812D16"/>
    <w:rPr>
      <w:noProof/>
      <w:color w:val="0000FF"/>
      <w:u w:val="single"/>
    </w:rPr>
  </w:style>
  <w:style w:type="paragraph" w:customStyle="1" w:styleId="EMEAEnBodyText">
    <w:name w:val="EMEA En Body Text"/>
    <w:basedOn w:val="Normal"/>
    <w:rsid w:val="00812D16"/>
    <w:pPr>
      <w:spacing w:before="120" w:after="120"/>
      <w:jc w:val="both"/>
    </w:pPr>
  </w:style>
  <w:style w:type="paragraph" w:styleId="BalloonText">
    <w:name w:val="Balloon Text"/>
    <w:basedOn w:val="Normal"/>
    <w:link w:val="BalloonTextChar"/>
    <w:uiPriority w:val="99"/>
    <w:semiHidden/>
    <w:rsid w:val="00A20C7F"/>
    <w:rPr>
      <w:rFonts w:ascii="Tahoma" w:hAnsi="Tahoma"/>
      <w:sz w:val="16"/>
      <w:szCs w:val="16"/>
    </w:rPr>
  </w:style>
  <w:style w:type="paragraph" w:customStyle="1" w:styleId="BodytextAgency">
    <w:name w:val="Body text (Agency)"/>
    <w:basedOn w:val="Normal"/>
    <w:link w:val="BodytextAgencyChar"/>
    <w:rsid w:val="00345F9C"/>
    <w:pPr>
      <w:spacing w:after="140" w:line="280" w:lineRule="atLeast"/>
    </w:pPr>
    <w:rPr>
      <w:rFonts w:ascii="Verdana" w:eastAsia="Verdana" w:hAnsi="Verdana" w:cs="Verdana"/>
      <w:noProof/>
      <w:sz w:val="18"/>
      <w:szCs w:val="18"/>
      <w:lang w:eastAsia="en-GB"/>
    </w:rPr>
  </w:style>
  <w:style w:type="character" w:customStyle="1" w:styleId="BodytextAgencyChar">
    <w:name w:val="Body text (Agency) Char"/>
    <w:link w:val="BodytextAgency"/>
    <w:rsid w:val="00345F9C"/>
    <w:rPr>
      <w:rFonts w:ascii="Verdana" w:eastAsia="Verdana" w:hAnsi="Verdana" w:cs="Verdana"/>
      <w:noProof/>
      <w:sz w:val="18"/>
      <w:szCs w:val="18"/>
      <w:lang w:val="en-GB" w:eastAsia="en-GB" w:bidi="ar-SA"/>
    </w:rPr>
  </w:style>
  <w:style w:type="paragraph" w:customStyle="1" w:styleId="DraftingNotesAgency">
    <w:name w:val="Drafting Notes (Agency)"/>
    <w:basedOn w:val="Normal"/>
    <w:next w:val="BodytextAgency"/>
    <w:link w:val="DraftingNotesAgencyChar"/>
    <w:rsid w:val="00345F9C"/>
    <w:pPr>
      <w:spacing w:after="140" w:line="280" w:lineRule="atLeast"/>
    </w:pPr>
    <w:rPr>
      <w:rFonts w:ascii="Courier New" w:eastAsia="Verdana" w:hAnsi="Courier New"/>
      <w:i/>
      <w:noProof/>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noProof/>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noProof/>
      <w:sz w:val="18"/>
      <w:szCs w:val="18"/>
      <w:lang w:val="en-GB" w:eastAsia="en-GB" w:bidi="ar-SA"/>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System" w:hAnsi="System"/>
        <w:b/>
        <w:i w:val="0"/>
        <w:color w:val="auto"/>
        <w:sz w:val="18"/>
        <w:szCs w:val="18"/>
      </w:r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noProof/>
      <w:sz w:val="18"/>
      <w:szCs w:val="18"/>
      <w:lang w:val="en-GB" w:eastAsia="en-GB" w:bidi="ar-SA"/>
    </w:rPr>
  </w:style>
  <w:style w:type="paragraph" w:customStyle="1" w:styleId="Annex">
    <w:name w:val="Annex"/>
    <w:basedOn w:val="Normal"/>
    <w:next w:val="Normal"/>
    <w:rsid w:val="001038D3"/>
    <w:pPr>
      <w:jc w:val="center"/>
    </w:pPr>
    <w:rPr>
      <w:b/>
    </w:rPr>
  </w:style>
  <w:style w:type="paragraph" w:customStyle="1" w:styleId="Description">
    <w:name w:val="Description"/>
    <w:basedOn w:val="Normal"/>
    <w:next w:val="Normal"/>
    <w:rsid w:val="001038D3"/>
  </w:style>
  <w:style w:type="paragraph" w:customStyle="1" w:styleId="HangingIndent">
    <w:name w:val="Hanging Indent"/>
    <w:basedOn w:val="Normal"/>
    <w:rsid w:val="001038D3"/>
    <w:pPr>
      <w:ind w:left="567" w:hanging="567"/>
    </w:pPr>
  </w:style>
  <w:style w:type="paragraph" w:customStyle="1" w:styleId="AnnexHeading">
    <w:name w:val="Annex Heading"/>
    <w:basedOn w:val="Normal"/>
    <w:next w:val="Normal"/>
    <w:rsid w:val="001038D3"/>
    <w:pPr>
      <w:ind w:left="567" w:hanging="567"/>
    </w:pPr>
    <w:rPr>
      <w:b/>
    </w:rPr>
  </w:style>
  <w:style w:type="paragraph" w:customStyle="1" w:styleId="Default">
    <w:name w:val="Default"/>
    <w:rsid w:val="002A6802"/>
    <w:pPr>
      <w:autoSpaceDE w:val="0"/>
      <w:autoSpaceDN w:val="0"/>
      <w:adjustRightInd w:val="0"/>
    </w:pPr>
    <w:rPr>
      <w:color w:val="000000"/>
      <w:sz w:val="24"/>
      <w:szCs w:val="24"/>
      <w:lang w:val="en-GB" w:eastAsia="zh-CN" w:bidi="ar-SA"/>
    </w:rPr>
  </w:style>
  <w:style w:type="table" w:styleId="TableGrid">
    <w:name w:val="Table Grid"/>
    <w:basedOn w:val="TableNormal"/>
    <w:uiPriority w:val="39"/>
    <w:rsid w:val="002A6802"/>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link w:val="BalloonText"/>
    <w:uiPriority w:val="99"/>
    <w:semiHidden/>
    <w:rsid w:val="002A6802"/>
    <w:rPr>
      <w:rFonts w:ascii="Tahoma" w:eastAsia="Times New Roman" w:hAnsi="Tahoma" w:cs="Tahoma"/>
      <w:sz w:val="16"/>
      <w:szCs w:val="16"/>
      <w:lang w:eastAsia="ja-JP"/>
    </w:rPr>
  </w:style>
  <w:style w:type="character" w:styleId="CommentReference">
    <w:name w:val="annotation reference"/>
    <w:unhideWhenUsed/>
    <w:rsid w:val="002A6802"/>
    <w:rPr>
      <w:sz w:val="16"/>
      <w:szCs w:val="16"/>
    </w:rPr>
  </w:style>
  <w:style w:type="character" w:customStyle="1" w:styleId="CommentTextChar">
    <w:name w:val="Comment Text Char"/>
    <w:uiPriority w:val="99"/>
    <w:rsid w:val="002A6802"/>
    <w:rPr>
      <w:lang w:val="en-GB" w:eastAsia="zh-CN"/>
    </w:rPr>
  </w:style>
  <w:style w:type="paragraph" w:styleId="CommentSubject">
    <w:name w:val="annotation subject"/>
    <w:basedOn w:val="CommentText"/>
    <w:next w:val="CommentText"/>
    <w:link w:val="CommentSubjectChar"/>
    <w:uiPriority w:val="99"/>
    <w:unhideWhenUsed/>
    <w:rsid w:val="002A6802"/>
    <w:pPr>
      <w:spacing w:after="200" w:line="276" w:lineRule="auto"/>
    </w:pPr>
    <w:rPr>
      <w:rFonts w:ascii="Calibri" w:hAnsi="Calibri"/>
      <w:b/>
      <w:bCs/>
      <w:lang w:val="en-GB" w:eastAsia="zh-CN"/>
    </w:rPr>
  </w:style>
  <w:style w:type="character" w:customStyle="1" w:styleId="CommentTextChar1">
    <w:name w:val="Comment Text Char1"/>
    <w:aliases w:val="Comment Text Char Char Char Char Char Char1 Ch Char,Comment Text Char Char1 Char,Comment Text Char Char1 Char Char Char,Comment Text Char1 Char Char Char Char1 Char Char,Comment Text Char2 Char Char Char"/>
    <w:link w:val="CommentText"/>
    <w:uiPriority w:val="99"/>
    <w:semiHidden/>
    <w:rsid w:val="002A6802"/>
    <w:rPr>
      <w:rFonts w:eastAsia="Times New Roman"/>
      <w:noProof/>
      <w:lang w:eastAsia="ja-JP"/>
    </w:rPr>
  </w:style>
  <w:style w:type="character" w:customStyle="1" w:styleId="CommentSubjectChar">
    <w:name w:val="Comment Subject Char"/>
    <w:link w:val="CommentSubject"/>
    <w:uiPriority w:val="99"/>
    <w:rsid w:val="002A6802"/>
    <w:rPr>
      <w:rFonts w:ascii="Calibri" w:eastAsia="Times New Roman" w:hAnsi="Calibri"/>
      <w:b/>
      <w:bCs/>
      <w:noProof/>
      <w:lang w:val="en-GB" w:eastAsia="zh-CN"/>
    </w:rPr>
  </w:style>
  <w:style w:type="paragraph" w:styleId="NormalWeb">
    <w:name w:val="Normal (Web)"/>
    <w:basedOn w:val="Normal"/>
    <w:uiPriority w:val="99"/>
    <w:unhideWhenUsed/>
    <w:rsid w:val="002A6802"/>
    <w:pPr>
      <w:spacing w:before="100" w:beforeAutospacing="1" w:after="75"/>
    </w:pPr>
    <w:rPr>
      <w:color w:val="000000"/>
      <w:sz w:val="24"/>
      <w:szCs w:val="24"/>
      <w:lang w:eastAsia="zh-TW"/>
    </w:rPr>
  </w:style>
  <w:style w:type="paragraph" w:customStyle="1" w:styleId="Paragraph">
    <w:name w:val="Paragraph"/>
    <w:basedOn w:val="Normal"/>
    <w:link w:val="ParagraphChar"/>
    <w:qFormat/>
    <w:rsid w:val="002A6802"/>
    <w:pPr>
      <w:spacing w:after="170" w:line="280" w:lineRule="exact"/>
    </w:pPr>
    <w:rPr>
      <w:rFonts w:ascii="Arial" w:eastAsia="SimSun" w:hAnsi="Arial"/>
      <w:sz w:val="24"/>
      <w:szCs w:val="24"/>
      <w:lang w:eastAsia="zh-CN"/>
    </w:rPr>
  </w:style>
  <w:style w:type="paragraph" w:customStyle="1" w:styleId="TextTi12">
    <w:name w:val="Text:Ti12"/>
    <w:basedOn w:val="Normal"/>
    <w:link w:val="TextTi12Char1"/>
    <w:rsid w:val="002A6802"/>
    <w:pPr>
      <w:spacing w:after="170"/>
      <w:jc w:val="both"/>
    </w:pPr>
    <w:rPr>
      <w:rFonts w:ascii="Arial" w:eastAsia="SimSun" w:hAnsi="Arial"/>
      <w:sz w:val="24"/>
      <w:szCs w:val="24"/>
      <w:lang w:eastAsia="zh-CN"/>
    </w:rPr>
  </w:style>
  <w:style w:type="character" w:customStyle="1" w:styleId="TextTi12Char1">
    <w:name w:val="Text:Ti12 Char1"/>
    <w:link w:val="TextTi12"/>
    <w:rsid w:val="002A6802"/>
    <w:rPr>
      <w:rFonts w:ascii="Arial" w:hAnsi="Arial"/>
      <w:sz w:val="24"/>
      <w:szCs w:val="24"/>
      <w:lang w:eastAsia="zh-CN"/>
    </w:rPr>
  </w:style>
  <w:style w:type="paragraph" w:customStyle="1" w:styleId="BibliXrefAr9">
    <w:name w:val="BibliXref:Ar9"/>
    <w:basedOn w:val="Normal"/>
    <w:rsid w:val="002A6802"/>
    <w:pPr>
      <w:spacing w:after="170"/>
    </w:pPr>
    <w:rPr>
      <w:rFonts w:ascii="Arial" w:eastAsia="SimSun" w:hAnsi="Arial"/>
      <w:b/>
      <w:sz w:val="18"/>
      <w:szCs w:val="24"/>
      <w:lang w:eastAsia="zh-CN"/>
    </w:rPr>
  </w:style>
  <w:style w:type="paragraph" w:customStyle="1" w:styleId="TableTitle">
    <w:name w:val="Table Title"/>
    <w:basedOn w:val="Normal"/>
    <w:next w:val="Paragraph"/>
    <w:link w:val="TableTitleChar"/>
    <w:rsid w:val="002A6802"/>
    <w:pPr>
      <w:keepNext/>
      <w:keepLines/>
      <w:tabs>
        <w:tab w:val="left" w:pos="1080"/>
      </w:tabs>
      <w:spacing w:before="40" w:after="160" w:line="280" w:lineRule="exact"/>
      <w:ind w:left="1080" w:hanging="1080"/>
    </w:pPr>
    <w:rPr>
      <w:rFonts w:ascii="Arial" w:eastAsia="SimSun" w:hAnsi="Arial"/>
      <w:b/>
      <w:sz w:val="24"/>
      <w:szCs w:val="24"/>
      <w:lang w:eastAsia="zh-CN"/>
    </w:rPr>
  </w:style>
  <w:style w:type="character" w:customStyle="1" w:styleId="TableTitleChar">
    <w:name w:val="Table Title Char"/>
    <w:link w:val="TableTitle"/>
    <w:locked/>
    <w:rsid w:val="002A6802"/>
    <w:rPr>
      <w:rFonts w:ascii="Arial" w:hAnsi="Arial"/>
      <w:b/>
      <w:sz w:val="24"/>
      <w:szCs w:val="24"/>
      <w:lang w:eastAsia="zh-CN"/>
    </w:rPr>
  </w:style>
  <w:style w:type="character" w:customStyle="1" w:styleId="FooterChar">
    <w:name w:val="Footer Char"/>
    <w:link w:val="Footer"/>
    <w:rsid w:val="002A6802"/>
    <w:rPr>
      <w:rFonts w:ascii="Arial" w:eastAsia="Times New Roman" w:hAnsi="Arial"/>
      <w:sz w:val="16"/>
      <w:lang w:eastAsia="ja-JP"/>
    </w:rPr>
  </w:style>
  <w:style w:type="paragraph" w:customStyle="1" w:styleId="TableFooter">
    <w:name w:val="Table Footer"/>
    <w:basedOn w:val="Paragraph"/>
    <w:link w:val="TableFooterChar"/>
    <w:rsid w:val="002A6802"/>
    <w:pPr>
      <w:keepNext/>
      <w:keepLines/>
      <w:tabs>
        <w:tab w:val="right" w:pos="144"/>
      </w:tabs>
      <w:spacing w:before="60" w:line="240" w:lineRule="exact"/>
      <w:ind w:left="216" w:hanging="216"/>
    </w:pPr>
    <w:rPr>
      <w:rFonts w:ascii="Times New Roman" w:eastAsia="MS Mincho" w:hAnsi="Times New Roman"/>
      <w:sz w:val="20"/>
      <w:szCs w:val="20"/>
      <w:lang w:eastAsia="en-US"/>
    </w:rPr>
  </w:style>
  <w:style w:type="character" w:customStyle="1" w:styleId="ParagraphChar">
    <w:name w:val="Paragraph Char"/>
    <w:link w:val="Paragraph"/>
    <w:rsid w:val="002A6802"/>
    <w:rPr>
      <w:rFonts w:ascii="Arial" w:hAnsi="Arial"/>
      <w:sz w:val="24"/>
      <w:szCs w:val="24"/>
      <w:lang w:eastAsia="zh-CN"/>
    </w:rPr>
  </w:style>
  <w:style w:type="paragraph" w:customStyle="1" w:styleId="FigureTitle">
    <w:name w:val="Figure Title"/>
    <w:basedOn w:val="Normal"/>
    <w:next w:val="FigureHolder"/>
    <w:rsid w:val="002A6802"/>
    <w:pPr>
      <w:keepNext/>
      <w:keepLines/>
      <w:tabs>
        <w:tab w:val="left" w:pos="1080"/>
      </w:tabs>
      <w:spacing w:before="40" w:after="160" w:line="280" w:lineRule="exact"/>
      <w:ind w:left="1080" w:hanging="1080"/>
    </w:pPr>
    <w:rPr>
      <w:rFonts w:ascii="Arial" w:eastAsia="SimSun" w:hAnsi="Arial"/>
      <w:b/>
      <w:sz w:val="24"/>
      <w:szCs w:val="24"/>
      <w:lang w:eastAsia="zh-CN"/>
    </w:rPr>
  </w:style>
  <w:style w:type="paragraph" w:customStyle="1" w:styleId="FigureHolder">
    <w:name w:val="Figure Holder"/>
    <w:basedOn w:val="Normal"/>
    <w:next w:val="Normal"/>
    <w:link w:val="FigureHolderChar"/>
    <w:rsid w:val="002A6802"/>
    <w:pPr>
      <w:keepNext/>
      <w:keepLines/>
      <w:spacing w:after="120" w:line="240" w:lineRule="atLeast"/>
      <w:jc w:val="center"/>
    </w:pPr>
    <w:rPr>
      <w:rFonts w:ascii="Arial" w:eastAsia="SimSun" w:hAnsi="Arial"/>
      <w:sz w:val="24"/>
      <w:szCs w:val="24"/>
      <w:lang w:eastAsia="zh-CN"/>
    </w:rPr>
  </w:style>
  <w:style w:type="character" w:customStyle="1" w:styleId="TableFooterChar">
    <w:name w:val="Table Footer Char"/>
    <w:link w:val="TableFooter"/>
    <w:locked/>
    <w:rsid w:val="002A6802"/>
    <w:rPr>
      <w:rFonts w:eastAsia="MS Mincho"/>
      <w:lang w:eastAsia="en-US"/>
    </w:rPr>
  </w:style>
  <w:style w:type="character" w:customStyle="1" w:styleId="Heading1Char">
    <w:name w:val="Heading 1 Char"/>
    <w:link w:val="Heading1"/>
    <w:rsid w:val="002A6802"/>
    <w:rPr>
      <w:rFonts w:eastAsia="Times New Roman"/>
      <w:b/>
      <w:caps/>
      <w:sz w:val="22"/>
      <w:lang w:eastAsia="ja-JP"/>
    </w:rPr>
  </w:style>
  <w:style w:type="character" w:customStyle="1" w:styleId="CommentTextChar3">
    <w:name w:val="Comment Text Char3"/>
    <w:aliases w:val="Comment Text Char Char Char Char Char Char1 Ch Char1,Comment Text Char Char1 Char Char Char1,Comment Text Char Char1 Char1,Comment Text Char1 Char Char Char Char1 Char Char1,Comment Text Char2 Char Char Char1"/>
    <w:locked/>
    <w:rsid w:val="002A6802"/>
    <w:rPr>
      <w:rFonts w:eastAsia="Times New Roman"/>
      <w:lang w:eastAsia="en-US"/>
    </w:rPr>
  </w:style>
  <w:style w:type="paragraph" w:customStyle="1" w:styleId="Hd4">
    <w:name w:val="Hd:4"/>
    <w:basedOn w:val="Normal"/>
    <w:next w:val="TextTi12"/>
    <w:rsid w:val="002A6802"/>
    <w:pPr>
      <w:keepNext/>
      <w:spacing w:before="113" w:after="57"/>
      <w:ind w:left="1134" w:hanging="1134"/>
    </w:pPr>
    <w:rPr>
      <w:rFonts w:ascii="Arial" w:eastAsia="SimSun" w:hAnsi="Arial"/>
      <w:b/>
      <w:i/>
      <w:sz w:val="24"/>
      <w:szCs w:val="24"/>
      <w:lang w:eastAsia="zh-CN"/>
    </w:rPr>
  </w:style>
  <w:style w:type="character" w:customStyle="1" w:styleId="HeaderChar">
    <w:name w:val="Header Char"/>
    <w:link w:val="Header"/>
    <w:rsid w:val="002A6802"/>
    <w:rPr>
      <w:rFonts w:eastAsia="Times New Roman"/>
      <w:sz w:val="22"/>
      <w:lang w:eastAsia="ja-JP"/>
    </w:rPr>
  </w:style>
  <w:style w:type="paragraph" w:customStyle="1" w:styleId="NoSpacing1">
    <w:name w:val="No Spacing1"/>
    <w:uiPriority w:val="1"/>
    <w:qFormat/>
    <w:rsid w:val="002A6802"/>
    <w:rPr>
      <w:rFonts w:ascii="Calibri" w:hAnsi="Calibri"/>
      <w:sz w:val="22"/>
      <w:szCs w:val="22"/>
      <w:lang w:val="en-GB" w:eastAsia="zh-CN" w:bidi="ar-SA"/>
    </w:rPr>
  </w:style>
  <w:style w:type="paragraph" w:customStyle="1" w:styleId="ZchnZchn">
    <w:name w:val="Zchn Zchn"/>
    <w:basedOn w:val="Normal"/>
    <w:semiHidden/>
    <w:rsid w:val="008F505C"/>
    <w:pPr>
      <w:spacing w:after="160" w:line="240" w:lineRule="exact"/>
    </w:pPr>
    <w:rPr>
      <w:rFonts w:ascii="Verdana" w:hAnsi="Verdana" w:cs="Verdana"/>
      <w:sz w:val="20"/>
      <w:lang w:eastAsia="en-US"/>
    </w:rPr>
  </w:style>
  <w:style w:type="paragraph" w:customStyle="1" w:styleId="Revision1">
    <w:name w:val="Revision1"/>
    <w:hidden/>
    <w:uiPriority w:val="99"/>
    <w:semiHidden/>
    <w:rsid w:val="00504763"/>
    <w:rPr>
      <w:rFonts w:eastAsia="Times New Roman"/>
      <w:sz w:val="22"/>
      <w:lang w:val="en-US" w:eastAsia="ja-JP" w:bidi="ar-SA"/>
    </w:rPr>
  </w:style>
  <w:style w:type="paragraph" w:customStyle="1" w:styleId="LUTOlist-bullets">
    <w:name w:val="LUTO list - bullets"/>
    <w:basedOn w:val="Normal"/>
    <w:rsid w:val="009442F9"/>
    <w:pPr>
      <w:numPr>
        <w:numId w:val="2"/>
      </w:numPr>
      <w:spacing w:line="264" w:lineRule="auto"/>
    </w:pPr>
    <w:rPr>
      <w:rFonts w:ascii="Calibri" w:hAnsi="Calibri"/>
      <w:szCs w:val="24"/>
      <w:lang w:eastAsia="en-US"/>
    </w:rPr>
  </w:style>
  <w:style w:type="paragraph" w:styleId="ListBullet">
    <w:name w:val="List Bullet"/>
    <w:basedOn w:val="Normal"/>
    <w:rsid w:val="00272A1F"/>
    <w:pPr>
      <w:numPr>
        <w:numId w:val="3"/>
      </w:numPr>
      <w:contextualSpacing/>
    </w:pPr>
  </w:style>
  <w:style w:type="paragraph" w:customStyle="1" w:styleId="LightShading-Accent51">
    <w:name w:val="Light Shading - Accent 51"/>
    <w:hidden/>
    <w:uiPriority w:val="99"/>
    <w:semiHidden/>
    <w:rsid w:val="00E618D5"/>
    <w:rPr>
      <w:rFonts w:eastAsia="Times New Roman"/>
      <w:sz w:val="22"/>
      <w:lang w:val="en-GB" w:eastAsia="ja-JP" w:bidi="ar-SA"/>
    </w:rPr>
  </w:style>
  <w:style w:type="character" w:styleId="FollowedHyperlink">
    <w:name w:val="FollowedHyperlink"/>
    <w:rsid w:val="004D5FD0"/>
    <w:rPr>
      <w:noProof/>
      <w:color w:val="800080"/>
      <w:u w:val="single"/>
    </w:rPr>
  </w:style>
  <w:style w:type="paragraph" w:customStyle="1" w:styleId="ColorfulShading-Accent11">
    <w:name w:val="Colorful Shading - Accent 11"/>
    <w:hidden/>
    <w:uiPriority w:val="99"/>
    <w:semiHidden/>
    <w:rsid w:val="008D4994"/>
    <w:rPr>
      <w:rFonts w:eastAsia="Times New Roman"/>
      <w:sz w:val="22"/>
      <w:lang w:val="en-US" w:eastAsia="ja-JP" w:bidi="ar-SA"/>
    </w:rPr>
  </w:style>
  <w:style w:type="character" w:customStyle="1" w:styleId="apple-converted-space">
    <w:name w:val="apple-converted-space"/>
    <w:rsid w:val="00B6209D"/>
  </w:style>
  <w:style w:type="paragraph" w:customStyle="1" w:styleId="MediumGrid2-Accent11">
    <w:name w:val="Medium Grid 2 - Accent 11"/>
    <w:uiPriority w:val="1"/>
    <w:qFormat/>
    <w:rsid w:val="008D739A"/>
    <w:rPr>
      <w:rFonts w:ascii="Calibri" w:eastAsia="PMingLiU" w:hAnsi="Calibri"/>
      <w:sz w:val="22"/>
      <w:szCs w:val="22"/>
      <w:lang w:val="en-GB" w:eastAsia="zh-TW" w:bidi="ar-SA"/>
    </w:rPr>
  </w:style>
  <w:style w:type="paragraph" w:styleId="Bibliography">
    <w:name w:val="Bibliography"/>
    <w:basedOn w:val="Normal"/>
    <w:next w:val="Normal"/>
    <w:uiPriority w:val="37"/>
    <w:semiHidden/>
    <w:unhideWhenUsed/>
    <w:rsid w:val="00DF78F4"/>
  </w:style>
  <w:style w:type="paragraph" w:styleId="BlockText">
    <w:name w:val="Block Text"/>
    <w:basedOn w:val="Normal"/>
    <w:rsid w:val="00DF78F4"/>
    <w:pPr>
      <w:spacing w:after="120"/>
      <w:ind w:left="1440" w:right="1440"/>
    </w:pPr>
  </w:style>
  <w:style w:type="paragraph" w:styleId="BodyText2">
    <w:name w:val="Body Text 2"/>
    <w:basedOn w:val="Normal"/>
    <w:link w:val="BodyText2Char"/>
    <w:rsid w:val="00DF78F4"/>
    <w:pPr>
      <w:spacing w:after="120" w:line="480" w:lineRule="auto"/>
    </w:pPr>
  </w:style>
  <w:style w:type="character" w:customStyle="1" w:styleId="BodyText2Char">
    <w:name w:val="Body Text 2 Char"/>
    <w:link w:val="BodyText2"/>
    <w:rsid w:val="00DF78F4"/>
    <w:rPr>
      <w:rFonts w:eastAsia="Times New Roman"/>
      <w:noProof/>
      <w:sz w:val="22"/>
      <w:lang w:eastAsia="ja-JP"/>
    </w:rPr>
  </w:style>
  <w:style w:type="paragraph" w:styleId="BodyText3">
    <w:name w:val="Body Text 3"/>
    <w:basedOn w:val="Normal"/>
    <w:link w:val="BodyText3Char"/>
    <w:rsid w:val="00DF78F4"/>
    <w:pPr>
      <w:spacing w:after="120"/>
    </w:pPr>
    <w:rPr>
      <w:sz w:val="16"/>
      <w:szCs w:val="16"/>
    </w:rPr>
  </w:style>
  <w:style w:type="character" w:customStyle="1" w:styleId="BodyText3Char">
    <w:name w:val="Body Text 3 Char"/>
    <w:link w:val="BodyText3"/>
    <w:rsid w:val="00DF78F4"/>
    <w:rPr>
      <w:rFonts w:eastAsia="Times New Roman"/>
      <w:noProof/>
      <w:sz w:val="16"/>
      <w:szCs w:val="16"/>
      <w:lang w:eastAsia="ja-JP"/>
    </w:rPr>
  </w:style>
  <w:style w:type="paragraph" w:styleId="BodyTextFirstIndent">
    <w:name w:val="Body Text First Indent"/>
    <w:basedOn w:val="BodyText"/>
    <w:link w:val="BodyTextFirstIndentChar"/>
    <w:rsid w:val="00DF78F4"/>
    <w:pPr>
      <w:spacing w:after="120"/>
      <w:ind w:firstLine="210"/>
    </w:pPr>
    <w:rPr>
      <w:i w:val="0"/>
      <w:color w:val="auto"/>
    </w:rPr>
  </w:style>
  <w:style w:type="character" w:customStyle="1" w:styleId="BodyTextChar">
    <w:name w:val="Body Text Char"/>
    <w:link w:val="BodyText"/>
    <w:rsid w:val="00DF78F4"/>
    <w:rPr>
      <w:rFonts w:eastAsia="Times New Roman"/>
      <w:i/>
      <w:noProof/>
      <w:color w:val="008000"/>
      <w:sz w:val="22"/>
      <w:lang w:eastAsia="ja-JP"/>
    </w:rPr>
  </w:style>
  <w:style w:type="character" w:customStyle="1" w:styleId="BodyTextFirstIndentChar">
    <w:name w:val="Body Text First Indent Char"/>
    <w:link w:val="BodyTextFirstIndent"/>
    <w:rsid w:val="00DF78F4"/>
    <w:rPr>
      <w:rFonts w:eastAsia="Times New Roman"/>
      <w:noProof/>
      <w:color w:val="008000"/>
      <w:sz w:val="22"/>
      <w:lang w:eastAsia="ja-JP"/>
    </w:rPr>
  </w:style>
  <w:style w:type="paragraph" w:styleId="BodyTextIndent">
    <w:name w:val="Body Text Indent"/>
    <w:basedOn w:val="Normal"/>
    <w:link w:val="BodyTextIndentChar"/>
    <w:rsid w:val="00DF78F4"/>
    <w:pPr>
      <w:spacing w:after="120"/>
      <w:ind w:left="360"/>
    </w:pPr>
  </w:style>
  <w:style w:type="character" w:customStyle="1" w:styleId="BodyTextIndentChar">
    <w:name w:val="Body Text Indent Char"/>
    <w:link w:val="BodyTextIndent"/>
    <w:rsid w:val="00DF78F4"/>
    <w:rPr>
      <w:rFonts w:eastAsia="Times New Roman"/>
      <w:noProof/>
      <w:sz w:val="22"/>
      <w:lang w:eastAsia="ja-JP"/>
    </w:rPr>
  </w:style>
  <w:style w:type="paragraph" w:styleId="BodyTextFirstIndent2">
    <w:name w:val="Body Text First Indent 2"/>
    <w:basedOn w:val="BodyTextIndent"/>
    <w:link w:val="BodyTextFirstIndent2Char"/>
    <w:rsid w:val="00DF78F4"/>
    <w:pPr>
      <w:ind w:firstLine="210"/>
    </w:pPr>
  </w:style>
  <w:style w:type="character" w:customStyle="1" w:styleId="BodyTextFirstIndent2Char">
    <w:name w:val="Body Text First Indent 2 Char"/>
    <w:link w:val="BodyTextFirstIndent2"/>
    <w:rsid w:val="00DF78F4"/>
    <w:rPr>
      <w:rFonts w:eastAsia="Times New Roman"/>
      <w:noProof/>
      <w:sz w:val="22"/>
      <w:lang w:eastAsia="ja-JP"/>
    </w:rPr>
  </w:style>
  <w:style w:type="paragraph" w:styleId="BodyTextIndent2">
    <w:name w:val="Body Text Indent 2"/>
    <w:basedOn w:val="Normal"/>
    <w:link w:val="BodyTextIndent2Char"/>
    <w:rsid w:val="00DF78F4"/>
    <w:pPr>
      <w:spacing w:after="120" w:line="480" w:lineRule="auto"/>
      <w:ind w:left="360"/>
    </w:pPr>
  </w:style>
  <w:style w:type="character" w:customStyle="1" w:styleId="BodyTextIndent2Char">
    <w:name w:val="Body Text Indent 2 Char"/>
    <w:link w:val="BodyTextIndent2"/>
    <w:rsid w:val="00DF78F4"/>
    <w:rPr>
      <w:rFonts w:eastAsia="Times New Roman"/>
      <w:noProof/>
      <w:sz w:val="22"/>
      <w:lang w:eastAsia="ja-JP"/>
    </w:rPr>
  </w:style>
  <w:style w:type="paragraph" w:styleId="BodyTextIndent3">
    <w:name w:val="Body Text Indent 3"/>
    <w:basedOn w:val="Normal"/>
    <w:link w:val="BodyTextIndent3Char"/>
    <w:rsid w:val="00DF78F4"/>
    <w:pPr>
      <w:spacing w:after="120"/>
      <w:ind w:left="360"/>
    </w:pPr>
    <w:rPr>
      <w:sz w:val="16"/>
      <w:szCs w:val="16"/>
    </w:rPr>
  </w:style>
  <w:style w:type="character" w:customStyle="1" w:styleId="BodyTextIndent3Char">
    <w:name w:val="Body Text Indent 3 Char"/>
    <w:link w:val="BodyTextIndent3"/>
    <w:rsid w:val="00DF78F4"/>
    <w:rPr>
      <w:rFonts w:eastAsia="Times New Roman"/>
      <w:noProof/>
      <w:sz w:val="16"/>
      <w:szCs w:val="16"/>
      <w:lang w:eastAsia="ja-JP"/>
    </w:rPr>
  </w:style>
  <w:style w:type="paragraph" w:styleId="Caption">
    <w:name w:val="caption"/>
    <w:basedOn w:val="Normal"/>
    <w:next w:val="Normal"/>
    <w:semiHidden/>
    <w:unhideWhenUsed/>
    <w:qFormat/>
    <w:rsid w:val="00DF78F4"/>
    <w:rPr>
      <w:b/>
      <w:bCs/>
      <w:sz w:val="20"/>
    </w:rPr>
  </w:style>
  <w:style w:type="paragraph" w:styleId="Closing">
    <w:name w:val="Closing"/>
    <w:basedOn w:val="Normal"/>
    <w:link w:val="ClosingChar"/>
    <w:rsid w:val="00DF78F4"/>
    <w:pPr>
      <w:ind w:left="4320"/>
    </w:pPr>
  </w:style>
  <w:style w:type="character" w:customStyle="1" w:styleId="ClosingChar">
    <w:name w:val="Closing Char"/>
    <w:link w:val="Closing"/>
    <w:rsid w:val="00DF78F4"/>
    <w:rPr>
      <w:rFonts w:eastAsia="Times New Roman"/>
      <w:noProof/>
      <w:sz w:val="22"/>
      <w:lang w:eastAsia="ja-JP"/>
    </w:rPr>
  </w:style>
  <w:style w:type="paragraph" w:styleId="Date">
    <w:name w:val="Date"/>
    <w:basedOn w:val="Normal"/>
    <w:next w:val="Normal"/>
    <w:link w:val="DateChar"/>
    <w:rsid w:val="00DF78F4"/>
  </w:style>
  <w:style w:type="character" w:customStyle="1" w:styleId="DateChar">
    <w:name w:val="Date Char"/>
    <w:link w:val="Date"/>
    <w:rsid w:val="00DF78F4"/>
    <w:rPr>
      <w:rFonts w:eastAsia="Times New Roman"/>
      <w:noProof/>
      <w:sz w:val="22"/>
      <w:lang w:eastAsia="ja-JP"/>
    </w:rPr>
  </w:style>
  <w:style w:type="paragraph" w:styleId="DocumentMap">
    <w:name w:val="Document Map"/>
    <w:basedOn w:val="Normal"/>
    <w:link w:val="DocumentMapChar"/>
    <w:rsid w:val="00DF78F4"/>
    <w:rPr>
      <w:rFonts w:ascii="Tahoma" w:hAnsi="Tahoma" w:cs="Tahoma"/>
      <w:sz w:val="16"/>
      <w:szCs w:val="16"/>
    </w:rPr>
  </w:style>
  <w:style w:type="character" w:customStyle="1" w:styleId="DocumentMapChar">
    <w:name w:val="Document Map Char"/>
    <w:link w:val="DocumentMap"/>
    <w:rsid w:val="00DF78F4"/>
    <w:rPr>
      <w:rFonts w:ascii="Tahoma" w:eastAsia="Times New Roman" w:hAnsi="Tahoma" w:cs="Tahoma"/>
      <w:noProof/>
      <w:sz w:val="16"/>
      <w:szCs w:val="16"/>
      <w:lang w:eastAsia="ja-JP"/>
    </w:rPr>
  </w:style>
  <w:style w:type="paragraph" w:styleId="E-mailSignature">
    <w:name w:val="E-mail Signature"/>
    <w:basedOn w:val="Normal"/>
    <w:link w:val="E-mailSignatureChar"/>
    <w:rsid w:val="00DF78F4"/>
  </w:style>
  <w:style w:type="character" w:customStyle="1" w:styleId="E-mailSignatureChar">
    <w:name w:val="E-mail Signature Char"/>
    <w:link w:val="E-mailSignature"/>
    <w:rsid w:val="00DF78F4"/>
    <w:rPr>
      <w:rFonts w:eastAsia="Times New Roman"/>
      <w:noProof/>
      <w:sz w:val="22"/>
      <w:lang w:eastAsia="ja-JP"/>
    </w:rPr>
  </w:style>
  <w:style w:type="paragraph" w:styleId="EndnoteText">
    <w:name w:val="endnote text"/>
    <w:basedOn w:val="Normal"/>
    <w:link w:val="EndnoteTextChar"/>
    <w:rsid w:val="00DF78F4"/>
    <w:rPr>
      <w:sz w:val="20"/>
    </w:rPr>
  </w:style>
  <w:style w:type="character" w:customStyle="1" w:styleId="EndnoteTextChar">
    <w:name w:val="Endnote Text Char"/>
    <w:link w:val="EndnoteText"/>
    <w:rsid w:val="00DF78F4"/>
    <w:rPr>
      <w:rFonts w:eastAsia="Times New Roman"/>
      <w:noProof/>
      <w:lang w:eastAsia="ja-JP"/>
    </w:rPr>
  </w:style>
  <w:style w:type="paragraph" w:styleId="EnvelopeAddress">
    <w:name w:val="envelope address"/>
    <w:basedOn w:val="Normal"/>
    <w:rsid w:val="00DF78F4"/>
    <w:pPr>
      <w:framePr w:w="7920" w:h="1980" w:hRule="exact" w:hSpace="180" w:wrap="auto" w:vAnchor="margin" w:hAnchor="page" w:xAlign="center" w:yAlign="bottom"/>
      <w:ind w:left="2880"/>
    </w:pPr>
    <w:rPr>
      <w:rFonts w:ascii="Cambria" w:hAnsi="Cambria"/>
      <w:sz w:val="24"/>
      <w:szCs w:val="24"/>
    </w:rPr>
  </w:style>
  <w:style w:type="paragraph" w:styleId="EnvelopeReturn">
    <w:name w:val="envelope return"/>
    <w:basedOn w:val="Normal"/>
    <w:rsid w:val="00DF78F4"/>
    <w:rPr>
      <w:rFonts w:ascii="Cambria" w:hAnsi="Cambria"/>
      <w:sz w:val="20"/>
    </w:rPr>
  </w:style>
  <w:style w:type="paragraph" w:styleId="FootnoteText">
    <w:name w:val="footnote text"/>
    <w:basedOn w:val="Normal"/>
    <w:link w:val="FootnoteTextChar"/>
    <w:rsid w:val="00DF78F4"/>
    <w:rPr>
      <w:sz w:val="20"/>
    </w:rPr>
  </w:style>
  <w:style w:type="character" w:customStyle="1" w:styleId="FootnoteTextChar">
    <w:name w:val="Footnote Text Char"/>
    <w:link w:val="FootnoteText"/>
    <w:rsid w:val="00DF78F4"/>
    <w:rPr>
      <w:rFonts w:eastAsia="Times New Roman"/>
      <w:noProof/>
      <w:lang w:eastAsia="ja-JP"/>
    </w:rPr>
  </w:style>
  <w:style w:type="character" w:customStyle="1" w:styleId="Heading4Char">
    <w:name w:val="Heading 4 Char"/>
    <w:link w:val="Heading4"/>
    <w:semiHidden/>
    <w:rsid w:val="00DF78F4"/>
    <w:rPr>
      <w:rFonts w:ascii="Calibri" w:eastAsia="Times New Roman" w:hAnsi="Calibri" w:cs="Times New Roman"/>
      <w:b/>
      <w:bCs/>
      <w:noProof/>
      <w:sz w:val="28"/>
      <w:szCs w:val="28"/>
      <w:lang w:eastAsia="ja-JP"/>
    </w:rPr>
  </w:style>
  <w:style w:type="character" w:customStyle="1" w:styleId="Heading5Char">
    <w:name w:val="Heading 5 Char"/>
    <w:link w:val="Heading5"/>
    <w:semiHidden/>
    <w:rsid w:val="00DF78F4"/>
    <w:rPr>
      <w:rFonts w:ascii="Calibri" w:eastAsia="Times New Roman" w:hAnsi="Calibri" w:cs="Times New Roman"/>
      <w:b/>
      <w:bCs/>
      <w:i/>
      <w:iCs/>
      <w:noProof/>
      <w:sz w:val="26"/>
      <w:szCs w:val="26"/>
      <w:lang w:eastAsia="ja-JP"/>
    </w:rPr>
  </w:style>
  <w:style w:type="character" w:customStyle="1" w:styleId="Heading6Char">
    <w:name w:val="Heading 6 Char"/>
    <w:link w:val="Heading6"/>
    <w:semiHidden/>
    <w:rsid w:val="00DF78F4"/>
    <w:rPr>
      <w:rFonts w:ascii="Calibri" w:eastAsia="Times New Roman" w:hAnsi="Calibri" w:cs="Times New Roman"/>
      <w:b/>
      <w:bCs/>
      <w:noProof/>
      <w:sz w:val="22"/>
      <w:szCs w:val="22"/>
      <w:lang w:eastAsia="ja-JP"/>
    </w:rPr>
  </w:style>
  <w:style w:type="character" w:customStyle="1" w:styleId="Heading7Char">
    <w:name w:val="Heading 7 Char"/>
    <w:link w:val="Heading7"/>
    <w:semiHidden/>
    <w:rsid w:val="00DF78F4"/>
    <w:rPr>
      <w:rFonts w:ascii="Calibri" w:eastAsia="Times New Roman" w:hAnsi="Calibri" w:cs="Times New Roman"/>
      <w:noProof/>
      <w:sz w:val="24"/>
      <w:szCs w:val="24"/>
      <w:lang w:eastAsia="ja-JP"/>
    </w:rPr>
  </w:style>
  <w:style w:type="character" w:customStyle="1" w:styleId="Heading8Char">
    <w:name w:val="Heading 8 Char"/>
    <w:link w:val="Heading8"/>
    <w:semiHidden/>
    <w:rsid w:val="00DF78F4"/>
    <w:rPr>
      <w:rFonts w:ascii="Calibri" w:eastAsia="Times New Roman" w:hAnsi="Calibri" w:cs="Times New Roman"/>
      <w:i/>
      <w:iCs/>
      <w:noProof/>
      <w:sz w:val="24"/>
      <w:szCs w:val="24"/>
      <w:lang w:eastAsia="ja-JP"/>
    </w:rPr>
  </w:style>
  <w:style w:type="character" w:customStyle="1" w:styleId="Heading9Char">
    <w:name w:val="Heading 9 Char"/>
    <w:link w:val="Heading9"/>
    <w:semiHidden/>
    <w:rsid w:val="00DF78F4"/>
    <w:rPr>
      <w:rFonts w:ascii="Cambria" w:eastAsia="Times New Roman" w:hAnsi="Cambria" w:cs="Times New Roman"/>
      <w:noProof/>
      <w:sz w:val="22"/>
      <w:szCs w:val="22"/>
      <w:lang w:eastAsia="ja-JP"/>
    </w:rPr>
  </w:style>
  <w:style w:type="paragraph" w:styleId="HTMLAddress">
    <w:name w:val="HTML Address"/>
    <w:basedOn w:val="Normal"/>
    <w:link w:val="HTMLAddressChar"/>
    <w:rsid w:val="00DF78F4"/>
    <w:rPr>
      <w:i/>
      <w:iCs/>
    </w:rPr>
  </w:style>
  <w:style w:type="character" w:customStyle="1" w:styleId="HTMLAddressChar">
    <w:name w:val="HTML Address Char"/>
    <w:link w:val="HTMLAddress"/>
    <w:rsid w:val="00DF78F4"/>
    <w:rPr>
      <w:rFonts w:eastAsia="Times New Roman"/>
      <w:i/>
      <w:iCs/>
      <w:noProof/>
      <w:sz w:val="22"/>
      <w:lang w:eastAsia="ja-JP"/>
    </w:rPr>
  </w:style>
  <w:style w:type="paragraph" w:styleId="HTMLPreformatted">
    <w:name w:val="HTML Preformatted"/>
    <w:basedOn w:val="Normal"/>
    <w:link w:val="HTMLPreformattedChar"/>
    <w:rsid w:val="00DF78F4"/>
    <w:rPr>
      <w:rFonts w:ascii="Courier New" w:hAnsi="Courier New" w:cs="Courier New"/>
      <w:sz w:val="20"/>
    </w:rPr>
  </w:style>
  <w:style w:type="character" w:customStyle="1" w:styleId="HTMLPreformattedChar">
    <w:name w:val="HTML Preformatted Char"/>
    <w:link w:val="HTMLPreformatted"/>
    <w:rsid w:val="00DF78F4"/>
    <w:rPr>
      <w:rFonts w:ascii="Courier New" w:eastAsia="Times New Roman" w:hAnsi="Courier New" w:cs="Courier New"/>
      <w:noProof/>
      <w:lang w:eastAsia="ja-JP"/>
    </w:rPr>
  </w:style>
  <w:style w:type="paragraph" w:styleId="Index1">
    <w:name w:val="index 1"/>
    <w:basedOn w:val="Normal"/>
    <w:next w:val="Normal"/>
    <w:autoRedefine/>
    <w:rsid w:val="00DF78F4"/>
    <w:pPr>
      <w:ind w:left="220" w:hanging="220"/>
    </w:pPr>
  </w:style>
  <w:style w:type="paragraph" w:styleId="Index2">
    <w:name w:val="index 2"/>
    <w:basedOn w:val="Normal"/>
    <w:next w:val="Normal"/>
    <w:autoRedefine/>
    <w:rsid w:val="00DF78F4"/>
    <w:pPr>
      <w:ind w:left="440" w:hanging="220"/>
    </w:pPr>
  </w:style>
  <w:style w:type="paragraph" w:styleId="Index3">
    <w:name w:val="index 3"/>
    <w:basedOn w:val="Normal"/>
    <w:next w:val="Normal"/>
    <w:autoRedefine/>
    <w:rsid w:val="00DF78F4"/>
    <w:pPr>
      <w:ind w:left="660" w:hanging="220"/>
    </w:pPr>
  </w:style>
  <w:style w:type="paragraph" w:styleId="Index4">
    <w:name w:val="index 4"/>
    <w:basedOn w:val="Normal"/>
    <w:next w:val="Normal"/>
    <w:autoRedefine/>
    <w:rsid w:val="00DF78F4"/>
    <w:pPr>
      <w:ind w:left="880" w:hanging="220"/>
    </w:pPr>
  </w:style>
  <w:style w:type="paragraph" w:styleId="Index5">
    <w:name w:val="index 5"/>
    <w:basedOn w:val="Normal"/>
    <w:next w:val="Normal"/>
    <w:autoRedefine/>
    <w:rsid w:val="00DF78F4"/>
    <w:pPr>
      <w:ind w:left="1100" w:hanging="220"/>
    </w:pPr>
  </w:style>
  <w:style w:type="paragraph" w:styleId="Index6">
    <w:name w:val="index 6"/>
    <w:basedOn w:val="Normal"/>
    <w:next w:val="Normal"/>
    <w:autoRedefine/>
    <w:rsid w:val="00DF78F4"/>
    <w:pPr>
      <w:ind w:left="1320" w:hanging="220"/>
    </w:pPr>
  </w:style>
  <w:style w:type="paragraph" w:styleId="Index7">
    <w:name w:val="index 7"/>
    <w:basedOn w:val="Normal"/>
    <w:next w:val="Normal"/>
    <w:autoRedefine/>
    <w:rsid w:val="00DF78F4"/>
    <w:pPr>
      <w:ind w:left="1540" w:hanging="220"/>
    </w:pPr>
  </w:style>
  <w:style w:type="paragraph" w:styleId="Index8">
    <w:name w:val="index 8"/>
    <w:basedOn w:val="Normal"/>
    <w:next w:val="Normal"/>
    <w:autoRedefine/>
    <w:rsid w:val="00DF78F4"/>
    <w:pPr>
      <w:ind w:left="1760" w:hanging="220"/>
    </w:pPr>
  </w:style>
  <w:style w:type="paragraph" w:styleId="Index9">
    <w:name w:val="index 9"/>
    <w:basedOn w:val="Normal"/>
    <w:next w:val="Normal"/>
    <w:autoRedefine/>
    <w:rsid w:val="00DF78F4"/>
    <w:pPr>
      <w:ind w:left="1980" w:hanging="220"/>
    </w:pPr>
  </w:style>
  <w:style w:type="paragraph" w:styleId="IndexHeading">
    <w:name w:val="index heading"/>
    <w:basedOn w:val="Normal"/>
    <w:next w:val="Index1"/>
    <w:rsid w:val="00DF78F4"/>
    <w:rPr>
      <w:rFonts w:ascii="Cambria" w:hAnsi="Cambria"/>
      <w:b/>
      <w:bCs/>
    </w:rPr>
  </w:style>
  <w:style w:type="paragraph" w:styleId="IntenseQuote">
    <w:name w:val="Intense Quote"/>
    <w:basedOn w:val="Normal"/>
    <w:next w:val="Normal"/>
    <w:link w:val="IntenseQuoteChar"/>
    <w:uiPriority w:val="30"/>
    <w:qFormat/>
    <w:rsid w:val="00DF78F4"/>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F78F4"/>
    <w:rPr>
      <w:rFonts w:eastAsia="Times New Roman"/>
      <w:b/>
      <w:bCs/>
      <w:i/>
      <w:iCs/>
      <w:noProof/>
      <w:color w:val="4F81BD"/>
      <w:sz w:val="22"/>
      <w:lang w:eastAsia="ja-JP"/>
    </w:rPr>
  </w:style>
  <w:style w:type="paragraph" w:styleId="List">
    <w:name w:val="List"/>
    <w:basedOn w:val="Normal"/>
    <w:rsid w:val="00DF78F4"/>
    <w:pPr>
      <w:ind w:left="360" w:hanging="360"/>
      <w:contextualSpacing/>
    </w:pPr>
  </w:style>
  <w:style w:type="paragraph" w:styleId="List2">
    <w:name w:val="List 2"/>
    <w:basedOn w:val="Normal"/>
    <w:rsid w:val="00DF78F4"/>
    <w:pPr>
      <w:ind w:left="720" w:hanging="360"/>
      <w:contextualSpacing/>
    </w:pPr>
  </w:style>
  <w:style w:type="paragraph" w:styleId="List3">
    <w:name w:val="List 3"/>
    <w:basedOn w:val="Normal"/>
    <w:rsid w:val="00DF78F4"/>
    <w:pPr>
      <w:ind w:left="1080" w:hanging="360"/>
      <w:contextualSpacing/>
    </w:pPr>
  </w:style>
  <w:style w:type="paragraph" w:styleId="List4">
    <w:name w:val="List 4"/>
    <w:basedOn w:val="Normal"/>
    <w:rsid w:val="00DF78F4"/>
    <w:pPr>
      <w:ind w:left="1440" w:hanging="360"/>
      <w:contextualSpacing/>
    </w:pPr>
  </w:style>
  <w:style w:type="paragraph" w:styleId="List5">
    <w:name w:val="List 5"/>
    <w:basedOn w:val="Normal"/>
    <w:rsid w:val="00DF78F4"/>
    <w:pPr>
      <w:ind w:left="1800" w:hanging="360"/>
      <w:contextualSpacing/>
    </w:pPr>
  </w:style>
  <w:style w:type="paragraph" w:styleId="ListBullet2">
    <w:name w:val="List Bullet 2"/>
    <w:basedOn w:val="Normal"/>
    <w:rsid w:val="00DF78F4"/>
    <w:pPr>
      <w:numPr>
        <w:numId w:val="30"/>
      </w:numPr>
      <w:contextualSpacing/>
    </w:pPr>
  </w:style>
  <w:style w:type="paragraph" w:styleId="ListBullet3">
    <w:name w:val="List Bullet 3"/>
    <w:basedOn w:val="Normal"/>
    <w:rsid w:val="00DF78F4"/>
    <w:pPr>
      <w:numPr>
        <w:numId w:val="31"/>
      </w:numPr>
      <w:contextualSpacing/>
    </w:pPr>
  </w:style>
  <w:style w:type="paragraph" w:styleId="ListBullet4">
    <w:name w:val="List Bullet 4"/>
    <w:basedOn w:val="Normal"/>
    <w:rsid w:val="00DF78F4"/>
    <w:pPr>
      <w:numPr>
        <w:numId w:val="32"/>
      </w:numPr>
      <w:contextualSpacing/>
    </w:pPr>
  </w:style>
  <w:style w:type="paragraph" w:styleId="ListBullet5">
    <w:name w:val="List Bullet 5"/>
    <w:basedOn w:val="Normal"/>
    <w:rsid w:val="00DF78F4"/>
    <w:pPr>
      <w:numPr>
        <w:numId w:val="33"/>
      </w:numPr>
      <w:contextualSpacing/>
    </w:pPr>
  </w:style>
  <w:style w:type="paragraph" w:styleId="ListContinue">
    <w:name w:val="List Continue"/>
    <w:basedOn w:val="Normal"/>
    <w:rsid w:val="00DF78F4"/>
    <w:pPr>
      <w:spacing w:after="120"/>
      <w:ind w:left="360"/>
      <w:contextualSpacing/>
    </w:pPr>
  </w:style>
  <w:style w:type="paragraph" w:styleId="ListContinue2">
    <w:name w:val="List Continue 2"/>
    <w:basedOn w:val="Normal"/>
    <w:rsid w:val="00DF78F4"/>
    <w:pPr>
      <w:spacing w:after="120"/>
      <w:ind w:left="720"/>
      <w:contextualSpacing/>
    </w:pPr>
  </w:style>
  <w:style w:type="paragraph" w:styleId="ListContinue3">
    <w:name w:val="List Continue 3"/>
    <w:basedOn w:val="Normal"/>
    <w:rsid w:val="00DF78F4"/>
    <w:pPr>
      <w:spacing w:after="120"/>
      <w:ind w:left="1080"/>
      <w:contextualSpacing/>
    </w:pPr>
  </w:style>
  <w:style w:type="paragraph" w:styleId="ListContinue4">
    <w:name w:val="List Continue 4"/>
    <w:basedOn w:val="Normal"/>
    <w:rsid w:val="00DF78F4"/>
    <w:pPr>
      <w:spacing w:after="120"/>
      <w:ind w:left="1440"/>
      <w:contextualSpacing/>
    </w:pPr>
  </w:style>
  <w:style w:type="paragraph" w:styleId="ListContinue5">
    <w:name w:val="List Continue 5"/>
    <w:basedOn w:val="Normal"/>
    <w:rsid w:val="00DF78F4"/>
    <w:pPr>
      <w:spacing w:after="120"/>
      <w:ind w:left="1800"/>
      <w:contextualSpacing/>
    </w:pPr>
  </w:style>
  <w:style w:type="paragraph" w:styleId="ListNumber">
    <w:name w:val="List Number"/>
    <w:basedOn w:val="Normal"/>
    <w:rsid w:val="00DF78F4"/>
    <w:pPr>
      <w:numPr>
        <w:numId w:val="34"/>
      </w:numPr>
      <w:contextualSpacing/>
    </w:pPr>
  </w:style>
  <w:style w:type="paragraph" w:styleId="ListNumber2">
    <w:name w:val="List Number 2"/>
    <w:basedOn w:val="Normal"/>
    <w:rsid w:val="00DF78F4"/>
    <w:pPr>
      <w:numPr>
        <w:numId w:val="35"/>
      </w:numPr>
      <w:contextualSpacing/>
    </w:pPr>
  </w:style>
  <w:style w:type="paragraph" w:styleId="ListNumber3">
    <w:name w:val="List Number 3"/>
    <w:basedOn w:val="Normal"/>
    <w:rsid w:val="00DF78F4"/>
    <w:pPr>
      <w:numPr>
        <w:numId w:val="36"/>
      </w:numPr>
      <w:contextualSpacing/>
    </w:pPr>
  </w:style>
  <w:style w:type="paragraph" w:styleId="ListNumber4">
    <w:name w:val="List Number 4"/>
    <w:basedOn w:val="Normal"/>
    <w:rsid w:val="00DF78F4"/>
    <w:pPr>
      <w:numPr>
        <w:numId w:val="37"/>
      </w:numPr>
      <w:contextualSpacing/>
    </w:pPr>
  </w:style>
  <w:style w:type="paragraph" w:styleId="ListNumber5">
    <w:name w:val="List Number 5"/>
    <w:basedOn w:val="Normal"/>
    <w:rsid w:val="00DF78F4"/>
    <w:pPr>
      <w:numPr>
        <w:numId w:val="38"/>
      </w:numPr>
      <w:contextualSpacing/>
    </w:pPr>
  </w:style>
  <w:style w:type="paragraph" w:styleId="ListParagraph">
    <w:name w:val="List Paragraph"/>
    <w:basedOn w:val="Normal"/>
    <w:uiPriority w:val="34"/>
    <w:qFormat/>
    <w:rsid w:val="00DF78F4"/>
    <w:pPr>
      <w:ind w:left="720"/>
    </w:pPr>
  </w:style>
  <w:style w:type="paragraph" w:styleId="Macro">
    <w:name w:val="macro"/>
    <w:link w:val="MacroTextChar"/>
    <w:rsid w:val="00DF78F4"/>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eastAsia="ja-JP" w:bidi="ar-SA"/>
    </w:rPr>
  </w:style>
  <w:style w:type="character" w:customStyle="1" w:styleId="MacroTextChar">
    <w:name w:val="Macro Text Char"/>
    <w:link w:val="Macro"/>
    <w:rsid w:val="00DF78F4"/>
    <w:rPr>
      <w:rFonts w:ascii="Courier New" w:eastAsia="Times New Roman" w:hAnsi="Courier New" w:cs="Courier New"/>
      <w:noProof/>
      <w:lang w:eastAsia="ja-JP"/>
    </w:rPr>
  </w:style>
  <w:style w:type="paragraph" w:styleId="MessageHeader">
    <w:name w:val="Message Header"/>
    <w:basedOn w:val="Normal"/>
    <w:link w:val="MessageHeaderChar"/>
    <w:rsid w:val="00DF78F4"/>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rPr>
  </w:style>
  <w:style w:type="character" w:customStyle="1" w:styleId="MessageHeaderChar">
    <w:name w:val="Message Header Char"/>
    <w:link w:val="MessageHeader"/>
    <w:rsid w:val="00DF78F4"/>
    <w:rPr>
      <w:rFonts w:ascii="Cambria" w:eastAsia="Times New Roman" w:hAnsi="Cambria" w:cs="Times New Roman"/>
      <w:noProof/>
      <w:sz w:val="24"/>
      <w:szCs w:val="24"/>
      <w:shd w:val="pct20" w:color="auto" w:fill="auto"/>
      <w:lang w:eastAsia="ja-JP"/>
    </w:rPr>
  </w:style>
  <w:style w:type="paragraph" w:styleId="NoSpacing">
    <w:name w:val="No Spacing"/>
    <w:uiPriority w:val="1"/>
    <w:qFormat/>
    <w:rsid w:val="00DF78F4"/>
    <w:rPr>
      <w:rFonts w:eastAsia="Times New Roman"/>
      <w:sz w:val="22"/>
      <w:lang w:val="en-US" w:eastAsia="ja-JP" w:bidi="ar-SA"/>
    </w:rPr>
  </w:style>
  <w:style w:type="paragraph" w:styleId="NormalIndent">
    <w:name w:val="Normal Indent"/>
    <w:basedOn w:val="Normal"/>
    <w:rsid w:val="00DF78F4"/>
    <w:pPr>
      <w:ind w:left="720"/>
    </w:pPr>
  </w:style>
  <w:style w:type="paragraph" w:customStyle="1" w:styleId="NoteHeading1">
    <w:name w:val="Note Heading1"/>
    <w:basedOn w:val="Normal"/>
    <w:next w:val="Normal"/>
    <w:link w:val="NoteHeadingChar"/>
    <w:rsid w:val="00DF78F4"/>
  </w:style>
  <w:style w:type="character" w:customStyle="1" w:styleId="NoteHeadingChar">
    <w:name w:val="Note Heading Char"/>
    <w:link w:val="NoteHeading1"/>
    <w:rsid w:val="00DF78F4"/>
    <w:rPr>
      <w:rFonts w:eastAsia="Times New Roman"/>
      <w:noProof/>
      <w:sz w:val="22"/>
      <w:lang w:eastAsia="ja-JP"/>
    </w:rPr>
  </w:style>
  <w:style w:type="paragraph" w:styleId="PlainText">
    <w:name w:val="Plain Text"/>
    <w:basedOn w:val="Normal"/>
    <w:link w:val="PlainTextChar"/>
    <w:rsid w:val="00DF78F4"/>
    <w:rPr>
      <w:rFonts w:ascii="Courier New" w:hAnsi="Courier New" w:cs="Courier New"/>
      <w:sz w:val="20"/>
    </w:rPr>
  </w:style>
  <w:style w:type="character" w:customStyle="1" w:styleId="PlainTextChar">
    <w:name w:val="Plain Text Char"/>
    <w:link w:val="PlainText"/>
    <w:rsid w:val="00DF78F4"/>
    <w:rPr>
      <w:rFonts w:ascii="Courier New" w:eastAsia="Times New Roman" w:hAnsi="Courier New" w:cs="Courier New"/>
      <w:noProof/>
      <w:lang w:eastAsia="ja-JP"/>
    </w:rPr>
  </w:style>
  <w:style w:type="paragraph" w:styleId="Quote">
    <w:name w:val="Quote"/>
    <w:basedOn w:val="Normal"/>
    <w:next w:val="Normal"/>
    <w:link w:val="QuoteChar"/>
    <w:uiPriority w:val="29"/>
    <w:qFormat/>
    <w:rsid w:val="00DF78F4"/>
    <w:rPr>
      <w:i/>
      <w:iCs/>
      <w:color w:val="000000"/>
    </w:rPr>
  </w:style>
  <w:style w:type="character" w:customStyle="1" w:styleId="QuoteChar">
    <w:name w:val="Quote Char"/>
    <w:link w:val="Quote"/>
    <w:uiPriority w:val="29"/>
    <w:rsid w:val="00DF78F4"/>
    <w:rPr>
      <w:rFonts w:eastAsia="Times New Roman"/>
      <w:i/>
      <w:iCs/>
      <w:noProof/>
      <w:color w:val="000000"/>
      <w:sz w:val="22"/>
      <w:lang w:eastAsia="ja-JP"/>
    </w:rPr>
  </w:style>
  <w:style w:type="paragraph" w:styleId="Salutation">
    <w:name w:val="Salutation"/>
    <w:basedOn w:val="Normal"/>
    <w:next w:val="Normal"/>
    <w:link w:val="SalutationChar"/>
    <w:rsid w:val="00DF78F4"/>
  </w:style>
  <w:style w:type="character" w:customStyle="1" w:styleId="SalutationChar">
    <w:name w:val="Salutation Char"/>
    <w:link w:val="Salutation"/>
    <w:rsid w:val="00DF78F4"/>
    <w:rPr>
      <w:rFonts w:eastAsia="Times New Roman"/>
      <w:noProof/>
      <w:sz w:val="22"/>
      <w:lang w:eastAsia="ja-JP"/>
    </w:rPr>
  </w:style>
  <w:style w:type="paragraph" w:styleId="Signature">
    <w:name w:val="Signature"/>
    <w:basedOn w:val="Normal"/>
    <w:link w:val="SignatureChar"/>
    <w:rsid w:val="00DF78F4"/>
    <w:pPr>
      <w:ind w:left="4320"/>
    </w:pPr>
  </w:style>
  <w:style w:type="character" w:customStyle="1" w:styleId="SignatureChar">
    <w:name w:val="Signature Char"/>
    <w:link w:val="Signature"/>
    <w:rsid w:val="00DF78F4"/>
    <w:rPr>
      <w:rFonts w:eastAsia="Times New Roman"/>
      <w:noProof/>
      <w:sz w:val="22"/>
      <w:lang w:eastAsia="ja-JP"/>
    </w:rPr>
  </w:style>
  <w:style w:type="paragraph" w:styleId="Subtitle">
    <w:name w:val="Subtitle"/>
    <w:basedOn w:val="Normal"/>
    <w:next w:val="Normal"/>
    <w:link w:val="SubtitleChar"/>
    <w:qFormat/>
    <w:rsid w:val="00DF78F4"/>
    <w:pPr>
      <w:spacing w:after="60"/>
      <w:jc w:val="center"/>
      <w:outlineLvl w:val="1"/>
    </w:pPr>
    <w:rPr>
      <w:rFonts w:ascii="Cambria" w:hAnsi="Cambria"/>
      <w:sz w:val="24"/>
      <w:szCs w:val="24"/>
    </w:rPr>
  </w:style>
  <w:style w:type="character" w:customStyle="1" w:styleId="SubtitleChar">
    <w:name w:val="Subtitle Char"/>
    <w:link w:val="Subtitle"/>
    <w:rsid w:val="00DF78F4"/>
    <w:rPr>
      <w:rFonts w:ascii="Cambria" w:eastAsia="Times New Roman" w:hAnsi="Cambria" w:cs="Times New Roman"/>
      <w:noProof/>
      <w:sz w:val="24"/>
      <w:szCs w:val="24"/>
      <w:lang w:eastAsia="ja-JP"/>
    </w:rPr>
  </w:style>
  <w:style w:type="paragraph" w:styleId="TableofAuthorities">
    <w:name w:val="table of authorities"/>
    <w:basedOn w:val="Normal"/>
    <w:next w:val="Normal"/>
    <w:rsid w:val="00DF78F4"/>
    <w:pPr>
      <w:ind w:left="220" w:hanging="220"/>
    </w:pPr>
  </w:style>
  <w:style w:type="paragraph" w:styleId="TableofFigures">
    <w:name w:val="table of figures"/>
    <w:basedOn w:val="Normal"/>
    <w:next w:val="Normal"/>
    <w:rsid w:val="00DF78F4"/>
  </w:style>
  <w:style w:type="paragraph" w:styleId="Title">
    <w:name w:val="Title"/>
    <w:basedOn w:val="Normal"/>
    <w:next w:val="Normal"/>
    <w:link w:val="TitleChar"/>
    <w:qFormat/>
    <w:rsid w:val="00DF78F4"/>
    <w:pPr>
      <w:spacing w:before="240" w:after="60"/>
      <w:jc w:val="center"/>
      <w:outlineLvl w:val="0"/>
    </w:pPr>
    <w:rPr>
      <w:rFonts w:ascii="Cambria" w:hAnsi="Cambria"/>
      <w:b/>
      <w:bCs/>
      <w:kern w:val="28"/>
      <w:sz w:val="32"/>
      <w:szCs w:val="32"/>
    </w:rPr>
  </w:style>
  <w:style w:type="character" w:customStyle="1" w:styleId="TitleChar">
    <w:name w:val="Title Char"/>
    <w:link w:val="Title"/>
    <w:rsid w:val="00DF78F4"/>
    <w:rPr>
      <w:rFonts w:ascii="Cambria" w:eastAsia="Times New Roman" w:hAnsi="Cambria" w:cs="Times New Roman"/>
      <w:b/>
      <w:bCs/>
      <w:noProof/>
      <w:kern w:val="28"/>
      <w:sz w:val="32"/>
      <w:szCs w:val="32"/>
      <w:lang w:eastAsia="ja-JP"/>
    </w:rPr>
  </w:style>
  <w:style w:type="paragraph" w:styleId="TOAHeading">
    <w:name w:val="toa heading"/>
    <w:basedOn w:val="Normal"/>
    <w:next w:val="Normal"/>
    <w:rsid w:val="00DF78F4"/>
    <w:pPr>
      <w:spacing w:before="120"/>
    </w:pPr>
    <w:rPr>
      <w:rFonts w:ascii="Cambria" w:hAnsi="Cambria"/>
      <w:b/>
      <w:bCs/>
      <w:sz w:val="24"/>
      <w:szCs w:val="24"/>
    </w:rPr>
  </w:style>
  <w:style w:type="paragraph" w:styleId="TOC1">
    <w:name w:val="toc 1"/>
    <w:basedOn w:val="Normal"/>
    <w:next w:val="Normal"/>
    <w:autoRedefine/>
    <w:rsid w:val="00DF78F4"/>
  </w:style>
  <w:style w:type="paragraph" w:styleId="TOC2">
    <w:name w:val="toc 2"/>
    <w:basedOn w:val="Normal"/>
    <w:next w:val="Normal"/>
    <w:autoRedefine/>
    <w:rsid w:val="00DF78F4"/>
    <w:pPr>
      <w:ind w:left="220"/>
    </w:pPr>
  </w:style>
  <w:style w:type="paragraph" w:styleId="TOC3">
    <w:name w:val="toc 3"/>
    <w:basedOn w:val="Normal"/>
    <w:next w:val="Normal"/>
    <w:autoRedefine/>
    <w:rsid w:val="00DF78F4"/>
    <w:pPr>
      <w:ind w:left="440"/>
    </w:pPr>
  </w:style>
  <w:style w:type="paragraph" w:styleId="TOC4">
    <w:name w:val="toc 4"/>
    <w:basedOn w:val="Normal"/>
    <w:next w:val="Normal"/>
    <w:autoRedefine/>
    <w:rsid w:val="00DF78F4"/>
    <w:pPr>
      <w:ind w:left="660"/>
    </w:pPr>
  </w:style>
  <w:style w:type="paragraph" w:styleId="TOC5">
    <w:name w:val="toc 5"/>
    <w:basedOn w:val="Normal"/>
    <w:next w:val="Normal"/>
    <w:autoRedefine/>
    <w:rsid w:val="00DF78F4"/>
    <w:pPr>
      <w:ind w:left="880"/>
    </w:pPr>
  </w:style>
  <w:style w:type="paragraph" w:styleId="TOC6">
    <w:name w:val="toc 6"/>
    <w:basedOn w:val="Normal"/>
    <w:next w:val="Normal"/>
    <w:autoRedefine/>
    <w:rsid w:val="00DF78F4"/>
    <w:pPr>
      <w:ind w:left="1100"/>
    </w:pPr>
  </w:style>
  <w:style w:type="paragraph" w:styleId="TOC7">
    <w:name w:val="toc 7"/>
    <w:basedOn w:val="Normal"/>
    <w:next w:val="Normal"/>
    <w:autoRedefine/>
    <w:rsid w:val="00DF78F4"/>
    <w:pPr>
      <w:ind w:left="1320"/>
    </w:pPr>
  </w:style>
  <w:style w:type="paragraph" w:styleId="TOC8">
    <w:name w:val="toc 8"/>
    <w:basedOn w:val="Normal"/>
    <w:next w:val="Normal"/>
    <w:autoRedefine/>
    <w:rsid w:val="00DF78F4"/>
    <w:pPr>
      <w:ind w:left="1540"/>
    </w:pPr>
  </w:style>
  <w:style w:type="paragraph" w:styleId="TOC9">
    <w:name w:val="toc 9"/>
    <w:basedOn w:val="Normal"/>
    <w:next w:val="Normal"/>
    <w:autoRedefine/>
    <w:rsid w:val="00DF78F4"/>
    <w:pPr>
      <w:ind w:left="1760"/>
    </w:pPr>
  </w:style>
  <w:style w:type="paragraph" w:styleId="TOCHeading">
    <w:name w:val="TOC Heading"/>
    <w:basedOn w:val="Heading1"/>
    <w:next w:val="Normal"/>
    <w:uiPriority w:val="39"/>
    <w:semiHidden/>
    <w:unhideWhenUsed/>
    <w:qFormat/>
    <w:rsid w:val="00DF78F4"/>
    <w:pPr>
      <w:keepNext/>
      <w:spacing w:before="240" w:after="60"/>
      <w:ind w:left="0" w:firstLine="0"/>
      <w:outlineLvl w:val="9"/>
    </w:pPr>
    <w:rPr>
      <w:rFonts w:ascii="Cambria" w:hAnsi="Cambria"/>
      <w:bCs/>
      <w:caps w:val="0"/>
      <w:kern w:val="32"/>
      <w:sz w:val="32"/>
      <w:szCs w:val="32"/>
    </w:rPr>
  </w:style>
  <w:style w:type="paragraph" w:styleId="Revision">
    <w:name w:val="Revision"/>
    <w:hidden/>
    <w:uiPriority w:val="99"/>
    <w:semiHidden/>
    <w:rsid w:val="006C3D2D"/>
    <w:rPr>
      <w:rFonts w:eastAsia="Times New Roman"/>
      <w:sz w:val="22"/>
      <w:lang w:val="en-US" w:eastAsia="ja-JP" w:bidi="ar-SA"/>
    </w:rPr>
  </w:style>
  <w:style w:type="paragraph" w:customStyle="1" w:styleId="ParagraphList">
    <w:name w:val="Paragraph List"/>
    <w:basedOn w:val="Paragraph"/>
    <w:next w:val="Paragraph"/>
    <w:link w:val="ParagraphListChar"/>
    <w:rsid w:val="00164E67"/>
    <w:pPr>
      <w:keepNext/>
      <w:spacing w:after="100" w:line="300" w:lineRule="atLeast"/>
    </w:pPr>
    <w:rPr>
      <w:sz w:val="22"/>
    </w:rPr>
  </w:style>
  <w:style w:type="paragraph" w:customStyle="1" w:styleId="ParagraphSpace">
    <w:name w:val="Paragraph Space"/>
    <w:basedOn w:val="Paragraph"/>
    <w:next w:val="Paragraph"/>
    <w:link w:val="ParagraphSpaceChar"/>
    <w:rsid w:val="00164E67"/>
    <w:pPr>
      <w:spacing w:after="0" w:line="120" w:lineRule="exact"/>
    </w:pPr>
    <w:rPr>
      <w:sz w:val="22"/>
    </w:rPr>
  </w:style>
  <w:style w:type="character" w:customStyle="1" w:styleId="ParagraphListChar">
    <w:name w:val="Paragraph List Char"/>
    <w:link w:val="ParagraphList"/>
    <w:rsid w:val="00164E67"/>
    <w:rPr>
      <w:rFonts w:ascii="Arial" w:hAnsi="Arial"/>
      <w:sz w:val="22"/>
      <w:szCs w:val="24"/>
      <w:lang w:eastAsia="zh-CN"/>
    </w:rPr>
  </w:style>
  <w:style w:type="character" w:customStyle="1" w:styleId="ParagraphSpaceChar">
    <w:name w:val="Paragraph Space Char"/>
    <w:link w:val="ParagraphSpace"/>
    <w:rsid w:val="00164E67"/>
    <w:rPr>
      <w:rFonts w:ascii="Arial" w:hAnsi="Arial"/>
      <w:sz w:val="22"/>
      <w:szCs w:val="24"/>
      <w:lang w:eastAsia="zh-CN"/>
    </w:rPr>
  </w:style>
  <w:style w:type="character" w:customStyle="1" w:styleId="FigureHolderChar">
    <w:name w:val="Figure Holder Char"/>
    <w:link w:val="FigureHolder"/>
    <w:rsid w:val="00A52C79"/>
    <w:rPr>
      <w:rFonts w:ascii="Arial" w:hAnsi="Arial"/>
      <w:sz w:val="24"/>
      <w:szCs w:val="24"/>
      <w:lang w:eastAsia="zh-CN"/>
    </w:rPr>
  </w:style>
  <w:style w:type="paragraph" w:customStyle="1" w:styleId="SAS8">
    <w:name w:val="SAS 8"/>
    <w:basedOn w:val="Normal"/>
    <w:rsid w:val="00C0374A"/>
    <w:pPr>
      <w:spacing w:line="150" w:lineRule="exact"/>
    </w:pPr>
    <w:rPr>
      <w:rFonts w:ascii="Courier New" w:eastAsia="SimSun" w:hAnsi="Courier New"/>
      <w:spacing w:val="-10"/>
      <w:sz w:val="16"/>
      <w:szCs w:val="24"/>
      <w:lang w:eastAsia="zh-CN"/>
    </w:rPr>
  </w:style>
  <w:style w:type="paragraph" w:customStyle="1" w:styleId="FPIHeading">
    <w:name w:val="FPI Heading"/>
    <w:basedOn w:val="Heading1"/>
    <w:next w:val="Paragraph"/>
    <w:rsid w:val="00FA202F"/>
    <w:pPr>
      <w:keepNext/>
      <w:keepLines/>
      <w:spacing w:before="60" w:after="40" w:line="280" w:lineRule="exact"/>
      <w:ind w:left="0" w:firstLine="0"/>
      <w:outlineLvl w:val="9"/>
    </w:pPr>
    <w:rPr>
      <w:rFonts w:eastAsia="SimSun" w:cs="Arial"/>
      <w:bCs/>
      <w:kern w:val="32"/>
      <w:sz w:val="24"/>
      <w:szCs w:val="32"/>
      <w:lang w:eastAsia="zh-CN"/>
    </w:rPr>
  </w:style>
</w:styles>
</file>

<file path=word/webSettings.xml><?xml version="1.0" encoding="utf-8"?>
<w:webSettings xmlns:r="http://schemas.openxmlformats.org/officeDocument/2006/relationships" xmlns:w="http://schemas.openxmlformats.org/wordprocessingml/2006/main">
  <w:targetScreenSz w:val="1024x768"/>
</w:webSettings>
</file>

<file path=word/_rels/document.xml.rels><?xml version="1.0" encoding="UTF-8" standalone="yes"?>
<Relationships xmlns="http://schemas.openxmlformats.org/package/2006/relationships"><Relationship Id="rId13" Type="http://schemas.openxmlformats.org/officeDocument/2006/relationships/customXml" Target="../customXml/item10.xml"/><Relationship Id="rId18" Type="http://schemas.openxmlformats.org/officeDocument/2006/relationships/footer" Target="footer1.xml"/><Relationship Id="rId8" Type="http://schemas.openxmlformats.org/officeDocument/2006/relationships/customXml" Target="../customXml/item5.xml"/><Relationship Id="rId21" Type="http://schemas.openxmlformats.org/officeDocument/2006/relationships/styles" Target="styles.xml"/><Relationship Id="rId3" Type="http://schemas.openxmlformats.org/officeDocument/2006/relationships/fontTable" Target="fontTable.xml"/><Relationship Id="rId12" Type="http://schemas.openxmlformats.org/officeDocument/2006/relationships/customXml" Target="../customXml/item9.xml"/><Relationship Id="rId17" Type="http://schemas.openxmlformats.org/officeDocument/2006/relationships/image" Target="media/image3.emf"/><Relationship Id="rId7" Type="http://schemas.openxmlformats.org/officeDocument/2006/relationships/customXml" Target="../customXml/item4.xml"/><Relationship Id="rId16" Type="http://schemas.openxmlformats.org/officeDocument/2006/relationships/image" Target="media/image2.emf"/><Relationship Id="rId2" Type="http://schemas.openxmlformats.org/officeDocument/2006/relationships/webSettings" Target="webSettings.xml"/><Relationship Id="rId20" Type="http://schemas.openxmlformats.org/officeDocument/2006/relationships/numbering" Target="numbering.xml"/><Relationship Id="rId1" Type="http://schemas.openxmlformats.org/officeDocument/2006/relationships/settings" Target="settings.xml"/><Relationship Id="rId11" Type="http://schemas.openxmlformats.org/officeDocument/2006/relationships/customXml" Target="../customXml/item8.xml"/><Relationship Id="rId6" Type="http://schemas.openxmlformats.org/officeDocument/2006/relationships/customXml" Target="../customXml/item3.xml"/><Relationship Id="rId15" Type="http://schemas.openxmlformats.org/officeDocument/2006/relationships/image" Target="media/image1.png"/><Relationship Id="rId5" Type="http://schemas.openxmlformats.org/officeDocument/2006/relationships/customXml" Target="../customXml/item2.xml"/><Relationship Id="rId10" Type="http://schemas.openxmlformats.org/officeDocument/2006/relationships/customXml" Target="../customXml/item7.xml"/><Relationship Id="rId19" Type="http://schemas.openxmlformats.org/officeDocument/2006/relationships/footer" Target="footer2.xml"/><Relationship Id="rId14" Type="http://schemas.openxmlformats.org/officeDocument/2006/relationships/customXml" Target="../customXml/item11.xml"/><Relationship Id="rId4" Type="http://schemas.openxmlformats.org/officeDocument/2006/relationships/customXml" Target="../customXml/item1.xml"/><Relationship Id="rId9" Type="http://schemas.openxmlformats.org/officeDocument/2006/relationships/customXml" Target="../customXml/item6.xml"/><Relationship Id="rId22" Type="http://schemas.openxmlformats.org/officeDocument/2006/relationships/customXml" Target="../customXml/item12.xml"/></Relationships>
</file>

<file path=word/_rels/settings.xml.rels>&#65279;<?xml version="1.0" encoding="utf-8" standalone="yes"?><Relationships xmlns="http://schemas.openxmlformats.org/package/2006/relationships"><Relationship Id="rId1" Type="http://schemas.openxmlformats.org/officeDocument/2006/relationships/attachedTemplate" Target="/C:\Users\fouretj\AppData\Roaming\Microsoft\Templates\SPC_10H.dot" TargetMode="Externa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10.xml.rels>&#65279;<?xml version="1.0" encoding="utf-8" standalone="yes"?><Relationships xmlns="http://schemas.openxmlformats.org/package/2006/relationships"><Relationship Id="rId1" Type="http://schemas.openxmlformats.org/officeDocument/2006/relationships/customXmlProps" Target="itemProps10.xml" /></Relationships>
</file>

<file path=customXml/_rels/item11.xml.rels>&#65279;<?xml version="1.0" encoding="utf-8" standalone="yes"?><Relationships xmlns="http://schemas.openxmlformats.org/package/2006/relationships"><Relationship Id="rId1" Type="http://schemas.openxmlformats.org/officeDocument/2006/relationships/customXmlProps" Target="itemProps11.xml" /></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&#65279;<?xml version="1.0" encoding="utf-8" standalone="yes"?><Relationships xmlns="http://schemas.openxmlformats.org/package/2006/relationships"><Relationship Id="rId1" Type="http://schemas.openxmlformats.org/officeDocument/2006/relationships/customXmlProps" Target="itemProps5.xml" /></Relationships>
</file>

<file path=customXml/_rels/item6.xml.rels>&#65279;<?xml version="1.0" encoding="utf-8" standalone="yes"?><Relationships xmlns="http://schemas.openxmlformats.org/package/2006/relationships"><Relationship Id="rId1" Type="http://schemas.openxmlformats.org/officeDocument/2006/relationships/customXmlProps" Target="itemProps6.xml" /></Relationships>
</file>

<file path=customXml/_rels/item7.xml.rels>&#65279;<?xml version="1.0" encoding="utf-8" standalone="yes"?><Relationships xmlns="http://schemas.openxmlformats.org/package/2006/relationships"><Relationship Id="rId1" Type="http://schemas.openxmlformats.org/officeDocument/2006/relationships/customXmlProps" Target="itemProps7.xml" /></Relationships>
</file>

<file path=customXml/_rels/item8.xml.rels>&#65279;<?xml version="1.0" encoding="utf-8" standalone="yes"?><Relationships xmlns="http://schemas.openxmlformats.org/package/2006/relationships"><Relationship Id="rId1" Type="http://schemas.openxmlformats.org/officeDocument/2006/relationships/customXmlProps" Target="itemProps8.xml" /></Relationships>
</file>

<file path=customXml/_rels/item9.xml.rels>&#65279;<?xml version="1.0" encoding="utf-8" standalone="yes"?><Relationships xmlns="http://schemas.openxmlformats.org/package/2006/relationships"><Relationship Id="rId1" Type="http://schemas.openxmlformats.org/officeDocument/2006/relationships/customXmlProps" Target="itemProps9.xml" /></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F14CD-3430-416C-B278-C0A70E64335B}">
  <ds:schemaRefs>
    <ds:schemaRef ds:uri="http://schemas.openxmlformats.org/officeDocument/2006/bibliography"/>
  </ds:schemaRefs>
</ds:datastoreItem>
</file>

<file path=customXml/itemProps10.xml><?xml version="1.0" encoding="utf-8"?>
<ds:datastoreItem xmlns:ds="http://schemas.openxmlformats.org/officeDocument/2006/customXml" ds:itemID="{92259EC0-5C96-4464-B5D4-33F1040DCEA3}">
  <ds:schemaRefs>
    <ds:schemaRef ds:uri="http://schemas.openxmlformats.org/officeDocument/2006/bibliography"/>
  </ds:schemaRefs>
</ds:datastoreItem>
</file>

<file path=customXml/itemProps11.xml><?xml version="1.0" encoding="utf-8"?>
<ds:datastoreItem xmlns:ds="http://schemas.openxmlformats.org/officeDocument/2006/customXml" ds:itemID="{87C93CC4-1430-4388-89E4-1B69112A609C}">
  <ds:schemaRefs>
    <ds:schemaRef ds:uri="http://schemas.openxmlformats.org/officeDocument/2006/bibliography"/>
  </ds:schemaRefs>
</ds:datastoreItem>
</file>

<file path=customXml/itemProps12.xml><?xml version="1.0" encoding="utf-8"?>
<ds:datastoreItem xmlns:ds="http://schemas.openxmlformats.org/officeDocument/2006/customXml" ds:itemID="{2560A3C6-56B6-454A-ABBC-BEED36418F58}"/>
</file>

<file path=customXml/itemProps2.xml><?xml version="1.0" encoding="utf-8"?>
<ds:datastoreItem xmlns:ds="http://schemas.openxmlformats.org/officeDocument/2006/customXml" ds:itemID="{50DD00DB-CD0B-4975-8B24-9006F1ACD029}">
  <ds:schemaRefs>
    <ds:schemaRef ds:uri="http://schemas.openxmlformats.org/officeDocument/2006/bibliography"/>
  </ds:schemaRefs>
</ds:datastoreItem>
</file>

<file path=customXml/itemProps3.xml><?xml version="1.0" encoding="utf-8"?>
<ds:datastoreItem xmlns:ds="http://schemas.openxmlformats.org/officeDocument/2006/customXml" ds:itemID="{11BE23F6-D19D-4EC9-BCB6-8B6C135883B9}">
  <ds:schemaRefs>
    <ds:schemaRef ds:uri="http://schemas.microsoft.com/office/2006/metadata/longProperties"/>
  </ds:schemaRefs>
</ds:datastoreItem>
</file>

<file path=customXml/itemProps4.xml><?xml version="1.0" encoding="utf-8"?>
<ds:datastoreItem xmlns:ds="http://schemas.openxmlformats.org/officeDocument/2006/customXml" ds:itemID="{18FBA6F7-A3FE-415D-B35B-A8D7A2078419}">
  <ds:schemaRefs>
    <ds:schemaRef ds:uri="http://schemas.openxmlformats.org/officeDocument/2006/bibliography"/>
  </ds:schemaRefs>
</ds:datastoreItem>
</file>

<file path=customXml/itemProps5.xml><?xml version="1.0" encoding="utf-8"?>
<ds:datastoreItem xmlns:ds="http://schemas.openxmlformats.org/officeDocument/2006/customXml" ds:itemID="{CCBA5F7B-7960-4302-9CC3-A25D924F6E5E}">
  <ds:schemaRefs>
    <ds:schemaRef ds:uri="http://schemas.openxmlformats.org/officeDocument/2006/bibliography"/>
  </ds:schemaRefs>
</ds:datastoreItem>
</file>

<file path=customXml/itemProps6.xml><?xml version="1.0" encoding="utf-8"?>
<ds:datastoreItem xmlns:ds="http://schemas.openxmlformats.org/officeDocument/2006/customXml" ds:itemID="{5C78C27E-39A8-4B6B-A021-7B59AE8C397C}">
  <ds:schemaRefs>
    <ds:schemaRef ds:uri="http://schemas.microsoft.com/sharepoint/v3/contenttype/forms"/>
  </ds:schemaRefs>
</ds:datastoreItem>
</file>

<file path=customXml/itemProps7.xml><?xml version="1.0" encoding="utf-8"?>
<ds:datastoreItem xmlns:ds="http://schemas.openxmlformats.org/officeDocument/2006/customXml" ds:itemID="{C25DEBA8-E5C2-41ED-8D5A-466C883DC6A5}"/>
</file>

<file path=customXml/itemProps8.xml><?xml version="1.0" encoding="utf-8"?>
<ds:datastoreItem xmlns:ds="http://schemas.openxmlformats.org/officeDocument/2006/customXml" ds:itemID="{9B961CA6-52A9-4401-B84C-562445839AEA}">
  <ds:schemaRefs>
    <ds:schemaRef ds:uri="http://schemas.openxmlformats.org/officeDocument/2006/bibliography"/>
  </ds:schemaRefs>
</ds:datastoreItem>
</file>

<file path=customXml/itemProps9.xml><?xml version="1.0" encoding="utf-8"?>
<ds:datastoreItem xmlns:ds="http://schemas.openxmlformats.org/officeDocument/2006/customXml" ds:itemID="{BCA7ACC1-1273-4970-9C59-0DDF21AF4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SPC_10H.dot</Template>
  <TotalTime>0</TotalTime>
  <Pages>49</Pages>
  <Words>13590</Words>
  <Characters>85624</Characters>
  <Application>Microsoft Office Word</Application>
  <DocSecurity>0</DocSecurity>
  <Lines>713</Lines>
  <Paragraphs>198</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Kadcyla, INN-trastuzumab emtansine</vt:lpstr>
      <vt:lpstr>Kadcyla, INN-trastuzumab emtansine</vt:lpstr>
      <vt:lpstr>Kadcyla, INN-trastuzumab emtansine</vt:lpstr>
    </vt:vector>
  </TitlesOfParts>
  <Company>EMEA</Company>
  <LinksUpToDate>false</LinksUpToDate>
  <CharactersWithSpaces>99016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Kadcyla II-45 EN PIclean</dc:title>
  <dc:subject>EPAR</dc:subject>
  <dc:creator>CHMP</dc:creator>
  <cp:keywords>INN-trastuzumab emtansine; Kadcyla</cp:keywords>
  <dc:description>Version 10.0 02/2016
Downloaded 110516 (en)</dc:description>
  <cp:lastModifiedBy>Isaie, Sophia {MDRO~Basel}</cp:lastModifiedBy>
  <cp:revision>2</cp:revision>
  <cp:lastPrinted>2016-01-25T02:28:00Z</cp:lastPrinted>
  <dcterms:created xsi:type="dcterms:W3CDTF">2019-11-15T10:51:00Z</dcterms:created>
  <dcterms:modified xsi:type="dcterms:W3CDTF">2019-11-15T10:51:00Z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llaboration">
    <vt:lpwstr/>
  </property>
  <property fmtid="{D5CDD505-2E9C-101B-9397-08002B2CF9AE}" pid="3" name="ContentTypeId">
    <vt:lpwstr>0x010100726F91DD1AE57B44B1BCEB7F1056F5D0</vt:lpwstr>
  </property>
  <property fmtid="{D5CDD505-2E9C-101B-9397-08002B2CF9AE}" pid="4" name="DM_Author">
    <vt:lpwstr/>
  </property>
  <property fmtid="{D5CDD505-2E9C-101B-9397-08002B2CF9AE}" pid="5" name="DM_Authors">
    <vt:lpwstr/>
  </property>
  <property fmtid="{D5CDD505-2E9C-101B-9397-08002B2CF9AE}" pid="6" name="DM_Category">
    <vt:lpwstr>Product Information</vt:lpwstr>
  </property>
  <property fmtid="{D5CDD505-2E9C-101B-9397-08002B2CF9AE}" pid="7" name="DM_Creation_Date">
    <vt:lpwstr>15/11/2019 13:30:48</vt:lpwstr>
  </property>
  <property fmtid="{D5CDD505-2E9C-101B-9397-08002B2CF9AE}" pid="8" name="DM_Creator_Name">
    <vt:lpwstr>Antoniadou Victoria</vt:lpwstr>
  </property>
  <property fmtid="{D5CDD505-2E9C-101B-9397-08002B2CF9AE}" pid="9" name="DM_DocRefId">
    <vt:lpwstr>EMA/616512/2019</vt:lpwstr>
  </property>
  <property fmtid="{D5CDD505-2E9C-101B-9397-08002B2CF9AE}" pid="10" name="DM_emea_bcc">
    <vt:lpwstr/>
  </property>
  <property fmtid="{D5CDD505-2E9C-101B-9397-08002B2CF9AE}" pid="11" name="DM_emea_cc">
    <vt:lpwstr/>
  </property>
  <property fmtid="{D5CDD505-2E9C-101B-9397-08002B2CF9AE}" pid="12" name="DM_emea_doc_category">
    <vt:lpwstr>General</vt:lpwstr>
  </property>
  <property fmtid="{D5CDD505-2E9C-101B-9397-08002B2CF9AE}" pid="13" name="DM_emea_doc_lang">
    <vt:lpwstr/>
  </property>
  <property fmtid="{D5CDD505-2E9C-101B-9397-08002B2CF9AE}" pid="14" name="DM_emea_doc_number">
    <vt:lpwstr>423415</vt:lpwstr>
  </property>
  <property fmtid="{D5CDD505-2E9C-101B-9397-08002B2CF9AE}" pid="15" name="DM_emea_doc_ref_id">
    <vt:lpwstr>EMA/616512/2019</vt:lpwstr>
  </property>
  <property fmtid="{D5CDD505-2E9C-101B-9397-08002B2CF9AE}" pid="16" name="DM_emea_from">
    <vt:lpwstr/>
  </property>
  <property fmtid="{D5CDD505-2E9C-101B-9397-08002B2CF9AE}" pid="17" name="DM_emea_internal_label">
    <vt:lpwstr>EMA</vt:lpwstr>
  </property>
  <property fmtid="{D5CDD505-2E9C-101B-9397-08002B2CF9AE}" pid="18" name="DM_emea_legal_date">
    <vt:lpwstr>nulldate</vt:lpwstr>
  </property>
  <property fmtid="{D5CDD505-2E9C-101B-9397-08002B2CF9AE}" pid="19" name="DM_emea_meeting_action">
    <vt:lpwstr/>
  </property>
  <property fmtid="{D5CDD505-2E9C-101B-9397-08002B2CF9AE}" pid="20" name="DM_emea_meeting_flags">
    <vt:lpwstr/>
  </property>
  <property fmtid="{D5CDD505-2E9C-101B-9397-08002B2CF9AE}" pid="21" name="DM_emea_meeting_hyperlink">
    <vt:lpwstr/>
  </property>
  <property fmtid="{D5CDD505-2E9C-101B-9397-08002B2CF9AE}" pid="22" name="DM_emea_meeting_ref">
    <vt:lpwstr/>
  </property>
  <property fmtid="{D5CDD505-2E9C-101B-9397-08002B2CF9AE}" pid="23" name="DM_emea_meeting_status">
    <vt:lpwstr/>
  </property>
  <property fmtid="{D5CDD505-2E9C-101B-9397-08002B2CF9AE}" pid="24" name="DM_emea_meeting_title">
    <vt:lpwstr/>
  </property>
  <property fmtid="{D5CDD505-2E9C-101B-9397-08002B2CF9AE}" pid="25" name="DM_emea_message_subject">
    <vt:lpwstr/>
  </property>
  <property fmtid="{D5CDD505-2E9C-101B-9397-08002B2CF9AE}" pid="26" name="DM_emea_received_date">
    <vt:lpwstr>nulldate</vt:lpwstr>
  </property>
  <property fmtid="{D5CDD505-2E9C-101B-9397-08002B2CF9AE}" pid="27" name="DM_emea_resp_body">
    <vt:lpwstr/>
  </property>
  <property fmtid="{D5CDD505-2E9C-101B-9397-08002B2CF9AE}" pid="28" name="DM_emea_revision_label">
    <vt:lpwstr/>
  </property>
  <property fmtid="{D5CDD505-2E9C-101B-9397-08002B2CF9AE}" pid="29" name="DM_emea_sent_date">
    <vt:lpwstr>nulldate</vt:lpwstr>
  </property>
  <property fmtid="{D5CDD505-2E9C-101B-9397-08002B2CF9AE}" pid="30" name="DM_emea_to">
    <vt:lpwstr/>
  </property>
  <property fmtid="{D5CDD505-2E9C-101B-9397-08002B2CF9AE}" pid="31" name="DM_emea_year">
    <vt:lpwstr>2010</vt:lpwstr>
  </property>
  <property fmtid="{D5CDD505-2E9C-101B-9397-08002B2CF9AE}" pid="32" name="DM_Keywords">
    <vt:lpwstr/>
  </property>
  <property fmtid="{D5CDD505-2E9C-101B-9397-08002B2CF9AE}" pid="33" name="DM_Language">
    <vt:lpwstr/>
  </property>
  <property fmtid="{D5CDD505-2E9C-101B-9397-08002B2CF9AE}" pid="34" name="DM_Modifer_Name">
    <vt:lpwstr>Antoniadou Victoria</vt:lpwstr>
  </property>
  <property fmtid="{D5CDD505-2E9C-101B-9397-08002B2CF9AE}" pid="35" name="DM_Modified_Date">
    <vt:lpwstr>18/11/2019 22:05:28</vt:lpwstr>
  </property>
  <property fmtid="{D5CDD505-2E9C-101B-9397-08002B2CF9AE}" pid="36" name="DM_Modifier_Name">
    <vt:lpwstr>Antoniadou Victoria</vt:lpwstr>
  </property>
  <property fmtid="{D5CDD505-2E9C-101B-9397-08002B2CF9AE}" pid="37" name="DM_Modify_Date">
    <vt:lpwstr>18/11/2019 22:05:28</vt:lpwstr>
  </property>
  <property fmtid="{D5CDD505-2E9C-101B-9397-08002B2CF9AE}" pid="38" name="DM_Name">
    <vt:lpwstr>Kadcyla II-45 EN PIclean</vt:lpwstr>
  </property>
  <property fmtid="{D5CDD505-2E9C-101B-9397-08002B2CF9AE}" pid="39" name="DM_Owner">
    <vt:lpwstr>Espinasse Claire</vt:lpwstr>
  </property>
  <property fmtid="{D5CDD505-2E9C-101B-9397-08002B2CF9AE}" pid="40" name="DM_Path">
    <vt:lpwstr>/01. Evaluation of Medicines/H-C/J-L/Kadcyla -002389/05 Post Authorisation/Post Activities/2019-xx-xx-2389-II-0045 Ext of ind/03. Opinion</vt:lpwstr>
  </property>
  <property fmtid="{D5CDD505-2E9C-101B-9397-08002B2CF9AE}" pid="41" name="DM_Status">
    <vt:lpwstr/>
  </property>
  <property fmtid="{D5CDD505-2E9C-101B-9397-08002B2CF9AE}" pid="42" name="DM_Subject">
    <vt:lpwstr/>
  </property>
  <property fmtid="{D5CDD505-2E9C-101B-9397-08002B2CF9AE}" pid="43" name="DM_Title">
    <vt:lpwstr/>
  </property>
  <property fmtid="{D5CDD505-2E9C-101B-9397-08002B2CF9AE}" pid="44" name="DM_Type">
    <vt:lpwstr>emea_document</vt:lpwstr>
  </property>
  <property fmtid="{D5CDD505-2E9C-101B-9397-08002B2CF9AE}" pid="45" name="DM_Version">
    <vt:lpwstr>1.3,CURRENT</vt:lpwstr>
  </property>
  <property fmtid="{D5CDD505-2E9C-101B-9397-08002B2CF9AE}" pid="46" name="Document Status">
    <vt:lpwstr>Draft</vt:lpwstr>
  </property>
  <property fmtid="{D5CDD505-2E9C-101B-9397-08002B2CF9AE}" pid="47" name="EmailCc">
    <vt:lpwstr/>
  </property>
  <property fmtid="{D5CDD505-2E9C-101B-9397-08002B2CF9AE}" pid="48" name="EmailFrom">
    <vt:lpwstr/>
  </property>
  <property fmtid="{D5CDD505-2E9C-101B-9397-08002B2CF9AE}" pid="49" name="EmailHeaders">
    <vt:lpwstr/>
  </property>
  <property fmtid="{D5CDD505-2E9C-101B-9397-08002B2CF9AE}" pid="50" name="EmailSender">
    <vt:lpwstr/>
  </property>
  <property fmtid="{D5CDD505-2E9C-101B-9397-08002B2CF9AE}" pid="51" name="EmailSubject">
    <vt:lpwstr/>
  </property>
  <property fmtid="{D5CDD505-2E9C-101B-9397-08002B2CF9AE}" pid="52" name="EmailTo">
    <vt:lpwstr/>
  </property>
  <property fmtid="{D5CDD505-2E9C-101B-9397-08002B2CF9AE}" pid="53" name="Etap oceny">
    <vt:lpwstr>tlumaczenie 1.</vt:lpwstr>
  </property>
  <property fmtid="{D5CDD505-2E9C-101B-9397-08002B2CF9AE}" pid="54" name="Geographical Scope">
    <vt:lpwstr/>
  </property>
  <property fmtid="{D5CDD505-2E9C-101B-9397-08002B2CF9AE}" pid="55" name="IconOverlay">
    <vt:lpwstr/>
  </property>
  <property fmtid="{D5CDD505-2E9C-101B-9397-08002B2CF9AE}" pid="56" name="ItemRetentionFormula">
    <vt:lpwstr>&lt;formula id="Roche.Common.Coremap.ExpirationFormula" /&gt;</vt:lpwstr>
  </property>
  <property fmtid="{D5CDD505-2E9C-101B-9397-08002B2CF9AE}" pid="57" name="Komentarz">
    <vt:lpwstr/>
  </property>
  <property fmtid="{D5CDD505-2E9C-101B-9397-08002B2CF9AE}" pid="58" name="Language">
    <vt:lpwstr>English</vt:lpwstr>
  </property>
  <property fmtid="{D5CDD505-2E9C-101B-9397-08002B2CF9AE}" pid="59" name="Obowiązujące">
    <vt:lpwstr>0</vt:lpwstr>
  </property>
  <property fmtid="{D5CDD505-2E9C-101B-9397-08002B2CF9AE}" pid="60" name="Product">
    <vt:lpwstr>Kadcyla</vt:lpwstr>
  </property>
  <property fmtid="{D5CDD505-2E9C-101B-9397-08002B2CF9AE}" pid="61" name="Published By">
    <vt:lpwstr/>
  </property>
  <property fmtid="{D5CDD505-2E9C-101B-9397-08002B2CF9AE}" pid="62" name="PublishExpirationDateTime">
    <vt:lpwstr/>
  </property>
  <property fmtid="{D5CDD505-2E9C-101B-9397-08002B2CF9AE}" pid="63" name="Share">
    <vt:lpwstr/>
  </property>
  <property fmtid="{D5CDD505-2E9C-101B-9397-08002B2CF9AE}" pid="64" name="Shared By">
    <vt:lpwstr/>
  </property>
  <property fmtid="{D5CDD505-2E9C-101B-9397-08002B2CF9AE}" pid="65" name="ShareExpirationDateTime">
    <vt:lpwstr/>
  </property>
  <property fmtid="{D5CDD505-2E9C-101B-9397-08002B2CF9AE}" pid="66" name="STATUS">
    <vt:lpwstr/>
  </property>
  <property fmtid="{D5CDD505-2E9C-101B-9397-08002B2CF9AE}" pid="67" name="TaxCatchAll">
    <vt:lpwstr>15;#Kadcyla;#14;#INN-trastuzumab emtansine</vt:lpwstr>
  </property>
  <property fmtid="{D5CDD505-2E9C-101B-9397-08002B2CF9AE}" pid="68" name="TaxKeyword">
    <vt:lpwstr>15;#Kadcyla|f606cd14-35ed-413b-83c2-1f10e7cb4cae;#14;#INN-trastuzumab emtansine|9dcf679f-f51e-4627-8f1a-498e8fdc9cfc</vt:lpwstr>
  </property>
  <property fmtid="{D5CDD505-2E9C-101B-9397-08002B2CF9AE}" pid="69" name="TaxKeywordTaxHTField">
    <vt:lpwstr>Kadcyla|f606cd14-35ed-413b-83c2-1f10e7cb4cae;INN-trastuzumab emtansine|9dcf679f-f51e-4627-8f1a-498e8fdc9cfc</vt:lpwstr>
  </property>
  <property fmtid="{D5CDD505-2E9C-101B-9397-08002B2CF9AE}" pid="70" name="Template Version">
    <vt:lpwstr>1.4</vt:lpwstr>
  </property>
  <property fmtid="{D5CDD505-2E9C-101B-9397-08002B2CF9AE}" pid="71" name="Update">
    <vt:lpwstr>II33</vt:lpwstr>
  </property>
  <property fmtid="{D5CDD505-2E9C-101B-9397-08002B2CF9AE}" pid="72" name="URL">
    <vt:lpwstr>, </vt:lpwstr>
  </property>
  <property fmtid="{D5CDD505-2E9C-101B-9397-08002B2CF9AE}" pid="73" name="_dlc_ExpireDate">
    <vt:lpwstr>2029-12-01T00:00:00Z</vt:lpwstr>
  </property>
  <property fmtid="{D5CDD505-2E9C-101B-9397-08002B2CF9AE}" pid="74" name="_dlc_policyId">
    <vt:lpwstr>/team/201201CE/KATHERINE</vt:lpwstr>
  </property>
</Properties>
</file>